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D15955" w:rsidRPr="00030DAB" w:rsidP="00030DAB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30DAB">
        <w:rPr>
          <w:rFonts w:ascii="Arial" w:hAnsi="Arial" w:cs="Arial"/>
          <w:b/>
          <w:sz w:val="20"/>
          <w:szCs w:val="20"/>
        </w:rPr>
        <w:t>Sprawozdanie z wykonania planu działalności</w:t>
      </w:r>
    </w:p>
    <w:p w:rsidR="007F4A6F" w:rsidRPr="00030DAB" w:rsidP="00030DAB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30DAB">
        <w:rPr>
          <w:rFonts w:ascii="Arial" w:hAnsi="Arial" w:cs="Arial"/>
          <w:b/>
          <w:sz w:val="20"/>
          <w:szCs w:val="20"/>
        </w:rPr>
        <w:t>Ministra Energii</w:t>
      </w:r>
    </w:p>
    <w:p w:rsidR="007F4A6F" w:rsidRPr="00030DAB" w:rsidP="00030DAB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30DAB">
        <w:rPr>
          <w:rFonts w:ascii="Arial" w:hAnsi="Arial" w:cs="Arial"/>
          <w:b/>
          <w:sz w:val="20"/>
          <w:szCs w:val="20"/>
        </w:rPr>
        <w:t>za rok 2019</w:t>
      </w:r>
    </w:p>
    <w:p w:rsidR="007F4A6F" w:rsidRPr="00030DAB" w:rsidP="00030DAB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30DAB">
        <w:rPr>
          <w:rFonts w:ascii="Arial" w:hAnsi="Arial" w:cs="Arial"/>
          <w:b/>
          <w:sz w:val="20"/>
          <w:szCs w:val="20"/>
        </w:rPr>
        <w:t>dla działów administracji rządowej: energia, gospodarka złożami kopalin</w:t>
      </w:r>
    </w:p>
    <w:p w:rsidR="007F4A6F" w:rsidRPr="00030DAB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7F4A6F" w:rsidRPr="00030DAB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30DAB">
        <w:rPr>
          <w:rFonts w:ascii="Arial" w:hAnsi="Arial" w:cs="Arial"/>
          <w:b/>
          <w:sz w:val="20"/>
          <w:szCs w:val="20"/>
        </w:rPr>
        <w:t>CZĘŚĆ A: Realizacja najważniejszych celów w roku 2019</w:t>
      </w:r>
    </w:p>
    <w:p w:rsidR="007F4A6F" w:rsidRPr="00030DAB" w:rsidP="00030DAB">
      <w:pPr>
        <w:spacing w:before="120" w:after="120" w:line="240" w:lineRule="auto"/>
        <w:ind w:left="-57"/>
        <w:jc w:val="left"/>
        <w:rPr>
          <w:rFonts w:ascii="Arial" w:hAnsi="Arial" w:cs="Arial"/>
          <w:i/>
          <w:iCs/>
          <w:color w:val="000000"/>
          <w:sz w:val="20"/>
          <w:szCs w:val="20"/>
        </w:rPr>
      </w:pPr>
      <w:r w:rsidRPr="00030DAB">
        <w:rPr>
          <w:rFonts w:ascii="Arial" w:hAnsi="Arial" w:cs="Arial"/>
          <w:i/>
          <w:iCs/>
          <w:color w:val="000000"/>
          <w:sz w:val="20"/>
          <w:szCs w:val="20"/>
        </w:rPr>
        <w:t>(w tej części sprawozdania należy wymienić cele wskazane w części A planu na rok, którego dotyczy sprawozdanie)</w:t>
      </w:r>
    </w:p>
    <w:tbl>
      <w:tblPr>
        <w:tblStyle w:val="TableGrid"/>
        <w:tblW w:w="16155" w:type="dxa"/>
        <w:tblLook w:val="04A0"/>
      </w:tblPr>
      <w:tblGrid>
        <w:gridCol w:w="769"/>
        <w:gridCol w:w="2155"/>
        <w:gridCol w:w="2229"/>
        <w:gridCol w:w="1914"/>
        <w:gridCol w:w="1915"/>
        <w:gridCol w:w="3458"/>
        <w:gridCol w:w="3715"/>
      </w:tblGrid>
      <w:tr w:rsidTr="00C55D06">
        <w:tblPrEx>
          <w:tblW w:w="16155" w:type="dxa"/>
          <w:tblLook w:val="04A0"/>
        </w:tblPrEx>
        <w:trPr>
          <w:tblHeader/>
        </w:trPr>
        <w:tc>
          <w:tcPr>
            <w:tcW w:w="769" w:type="dxa"/>
            <w:vMerge w:val="restart"/>
            <w:vAlign w:val="center"/>
          </w:tcPr>
          <w:p w:rsidR="007F4A6F" w:rsidRPr="00030DAB" w:rsidP="00A12E3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55" w:type="dxa"/>
            <w:vMerge w:val="restart"/>
            <w:vAlign w:val="center"/>
          </w:tcPr>
          <w:p w:rsidR="007F4A6F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Cel</w:t>
            </w:r>
          </w:p>
        </w:tc>
        <w:tc>
          <w:tcPr>
            <w:tcW w:w="6058" w:type="dxa"/>
            <w:gridSpan w:val="3"/>
            <w:vAlign w:val="center"/>
          </w:tcPr>
          <w:p w:rsidR="007F4A6F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3458" w:type="dxa"/>
            <w:vMerge w:val="restart"/>
            <w:vAlign w:val="center"/>
          </w:tcPr>
          <w:p w:rsidR="007F4A6F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Najważniejsze planowane zadania służące realizacji celu</w:t>
            </w:r>
          </w:p>
        </w:tc>
        <w:tc>
          <w:tcPr>
            <w:tcW w:w="3715" w:type="dxa"/>
            <w:vMerge w:val="restart"/>
            <w:vAlign w:val="center"/>
          </w:tcPr>
          <w:p w:rsidR="007F4A6F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Najważniejsze podjęte zadania służące realizacji celu</w:t>
            </w:r>
          </w:p>
        </w:tc>
      </w:tr>
      <w:tr w:rsidTr="00C55D06">
        <w:tblPrEx>
          <w:tblW w:w="16155" w:type="dxa"/>
          <w:tblLook w:val="04A0"/>
        </w:tblPrEx>
        <w:trPr>
          <w:tblHeader/>
        </w:trPr>
        <w:tc>
          <w:tcPr>
            <w:tcW w:w="769" w:type="dxa"/>
            <w:vMerge/>
            <w:vAlign w:val="center"/>
          </w:tcPr>
          <w:p w:rsidR="007F4A6F" w:rsidRPr="00030DAB" w:rsidP="00A12E3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7F4A6F" w:rsidRPr="00030DAB" w:rsidP="00030DAB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7F4A6F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914" w:type="dxa"/>
            <w:vAlign w:val="center"/>
          </w:tcPr>
          <w:p w:rsidR="007F4A6F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planowana wartość do osiągniecia na koniec roku, którego dotyczy sprawozdanie</w:t>
            </w:r>
          </w:p>
        </w:tc>
        <w:tc>
          <w:tcPr>
            <w:tcW w:w="1915" w:type="dxa"/>
            <w:vAlign w:val="center"/>
          </w:tcPr>
          <w:p w:rsidR="007F4A6F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030DAB">
              <w:rPr>
                <w:rFonts w:ascii="Arial" w:hAnsi="Arial" w:cs="Arial"/>
                <w:b/>
                <w:sz w:val="20"/>
                <w:szCs w:val="20"/>
              </w:rPr>
              <w:t>siągnięta wartość na koniec roku, którego dotyczy sprawozdanie</w:t>
            </w:r>
          </w:p>
        </w:tc>
        <w:tc>
          <w:tcPr>
            <w:tcW w:w="3458" w:type="dxa"/>
            <w:vMerge/>
          </w:tcPr>
          <w:p w:rsidR="007F4A6F" w:rsidRPr="00030DAB" w:rsidP="00030DAB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15" w:type="dxa"/>
            <w:vMerge/>
          </w:tcPr>
          <w:p w:rsidR="007F4A6F" w:rsidRPr="00030DAB" w:rsidP="00030DAB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Tr="00C55D06">
        <w:tblPrEx>
          <w:tblW w:w="16155" w:type="dxa"/>
          <w:tblLook w:val="04A0"/>
        </w:tblPrEx>
        <w:trPr>
          <w:tblHeader/>
        </w:trPr>
        <w:tc>
          <w:tcPr>
            <w:tcW w:w="769" w:type="dxa"/>
            <w:vAlign w:val="center"/>
          </w:tcPr>
          <w:p w:rsidR="00103529" w:rsidRPr="00030DAB" w:rsidP="00A12E3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55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9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14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15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58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15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Tr="00C43C73">
        <w:tblPrEx>
          <w:tblW w:w="16155" w:type="dxa"/>
          <w:tblLook w:val="04A0"/>
        </w:tblPrEx>
        <w:tc>
          <w:tcPr>
            <w:tcW w:w="769" w:type="dxa"/>
          </w:tcPr>
          <w:p w:rsidR="008873D9" w:rsidRPr="00030DAB" w:rsidP="00A12E3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</w:tcPr>
          <w:p w:rsidR="008873D9" w:rsidRPr="00030DAB" w:rsidP="008873D9">
            <w:pPr>
              <w:pStyle w:val="trescpisma"/>
              <w:shd w:val="clear" w:color="auto" w:fill="FFFFFF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0DAB">
              <w:rPr>
                <w:rFonts w:ascii="Arial" w:hAnsi="Arial" w:cs="Arial"/>
                <w:sz w:val="20"/>
                <w:szCs w:val="20"/>
                <w:lang w:eastAsia="en-US"/>
              </w:rPr>
              <w:t>Zapewnienie bezpieczeństwa energetycznego państwa</w:t>
            </w:r>
          </w:p>
        </w:tc>
        <w:tc>
          <w:tcPr>
            <w:tcW w:w="2229" w:type="dxa"/>
            <w:shd w:val="clear" w:color="auto" w:fill="auto"/>
          </w:tcPr>
          <w:p w:rsidR="008873D9" w:rsidRPr="00030DAB" w:rsidP="008873D9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Udział importu nośników energii w zużyciu energii ogółem</w:t>
            </w:r>
          </w:p>
        </w:tc>
        <w:tc>
          <w:tcPr>
            <w:tcW w:w="1914" w:type="dxa"/>
          </w:tcPr>
          <w:p w:rsidR="008873D9" w:rsidRPr="00030DAB" w:rsidP="008873D9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0DAB">
              <w:rPr>
                <w:rFonts w:ascii="Arial" w:hAnsi="Arial" w:cs="Arial"/>
                <w:sz w:val="20"/>
                <w:szCs w:val="20"/>
                <w:lang w:eastAsia="en-US"/>
              </w:rPr>
              <w:t>&lt;</w:t>
            </w:r>
            <w:r w:rsidR="002547A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030DAB">
              <w:rPr>
                <w:rFonts w:ascii="Arial" w:hAnsi="Arial" w:cs="Arial"/>
                <w:sz w:val="20"/>
                <w:szCs w:val="20"/>
                <w:lang w:eastAsia="en-US"/>
              </w:rPr>
              <w:t>60%</w:t>
            </w:r>
          </w:p>
          <w:p w:rsidR="008873D9" w:rsidRPr="00030DAB" w:rsidP="008873D9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8873D9" w:rsidRPr="00030DAB" w:rsidP="008873D9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bd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3458" w:type="dxa"/>
            <w:vMerge w:val="restart"/>
          </w:tcPr>
          <w:p w:rsidR="008873D9" w:rsidRPr="00FA147B" w:rsidP="00290BA8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A147B">
              <w:rPr>
                <w:rFonts w:ascii="Arial" w:hAnsi="Arial" w:cs="Arial"/>
                <w:sz w:val="20"/>
                <w:szCs w:val="20"/>
              </w:rPr>
              <w:t>Zatwierdzenie „Krajowego planu na rzecz energii i klimatu na lata 2021-2030”.</w:t>
            </w:r>
          </w:p>
          <w:p w:rsidR="008873D9" w:rsidRPr="00F432EB" w:rsidP="00290BA8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0DD0">
              <w:rPr>
                <w:rFonts w:ascii="Arial" w:hAnsi="Arial" w:cs="Arial"/>
                <w:sz w:val="20"/>
                <w:szCs w:val="20"/>
              </w:rPr>
              <w:t xml:space="preserve">Opracowanie „Sprawozdania z wyników monitorowania bezpieczeństwa dostaw energii </w:t>
            </w:r>
            <w:r w:rsidRPr="00F432EB">
              <w:rPr>
                <w:rFonts w:ascii="Arial" w:hAnsi="Arial" w:cs="Arial"/>
                <w:sz w:val="20"/>
                <w:szCs w:val="20"/>
              </w:rPr>
              <w:t>elektrycznej za okres od dnia 1 stycznia 2017 r. do dnia 31 grudnia 2018 r.”.</w:t>
            </w:r>
          </w:p>
          <w:p w:rsidR="008873D9" w:rsidRPr="00F432EB" w:rsidP="00290BA8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432EB">
              <w:rPr>
                <w:rFonts w:ascii="Arial" w:hAnsi="Arial" w:cs="Arial"/>
                <w:sz w:val="20"/>
                <w:szCs w:val="20"/>
              </w:rPr>
              <w:t>Monitorowanie harmonogramu remontów bloków energetycznych.</w:t>
            </w:r>
          </w:p>
          <w:p w:rsidR="008873D9" w:rsidRPr="00F432EB" w:rsidP="00290BA8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432EB">
              <w:rPr>
                <w:rFonts w:ascii="Arial" w:hAnsi="Arial" w:cs="Arial"/>
                <w:sz w:val="20"/>
                <w:szCs w:val="20"/>
              </w:rPr>
              <w:t>Monitorowanie postępu prac przy budowie nowych bloków energetycznych.</w:t>
            </w:r>
          </w:p>
          <w:p w:rsidR="008873D9" w:rsidRPr="00030DAB" w:rsidP="00290BA8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FA147B">
              <w:rPr>
                <w:rFonts w:ascii="Arial" w:hAnsi="Arial" w:cs="Arial"/>
                <w:sz w:val="20"/>
                <w:szCs w:val="20"/>
              </w:rPr>
              <w:t xml:space="preserve">Stworzenie warunków do przeprowadzenia aukcji głównej w ramach rynku mocy </w:t>
            </w:r>
            <w:r w:rsidRPr="007B0DD0">
              <w:rPr>
                <w:rFonts w:ascii="Arial" w:hAnsi="Arial" w:cs="Arial"/>
                <w:sz w:val="20"/>
                <w:szCs w:val="20"/>
              </w:rPr>
              <w:t>na dostawę mocy na 2024 rok</w:t>
            </w:r>
            <w:r w:rsidRPr="00F43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50077" w:rsidRPr="00C50077" w:rsidP="00C50077">
            <w:pPr>
              <w:numPr>
                <w:ilvl w:val="3"/>
                <w:numId w:val="17"/>
              </w:numPr>
              <w:shd w:val="clear" w:color="auto" w:fill="FFFFFF"/>
              <w:spacing w:before="120" w:after="120" w:line="240" w:lineRule="auto"/>
              <w:ind w:left="213" w:hanging="28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„Krajowy planu na rzecz energii i klimatu na lata 2021-2030” </w:t>
            </w:r>
            <w:r w:rsidRPr="00C50077">
              <w:rPr>
                <w:rFonts w:ascii="Arial" w:hAnsi="Arial" w:cs="Arial"/>
                <w:iCs/>
                <w:sz w:val="20"/>
                <w:szCs w:val="20"/>
              </w:rPr>
              <w:t>został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zatwierdzony na poziomie KSE i </w:t>
            </w:r>
            <w:r w:rsidRPr="00C50077">
              <w:rPr>
                <w:rFonts w:ascii="Arial" w:hAnsi="Arial" w:cs="Arial"/>
                <w:iCs/>
                <w:sz w:val="20"/>
                <w:szCs w:val="20"/>
              </w:rPr>
              <w:t>przekazany do K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omisji </w:t>
            </w:r>
            <w:r w:rsidRPr="00C50077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Cs/>
                <w:sz w:val="20"/>
                <w:szCs w:val="20"/>
              </w:rPr>
              <w:t>uropejskiej zgodnie z terminem do dnia 30 </w:t>
            </w:r>
            <w:r w:rsidRPr="00C50077">
              <w:rPr>
                <w:rFonts w:ascii="Arial" w:hAnsi="Arial" w:cs="Arial"/>
                <w:iCs/>
                <w:sz w:val="20"/>
                <w:szCs w:val="20"/>
              </w:rPr>
              <w:t>grudnia 2019 r.</w:t>
            </w:r>
          </w:p>
          <w:p w:rsidR="00C50077" w:rsidRPr="00C50077" w:rsidP="00C50077">
            <w:pPr>
              <w:numPr>
                <w:ilvl w:val="3"/>
                <w:numId w:val="17"/>
              </w:numPr>
              <w:shd w:val="clear" w:color="auto" w:fill="FFFFFF"/>
              <w:spacing w:before="120" w:after="120" w:line="240" w:lineRule="auto"/>
              <w:ind w:left="213" w:hanging="28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C50077">
              <w:rPr>
                <w:rFonts w:ascii="Arial" w:hAnsi="Arial" w:cs="Arial"/>
                <w:iCs/>
                <w:sz w:val="20"/>
                <w:szCs w:val="20"/>
              </w:rPr>
              <w:t>Opracowano i opublikowano na stronie internetowej  MAP „Sprawozdanie z wyników monitorowania bezpieczeństwa dostaw energii elektrycznej za okres od dnia 1 stycznia 2</w:t>
            </w:r>
            <w:r>
              <w:rPr>
                <w:rFonts w:ascii="Arial" w:hAnsi="Arial" w:cs="Arial"/>
                <w:iCs/>
                <w:sz w:val="20"/>
                <w:szCs w:val="20"/>
              </w:rPr>
              <w:t>017 r. do dnia 31 </w:t>
            </w:r>
            <w:r w:rsidRPr="00C50077">
              <w:rPr>
                <w:rFonts w:ascii="Arial" w:hAnsi="Arial" w:cs="Arial"/>
                <w:iCs/>
                <w:sz w:val="20"/>
                <w:szCs w:val="20"/>
              </w:rPr>
              <w:t xml:space="preserve">grudnia 2018 r.”  </w:t>
            </w:r>
          </w:p>
          <w:p w:rsidR="00C50077" w:rsidP="00C50077">
            <w:pPr>
              <w:numPr>
                <w:ilvl w:val="3"/>
                <w:numId w:val="17"/>
              </w:numPr>
              <w:shd w:val="clear" w:color="auto" w:fill="FFFFFF"/>
              <w:spacing w:before="120" w:after="120" w:line="240" w:lineRule="auto"/>
              <w:ind w:left="213" w:hanging="28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C50077">
              <w:rPr>
                <w:rFonts w:ascii="Arial" w:hAnsi="Arial" w:cs="Arial"/>
                <w:iCs/>
                <w:sz w:val="20"/>
                <w:szCs w:val="20"/>
              </w:rPr>
              <w:t xml:space="preserve">Prowadzono monitoring harmonogramu remontów bloków energetycznych oraz postępu prac </w:t>
            </w:r>
            <w:r w:rsidRPr="00C50077">
              <w:rPr>
                <w:rFonts w:ascii="Arial" w:hAnsi="Arial" w:cs="Arial"/>
                <w:iCs/>
                <w:sz w:val="20"/>
                <w:szCs w:val="20"/>
              </w:rPr>
              <w:t xml:space="preserve">przy budowie nowych bloków energetycznych. </w:t>
            </w:r>
          </w:p>
          <w:p w:rsidR="008873D9" w:rsidRPr="008873D9" w:rsidP="00C50077">
            <w:pPr>
              <w:numPr>
                <w:ilvl w:val="3"/>
                <w:numId w:val="17"/>
              </w:numPr>
              <w:shd w:val="clear" w:color="auto" w:fill="FFFFFF"/>
              <w:spacing w:before="120" w:after="120" w:line="240" w:lineRule="auto"/>
              <w:ind w:left="213" w:hanging="28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C50077">
              <w:rPr>
                <w:rFonts w:ascii="Arial" w:hAnsi="Arial" w:cs="Arial"/>
                <w:iCs/>
                <w:sz w:val="20"/>
                <w:szCs w:val="20"/>
              </w:rPr>
              <w:t>Aukcja główna w ramach rynku mocy na dostawę mocy w 2024 r. odbyła się w grudniu 2019 r.</w:t>
            </w:r>
          </w:p>
        </w:tc>
      </w:tr>
      <w:tr w:rsidTr="00C43C73">
        <w:tblPrEx>
          <w:tblW w:w="16155" w:type="dxa"/>
          <w:tblLook w:val="04A0"/>
        </w:tblPrEx>
        <w:tc>
          <w:tcPr>
            <w:tcW w:w="769" w:type="dxa"/>
          </w:tcPr>
          <w:p w:rsidR="008873D9" w:rsidRPr="00030DAB" w:rsidP="00A12E3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8873D9" w:rsidRPr="00030DAB" w:rsidP="008873D9">
            <w:pPr>
              <w:pStyle w:val="trescpisma"/>
              <w:shd w:val="clear" w:color="auto" w:fill="FFFFFF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shd w:val="clear" w:color="auto" w:fill="auto"/>
          </w:tcPr>
          <w:p w:rsidR="008873D9" w:rsidRPr="00030DAB" w:rsidP="008873D9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Nadwyżka mocy dyspozycyjnej</w:t>
            </w:r>
          </w:p>
        </w:tc>
        <w:tc>
          <w:tcPr>
            <w:tcW w:w="1914" w:type="dxa"/>
          </w:tcPr>
          <w:p w:rsidR="008873D9" w:rsidRPr="00030DAB" w:rsidP="008873D9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≥</w:t>
            </w:r>
            <w:r w:rsidR="00254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sz w:val="20"/>
                <w:szCs w:val="20"/>
              </w:rPr>
              <w:t>18%</w:t>
            </w:r>
          </w:p>
          <w:p w:rsidR="008873D9" w:rsidRPr="00030DAB" w:rsidP="008873D9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8873D9" w:rsidRPr="00030DAB" w:rsidP="008873D9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bd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3458" w:type="dxa"/>
            <w:vMerge/>
          </w:tcPr>
          <w:p w:rsidR="008873D9" w:rsidRPr="00030DAB" w:rsidP="008873D9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8873D9" w:rsidRPr="00030DAB" w:rsidP="008873D9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C73">
        <w:tblPrEx>
          <w:tblW w:w="16155" w:type="dxa"/>
          <w:tblLook w:val="04A0"/>
        </w:tblPrEx>
        <w:tc>
          <w:tcPr>
            <w:tcW w:w="769" w:type="dxa"/>
          </w:tcPr>
          <w:p w:rsidR="008873D9" w:rsidRPr="00030DAB" w:rsidP="00A12E3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8873D9" w:rsidRPr="00030DAB" w:rsidP="008873D9">
            <w:pPr>
              <w:pStyle w:val="trescpisma"/>
              <w:shd w:val="clear" w:color="auto" w:fill="FFFFFF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</w:tcPr>
          <w:p w:rsidR="008873D9" w:rsidRPr="00030DAB" w:rsidP="008873D9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 xml:space="preserve">Zakontraktowanie mocy na 2024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(zgodnie z </w:t>
            </w:r>
            <w:r w:rsidRPr="00030DAB">
              <w:rPr>
                <w:rFonts w:ascii="Arial" w:hAnsi="Arial" w:cs="Arial"/>
                <w:i/>
                <w:sz w:val="20"/>
                <w:szCs w:val="20"/>
              </w:rPr>
              <w:t>roz</w:t>
            </w:r>
            <w:r>
              <w:rPr>
                <w:rFonts w:ascii="Arial" w:hAnsi="Arial" w:cs="Arial"/>
                <w:i/>
                <w:sz w:val="20"/>
                <w:szCs w:val="20"/>
              </w:rPr>
              <w:t>porządzeniem Ministra Energii w </w:t>
            </w:r>
            <w:r w:rsidRPr="00030DAB">
              <w:rPr>
                <w:rFonts w:ascii="Arial" w:hAnsi="Arial" w:cs="Arial"/>
                <w:i/>
                <w:sz w:val="20"/>
                <w:szCs w:val="20"/>
              </w:rPr>
              <w:t xml:space="preserve">sprawie parametrów aukcji głównej dla okresów dostaw przypadających na </w:t>
            </w:r>
            <w:r w:rsidRPr="00030DAB">
              <w:rPr>
                <w:rFonts w:ascii="Arial" w:hAnsi="Arial" w:cs="Arial"/>
                <w:i/>
                <w:sz w:val="20"/>
                <w:szCs w:val="20"/>
              </w:rPr>
              <w:t>2024 r., k</w:t>
            </w:r>
            <w:r>
              <w:rPr>
                <w:rFonts w:ascii="Arial" w:hAnsi="Arial" w:cs="Arial"/>
                <w:i/>
                <w:sz w:val="20"/>
                <w:szCs w:val="20"/>
              </w:rPr>
              <w:t>tóre zostanie opracowane w </w:t>
            </w:r>
            <w:r w:rsidRPr="00030DAB">
              <w:rPr>
                <w:rFonts w:ascii="Arial" w:hAnsi="Arial" w:cs="Arial"/>
                <w:i/>
                <w:sz w:val="20"/>
                <w:szCs w:val="20"/>
              </w:rPr>
              <w:t>2019 r.)</w:t>
            </w:r>
          </w:p>
        </w:tc>
        <w:tc>
          <w:tcPr>
            <w:tcW w:w="1914" w:type="dxa"/>
          </w:tcPr>
          <w:p w:rsidR="008873D9" w:rsidRPr="00030DAB" w:rsidP="008873D9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8873D9" w:rsidRPr="00030DAB" w:rsidP="008873D9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8" w:type="dxa"/>
            <w:vMerge/>
          </w:tcPr>
          <w:p w:rsidR="008873D9" w:rsidRPr="00030DAB" w:rsidP="008873D9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8873D9" w:rsidRPr="00030DAB" w:rsidP="008873D9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55D06">
        <w:tblPrEx>
          <w:tblW w:w="16155" w:type="dxa"/>
          <w:tblLook w:val="04A0"/>
        </w:tblPrEx>
        <w:tc>
          <w:tcPr>
            <w:tcW w:w="769" w:type="dxa"/>
          </w:tcPr>
          <w:p w:rsidR="008873D9" w:rsidRPr="00030DAB" w:rsidP="00A12E3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8873D9" w:rsidRPr="00030DAB" w:rsidP="008873D9">
            <w:pPr>
              <w:pStyle w:val="trescpisma"/>
              <w:shd w:val="clear" w:color="auto" w:fill="FFFFFF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shd w:val="clear" w:color="auto" w:fill="auto"/>
          </w:tcPr>
          <w:p w:rsidR="008873D9" w:rsidRPr="00030DAB" w:rsidP="008873D9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Aktualizacja Programu polskiej energetyki jądrowej (PPEJ)</w:t>
            </w:r>
          </w:p>
        </w:tc>
        <w:tc>
          <w:tcPr>
            <w:tcW w:w="1914" w:type="dxa"/>
          </w:tcPr>
          <w:p w:rsidR="008873D9" w:rsidRPr="00030DAB" w:rsidP="008873D9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8873D9" w:rsidRPr="00030DAB" w:rsidP="008873D9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3458" w:type="dxa"/>
          </w:tcPr>
          <w:p w:rsidR="00FA147B" w:rsidRPr="00FA147B" w:rsidP="00290BA8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261" w:hanging="26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A147B">
              <w:rPr>
                <w:rFonts w:ascii="Arial" w:hAnsi="Arial" w:cs="Arial"/>
                <w:sz w:val="20"/>
                <w:szCs w:val="20"/>
              </w:rPr>
              <w:t>Przeprowadzenie konsultacji i uzgodnień, niezbędnych do przyjęcia przez RM PPEJ oraz przyjęcie PPEJ przez Radę Ministrów</w:t>
            </w:r>
            <w:r w:rsidRPr="007B0DD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73D9" w:rsidRPr="00F432EB" w:rsidP="00290BA8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261" w:hanging="261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FA147B">
              <w:rPr>
                <w:rFonts w:ascii="Arial" w:hAnsi="Arial" w:cs="Arial"/>
                <w:sz w:val="20"/>
                <w:szCs w:val="20"/>
              </w:rPr>
              <w:t>Rozpoczęcie realizacji PPEJ.</w:t>
            </w:r>
          </w:p>
        </w:tc>
        <w:tc>
          <w:tcPr>
            <w:tcW w:w="3715" w:type="dxa"/>
          </w:tcPr>
          <w:p w:rsidR="008873D9" w:rsidRPr="007E7EC9" w:rsidP="00290BA8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205" w:hanging="205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7EC9">
              <w:rPr>
                <w:rFonts w:ascii="Arial" w:hAnsi="Arial" w:cs="Arial"/>
                <w:sz w:val="20"/>
                <w:szCs w:val="20"/>
              </w:rPr>
              <w:t xml:space="preserve">Przygotowano projekt aktualizacji PPEJ. </w:t>
            </w:r>
          </w:p>
          <w:p w:rsidR="008873D9" w:rsidP="00290BA8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7EC9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rzeprowadzono uzgodnienia wewnę</w:t>
            </w:r>
            <w:r w:rsidRPr="007E7EC9">
              <w:rPr>
                <w:rFonts w:ascii="Arial" w:hAnsi="Arial" w:cs="Arial"/>
                <w:sz w:val="20"/>
                <w:szCs w:val="20"/>
              </w:rPr>
              <w:t xml:space="preserve">trzne. </w:t>
            </w:r>
          </w:p>
          <w:p w:rsidR="008873D9" w:rsidRPr="00030DAB" w:rsidP="00290BA8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Dalsze procedowanie dokumentu uzależnione jest od przyjęcia decyzji kierunkowych zawartych w projekcie </w:t>
            </w:r>
            <w:r w:rsidRPr="007E7EC9">
              <w:rPr>
                <w:rFonts w:ascii="Arial" w:hAnsi="Arial" w:cs="Arial"/>
                <w:i/>
                <w:sz w:val="20"/>
                <w:szCs w:val="20"/>
              </w:rPr>
              <w:t>Polityki energetycznej Polski do 2040 roku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Tr="00C55D06">
        <w:tblPrEx>
          <w:tblW w:w="16155" w:type="dxa"/>
          <w:tblLook w:val="04A0"/>
        </w:tblPrEx>
        <w:tc>
          <w:tcPr>
            <w:tcW w:w="769" w:type="dxa"/>
          </w:tcPr>
          <w:p w:rsidR="008873D9" w:rsidRPr="00030DAB" w:rsidP="00A12E3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8873D9" w:rsidRPr="00030DAB" w:rsidP="008873D9">
            <w:pPr>
              <w:pStyle w:val="trescpisma"/>
              <w:shd w:val="clear" w:color="auto" w:fill="FFFFFF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8873D9" w:rsidRPr="00030DAB" w:rsidP="008873D9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 xml:space="preserve">Aktualizacja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030DAB">
              <w:rPr>
                <w:rFonts w:ascii="Arial" w:hAnsi="Arial" w:cs="Arial"/>
                <w:sz w:val="20"/>
                <w:szCs w:val="20"/>
              </w:rPr>
              <w:t>przedstawienie Radzie Ministrów Krajowego planu postępowania</w:t>
            </w:r>
            <w:r w:rsidRPr="00030DAB">
              <w:rPr>
                <w:rFonts w:ascii="Arial" w:hAnsi="Arial" w:cs="Arial"/>
                <w:sz w:val="20"/>
                <w:szCs w:val="20"/>
              </w:rPr>
              <w:br/>
              <w:t xml:space="preserve">z odpadami promieniotwórczymi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030DAB">
              <w:rPr>
                <w:rFonts w:ascii="Arial" w:hAnsi="Arial" w:cs="Arial"/>
                <w:sz w:val="20"/>
                <w:szCs w:val="20"/>
              </w:rPr>
              <w:t>wypalonym paliwem jądrowym (</w:t>
            </w:r>
            <w:r w:rsidRPr="00030DAB">
              <w:rPr>
                <w:rFonts w:ascii="Arial" w:hAnsi="Arial" w:cs="Arial"/>
                <w:sz w:val="20"/>
                <w:szCs w:val="20"/>
              </w:rPr>
              <w:t>KPPzOPiWPJ</w:t>
            </w:r>
            <w:r w:rsidRPr="00030D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14" w:type="dxa"/>
          </w:tcPr>
          <w:p w:rsidR="008873D9" w:rsidRPr="00030DAB" w:rsidP="008873D9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8873D9" w:rsidRPr="00030DAB" w:rsidP="008873D9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3458" w:type="dxa"/>
          </w:tcPr>
          <w:p w:rsidR="008873D9" w:rsidRPr="00030DAB" w:rsidP="008873D9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>Przeprowadzenie przygotowań, konsultacji i uzgodnień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niezbędnych do aktualizacji i 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t xml:space="preserve">przyjęcia przez RM 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t>KPPzOPiWPJ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715" w:type="dxa"/>
          </w:tcPr>
          <w:p w:rsidR="008873D9" w:rsidRPr="00030DAB" w:rsidP="008873D9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Uzyskano zgodę GDOŚ i GIS na </w:t>
            </w: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 xml:space="preserve">odstąpienie od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obowiązku </w:t>
            </w:r>
            <w:r w:rsidR="00FA147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porządzenia strategicznej oceny oddziaływania na środowisko.</w:t>
            </w:r>
          </w:p>
        </w:tc>
      </w:tr>
      <w:tr w:rsidTr="00C55D06">
        <w:tblPrEx>
          <w:tblW w:w="16155" w:type="dxa"/>
          <w:tblLook w:val="04A0"/>
        </w:tblPrEx>
        <w:tc>
          <w:tcPr>
            <w:tcW w:w="769" w:type="dxa"/>
          </w:tcPr>
          <w:p w:rsidR="008873D9" w:rsidRPr="00030DAB" w:rsidP="00A12E3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8873D9" w:rsidRPr="00030DAB" w:rsidP="008873D9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8873D9" w:rsidRPr="00030DAB" w:rsidP="008873D9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 xml:space="preserve">Otrzymanie raportu </w:t>
            </w:r>
            <w:r w:rsidR="00FA147B">
              <w:rPr>
                <w:rFonts w:ascii="Arial" w:hAnsi="Arial" w:cs="Arial"/>
                <w:sz w:val="20"/>
                <w:szCs w:val="20"/>
              </w:rPr>
              <w:br/>
            </w:r>
            <w:r w:rsidRPr="00030DAB">
              <w:rPr>
                <w:rFonts w:ascii="Arial" w:hAnsi="Arial" w:cs="Arial"/>
                <w:sz w:val="20"/>
                <w:szCs w:val="20"/>
              </w:rPr>
              <w:t xml:space="preserve">o przydatności danej lokalizacji pod budowę nowego składowiska odpadów nisko- </w:t>
            </w:r>
            <w:r w:rsidR="00FA147B">
              <w:rPr>
                <w:rFonts w:ascii="Arial" w:hAnsi="Arial" w:cs="Arial"/>
                <w:sz w:val="20"/>
                <w:szCs w:val="20"/>
              </w:rPr>
              <w:br/>
            </w:r>
            <w:r w:rsidRPr="00030DA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030DAB">
              <w:rPr>
                <w:rFonts w:ascii="Arial" w:hAnsi="Arial" w:cs="Arial"/>
                <w:sz w:val="20"/>
                <w:szCs w:val="20"/>
              </w:rPr>
              <w:t>średnioaktywnych</w:t>
            </w:r>
          </w:p>
        </w:tc>
        <w:tc>
          <w:tcPr>
            <w:tcW w:w="1914" w:type="dxa"/>
          </w:tcPr>
          <w:p w:rsidR="008873D9" w:rsidRPr="00030DAB" w:rsidP="008873D9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8873D9" w:rsidRPr="00030DAB" w:rsidP="008873D9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8" w:type="dxa"/>
          </w:tcPr>
          <w:p w:rsidR="008873D9" w:rsidRPr="00030DAB" w:rsidP="008873D9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 xml:space="preserve">Wykonanie badań lokalizacyjnych dla przynajmniej jednej potencjalnej lokalizacji nowego składowiska odpadów promieniotwórczych nisko- i 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t>średnioaktywnych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715" w:type="dxa"/>
          </w:tcPr>
          <w:p w:rsidR="008873D9" w:rsidRPr="00030DAB" w:rsidP="008873D9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>Przeprowadzono badania lokalizacyjne dla nowej potencjalnej lokalizacji składowiska odpa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dów promieniotwórczych nisko- i </w:t>
            </w: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>średnioaktywnych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Tr="00290BA8">
        <w:tblPrEx>
          <w:tblW w:w="16155" w:type="dxa"/>
          <w:tblLook w:val="04A0"/>
        </w:tblPrEx>
        <w:tc>
          <w:tcPr>
            <w:tcW w:w="769" w:type="dxa"/>
          </w:tcPr>
          <w:p w:rsidR="008873D9" w:rsidRPr="00030DAB" w:rsidP="00A12E3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8873D9" w:rsidRPr="00030DAB" w:rsidP="008873D9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</w:tcPr>
          <w:p w:rsidR="008873D9" w:rsidRPr="00030DAB" w:rsidP="008873D9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Poparcie społeczne dla energetyki jądrowej</w:t>
            </w:r>
          </w:p>
        </w:tc>
        <w:tc>
          <w:tcPr>
            <w:tcW w:w="1914" w:type="dxa"/>
          </w:tcPr>
          <w:p w:rsidR="008873D9" w:rsidRPr="00030DAB" w:rsidP="008873D9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&gt;</w:t>
            </w:r>
            <w:r w:rsidR="00254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1915" w:type="dxa"/>
          </w:tcPr>
          <w:p w:rsidR="008873D9" w:rsidRPr="00030DAB" w:rsidP="008873D9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46,1</w:t>
            </w:r>
            <w:r w:rsidRPr="00030DAB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3458" w:type="dxa"/>
          </w:tcPr>
          <w:p w:rsidR="008873D9" w:rsidRPr="00030DAB" w:rsidP="008873D9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 xml:space="preserve">Prowadzenie działań informacyjnych,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edukacyjnych i 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t xml:space="preserve">popularyzatorskich w zakresie energetyki jądrowej, mających na celu utrzymanie i wzrost poparcia dla rozwoju energetyki jądrowej </w:t>
            </w:r>
            <w:r>
              <w:rPr>
                <w:rFonts w:ascii="Arial" w:hAnsi="Arial" w:cs="Arial"/>
                <w:iCs/>
                <w:sz w:val="20"/>
                <w:szCs w:val="20"/>
              </w:rPr>
              <w:t>–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t xml:space="preserve"> organizacja eventów, konferencji, seminariów, konsultacji społecznych, wizyt studyjnych, przygotowanie materiałów informacyjnych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br/>
              <w:t>i edukacyjnych – wydawnictw książkowych, ulotek, broszur, filmów edukacyjnych, gier, gadżetów, kalendarzy itp.</w:t>
            </w:r>
          </w:p>
        </w:tc>
        <w:tc>
          <w:tcPr>
            <w:tcW w:w="3715" w:type="dxa"/>
            <w:shd w:val="clear" w:color="auto" w:fill="auto"/>
          </w:tcPr>
          <w:p w:rsidR="008873D9" w:rsidRPr="001075D5" w:rsidP="00591451">
            <w:pPr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5D5">
              <w:rPr>
                <w:rFonts w:ascii="Arial" w:hAnsi="Arial" w:cs="Arial"/>
                <w:iCs/>
                <w:sz w:val="20"/>
                <w:szCs w:val="20"/>
              </w:rPr>
              <w:t>Prowadzenie działań informacyjnych, edukacyjnych i </w:t>
            </w:r>
            <w:r>
              <w:rPr>
                <w:rFonts w:ascii="Arial" w:hAnsi="Arial" w:cs="Arial"/>
                <w:iCs/>
                <w:sz w:val="20"/>
                <w:szCs w:val="20"/>
              </w:rPr>
              <w:t>popularyzatorskich w </w:t>
            </w:r>
            <w:r w:rsidRPr="001075D5">
              <w:rPr>
                <w:rFonts w:ascii="Arial" w:hAnsi="Arial" w:cs="Arial"/>
                <w:iCs/>
                <w:sz w:val="20"/>
                <w:szCs w:val="20"/>
              </w:rPr>
              <w:t>zakresie energetyki jądrowej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obejmowało w szczególności:</w:t>
            </w:r>
          </w:p>
          <w:p w:rsidR="001075D5" w:rsidRPr="001075D5" w:rsidP="00C43C73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ind w:left="355" w:hanging="355"/>
              <w:contextualSpacing w:val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Utworzenie</w:t>
            </w:r>
            <w:r w:rsidRPr="001075D5" w:rsidR="00127430">
              <w:rPr>
                <w:rFonts w:ascii="Arial" w:hAnsi="Arial" w:cs="Arial"/>
                <w:sz w:val="20"/>
                <w:szCs w:val="20"/>
              </w:rPr>
              <w:t xml:space="preserve"> stron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1075D5" w:rsidR="00127430">
              <w:rPr>
                <w:rFonts w:ascii="Arial" w:hAnsi="Arial" w:cs="Arial"/>
                <w:sz w:val="20"/>
                <w:szCs w:val="20"/>
              </w:rPr>
              <w:t xml:space="preserve"> edukacyjno-informacyjn</w:t>
            </w:r>
            <w:r>
              <w:rPr>
                <w:rFonts w:ascii="Arial" w:hAnsi="Arial" w:cs="Arial"/>
                <w:sz w:val="20"/>
                <w:szCs w:val="20"/>
              </w:rPr>
              <w:t>ej</w:t>
            </w:r>
            <w:r w:rsidRPr="001075D5" w:rsidR="001274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5D5">
              <w:rPr>
                <w:rFonts w:ascii="Arial" w:hAnsi="Arial" w:cs="Arial"/>
                <w:i/>
                <w:sz w:val="20"/>
                <w:szCs w:val="20"/>
              </w:rPr>
              <w:t>www.</w:t>
            </w:r>
            <w:r w:rsidRPr="001075D5" w:rsidR="00127430">
              <w:rPr>
                <w:rFonts w:ascii="Arial" w:hAnsi="Arial" w:cs="Arial"/>
                <w:i/>
                <w:sz w:val="20"/>
                <w:szCs w:val="20"/>
              </w:rPr>
              <w:t>polskiatom.gov.pl</w:t>
            </w:r>
            <w:r w:rsidRPr="001075D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88278B" w:rsidRPr="001075D5" w:rsidP="00C43C73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ind w:left="355" w:hanging="355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075D5" w:rsidR="00127430">
              <w:rPr>
                <w:rFonts w:ascii="Arial" w:hAnsi="Arial" w:cs="Arial"/>
                <w:sz w:val="20"/>
                <w:szCs w:val="20"/>
              </w:rPr>
              <w:t>yda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1075D5" w:rsidR="001274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5D5">
              <w:rPr>
                <w:rFonts w:ascii="Arial" w:hAnsi="Arial" w:cs="Arial"/>
                <w:sz w:val="20"/>
                <w:szCs w:val="20"/>
              </w:rPr>
              <w:t>szeregu publikacji książkowych, w tym:</w:t>
            </w:r>
          </w:p>
          <w:p w:rsidR="00127430" w:rsidRPr="001075D5" w:rsidP="00C43C7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ind w:left="496" w:hanging="283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75D5">
              <w:rPr>
                <w:rFonts w:ascii="Arial" w:hAnsi="Arial" w:cs="Arial"/>
                <w:sz w:val="20"/>
                <w:szCs w:val="20"/>
              </w:rPr>
              <w:t xml:space="preserve"> „Energia dla klimatu”</w:t>
            </w:r>
            <w:r w:rsidR="001075D5">
              <w:rPr>
                <w:rFonts w:ascii="Arial" w:hAnsi="Arial" w:cs="Arial"/>
                <w:sz w:val="20"/>
                <w:szCs w:val="20"/>
              </w:rPr>
              <w:t xml:space="preserve"> wydanie</w:t>
            </w:r>
            <w:r w:rsidRPr="001075D5" w:rsidR="001075D5">
              <w:rPr>
                <w:rFonts w:ascii="Arial" w:hAnsi="Arial" w:cs="Arial"/>
                <w:sz w:val="20"/>
                <w:szCs w:val="20"/>
              </w:rPr>
              <w:t xml:space="preserve"> PWN </w:t>
            </w:r>
            <w:r w:rsidR="001075D5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1075D5">
              <w:rPr>
                <w:rFonts w:ascii="Arial" w:hAnsi="Arial" w:cs="Arial"/>
                <w:sz w:val="20"/>
                <w:szCs w:val="20"/>
              </w:rPr>
              <w:t>dystrybucja wśród interesariuszy,</w:t>
            </w:r>
          </w:p>
          <w:p w:rsidR="00127430" w:rsidRPr="001075D5" w:rsidP="00C43C7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ind w:left="496" w:hanging="283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75D5">
              <w:rPr>
                <w:rFonts w:ascii="Arial" w:hAnsi="Arial" w:cs="Arial"/>
                <w:sz w:val="20"/>
                <w:szCs w:val="20"/>
              </w:rPr>
              <w:t xml:space="preserve"> „Klimatyczna ruletka”</w:t>
            </w:r>
            <w:r w:rsidRPr="001075D5" w:rsidR="00107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5D5">
              <w:rPr>
                <w:rFonts w:ascii="Arial" w:hAnsi="Arial" w:cs="Arial"/>
                <w:sz w:val="20"/>
                <w:szCs w:val="20"/>
              </w:rPr>
              <w:t>(</w:t>
            </w:r>
            <w:r w:rsidRPr="001075D5" w:rsidR="001075D5">
              <w:rPr>
                <w:rFonts w:ascii="Arial" w:hAnsi="Arial" w:cs="Arial"/>
                <w:sz w:val="20"/>
                <w:szCs w:val="20"/>
              </w:rPr>
              <w:t>dodruk książki</w:t>
            </w:r>
            <w:r w:rsidR="001075D5">
              <w:rPr>
                <w:rFonts w:ascii="Arial" w:hAnsi="Arial" w:cs="Arial"/>
                <w:sz w:val="20"/>
                <w:szCs w:val="20"/>
              </w:rPr>
              <w:t>)</w:t>
            </w:r>
            <w:r w:rsidRPr="001075D5">
              <w:rPr>
                <w:rFonts w:ascii="Arial" w:hAnsi="Arial" w:cs="Arial"/>
                <w:sz w:val="20"/>
                <w:szCs w:val="20"/>
              </w:rPr>
              <w:t xml:space="preserve"> i jej dystrybucja wśród interesariuszy,</w:t>
            </w:r>
          </w:p>
          <w:p w:rsidR="00C55D06" w:rsidRPr="001075D5" w:rsidP="00C43C7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ind w:left="496" w:hanging="283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75D5">
              <w:rPr>
                <w:rFonts w:ascii="Arial" w:hAnsi="Arial" w:cs="Arial"/>
                <w:sz w:val="20"/>
                <w:szCs w:val="20"/>
              </w:rPr>
              <w:t xml:space="preserve"> „Idol-Maria Skłodowska – Curie”</w:t>
            </w:r>
            <w:r w:rsidR="001075D5">
              <w:rPr>
                <w:rFonts w:ascii="Arial" w:hAnsi="Arial" w:cs="Arial"/>
                <w:sz w:val="20"/>
                <w:szCs w:val="20"/>
              </w:rPr>
              <w:t xml:space="preserve"> (książka</w:t>
            </w:r>
            <w:r w:rsidRPr="001075D5" w:rsidR="001075D5">
              <w:rPr>
                <w:rFonts w:ascii="Arial" w:hAnsi="Arial" w:cs="Arial"/>
                <w:sz w:val="20"/>
                <w:szCs w:val="20"/>
              </w:rPr>
              <w:t xml:space="preserve"> dla dzieci</w:t>
            </w:r>
            <w:r w:rsidR="001075D5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1075D5" w:rsidP="00C43C73">
            <w:pPr>
              <w:pStyle w:val="ListParagraph"/>
              <w:numPr>
                <w:ilvl w:val="0"/>
                <w:numId w:val="30"/>
              </w:numPr>
              <w:tabs>
                <w:tab w:val="left" w:pos="62"/>
              </w:tabs>
              <w:spacing w:before="120" w:after="120" w:line="240" w:lineRule="auto"/>
              <w:ind w:left="355" w:hanging="355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75D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rzygotowanie materiałów informacyjnych w postaci infografik.</w:t>
            </w:r>
          </w:p>
          <w:p w:rsidR="001075D5" w:rsidP="00C43C73">
            <w:pPr>
              <w:pStyle w:val="ListParagraph"/>
              <w:numPr>
                <w:ilvl w:val="0"/>
                <w:numId w:val="30"/>
              </w:numPr>
              <w:tabs>
                <w:tab w:val="left" w:pos="62"/>
              </w:tabs>
              <w:spacing w:before="120" w:after="120" w:line="240" w:lineRule="auto"/>
              <w:ind w:left="355" w:hanging="355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</w:t>
            </w:r>
            <w:r w:rsidRPr="001075D5" w:rsidR="00127430">
              <w:rPr>
                <w:rFonts w:ascii="Arial" w:hAnsi="Arial" w:cs="Arial"/>
                <w:sz w:val="20"/>
                <w:szCs w:val="20"/>
              </w:rPr>
              <w:t xml:space="preserve"> w Pikniku Centrum N</w:t>
            </w:r>
            <w:r w:rsidRPr="001075D5">
              <w:rPr>
                <w:rFonts w:ascii="Arial" w:hAnsi="Arial" w:cs="Arial"/>
                <w:sz w:val="20"/>
                <w:szCs w:val="20"/>
              </w:rPr>
              <w:t>auki Kopernik i Polskiego Radia.</w:t>
            </w:r>
          </w:p>
          <w:p w:rsidR="00616E7A" w:rsidP="00C43C73">
            <w:pPr>
              <w:pStyle w:val="ListParagraph"/>
              <w:numPr>
                <w:ilvl w:val="0"/>
                <w:numId w:val="30"/>
              </w:numPr>
              <w:tabs>
                <w:tab w:val="left" w:pos="62"/>
              </w:tabs>
              <w:spacing w:before="120" w:after="120" w:line="240" w:lineRule="auto"/>
              <w:ind w:left="355" w:hanging="355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6E7A">
              <w:rPr>
                <w:rFonts w:ascii="Arial" w:hAnsi="Arial" w:cs="Arial"/>
                <w:sz w:val="20"/>
                <w:szCs w:val="20"/>
              </w:rPr>
              <w:t>P</w:t>
            </w:r>
            <w:r w:rsidRPr="00616E7A" w:rsidR="00127430">
              <w:rPr>
                <w:rFonts w:ascii="Arial" w:hAnsi="Arial" w:cs="Arial"/>
                <w:sz w:val="20"/>
                <w:szCs w:val="20"/>
              </w:rPr>
              <w:t>rzekazywanie materiałów promocyjnych na pikniki edukacyjn</w:t>
            </w:r>
            <w:r w:rsidRPr="00616E7A">
              <w:rPr>
                <w:rFonts w:ascii="Arial" w:hAnsi="Arial" w:cs="Arial"/>
                <w:sz w:val="20"/>
                <w:szCs w:val="20"/>
              </w:rPr>
              <w:t>e m.in. w Otwocku, parafialny w </w:t>
            </w:r>
            <w:r w:rsidRPr="00616E7A" w:rsidR="00127430">
              <w:rPr>
                <w:rFonts w:ascii="Arial" w:hAnsi="Arial" w:cs="Arial"/>
                <w:sz w:val="20"/>
                <w:szCs w:val="20"/>
              </w:rPr>
              <w:t xml:space="preserve">Warszawie </w:t>
            </w:r>
            <w:r w:rsidR="00C43C73">
              <w:rPr>
                <w:rFonts w:ascii="Arial" w:hAnsi="Arial" w:cs="Arial"/>
                <w:sz w:val="20"/>
                <w:szCs w:val="20"/>
              </w:rPr>
              <w:t>oraz organizacjom edukacyjnym (np. </w:t>
            </w:r>
            <w:r w:rsidRPr="00616E7A" w:rsidR="00127430">
              <w:rPr>
                <w:rFonts w:ascii="Arial" w:hAnsi="Arial" w:cs="Arial"/>
                <w:sz w:val="20"/>
                <w:szCs w:val="20"/>
              </w:rPr>
              <w:t>organizacji Edukacja Obywatelska), szkołom</w:t>
            </w:r>
            <w:r w:rsidR="00C43C73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16E7A">
              <w:rPr>
                <w:rFonts w:ascii="Arial" w:hAnsi="Arial" w:cs="Arial"/>
                <w:sz w:val="20"/>
                <w:szCs w:val="20"/>
              </w:rPr>
              <w:t>przedszkolom.</w:t>
            </w:r>
          </w:p>
          <w:p w:rsidR="00616E7A" w:rsidP="00C43C73">
            <w:pPr>
              <w:pStyle w:val="ListParagraph"/>
              <w:numPr>
                <w:ilvl w:val="0"/>
                <w:numId w:val="30"/>
              </w:numPr>
              <w:tabs>
                <w:tab w:val="left" w:pos="62"/>
              </w:tabs>
              <w:spacing w:before="120" w:after="120" w:line="240" w:lineRule="auto"/>
              <w:ind w:left="355" w:hanging="355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6E7A">
              <w:rPr>
                <w:rFonts w:ascii="Arial" w:hAnsi="Arial" w:cs="Arial"/>
                <w:sz w:val="20"/>
                <w:szCs w:val="20"/>
              </w:rPr>
              <w:t>Wygłoszenie w</w:t>
            </w:r>
            <w:r w:rsidRPr="00616E7A" w:rsidR="00127430">
              <w:rPr>
                <w:rFonts w:ascii="Arial" w:hAnsi="Arial" w:cs="Arial"/>
                <w:sz w:val="20"/>
                <w:szCs w:val="20"/>
              </w:rPr>
              <w:t>ykład</w:t>
            </w:r>
            <w:r w:rsidRPr="00616E7A">
              <w:rPr>
                <w:rFonts w:ascii="Arial" w:hAnsi="Arial" w:cs="Arial"/>
                <w:sz w:val="20"/>
                <w:szCs w:val="20"/>
              </w:rPr>
              <w:t xml:space="preserve">u inauguracyjnego </w:t>
            </w:r>
            <w:r w:rsidRPr="00616E7A" w:rsidR="00127430">
              <w:rPr>
                <w:rFonts w:ascii="Arial" w:hAnsi="Arial" w:cs="Arial"/>
                <w:sz w:val="20"/>
                <w:szCs w:val="20"/>
              </w:rPr>
              <w:t xml:space="preserve">na zakończenie roku – Uniwersytet Dziecięcy działający </w:t>
            </w:r>
            <w:r w:rsidRPr="00616E7A">
              <w:rPr>
                <w:rFonts w:ascii="Arial" w:hAnsi="Arial" w:cs="Arial"/>
                <w:sz w:val="20"/>
                <w:szCs w:val="20"/>
              </w:rPr>
              <w:t>na Politechnice Świętokrzyskiej.</w:t>
            </w:r>
          </w:p>
          <w:p w:rsidR="00616E7A" w:rsidP="00C43C73">
            <w:pPr>
              <w:pStyle w:val="ListParagraph"/>
              <w:numPr>
                <w:ilvl w:val="0"/>
                <w:numId w:val="30"/>
              </w:numPr>
              <w:tabs>
                <w:tab w:val="left" w:pos="62"/>
              </w:tabs>
              <w:spacing w:before="120" w:after="120" w:line="240" w:lineRule="auto"/>
              <w:ind w:left="355" w:hanging="355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6E7A">
              <w:rPr>
                <w:rFonts w:ascii="Arial" w:hAnsi="Arial" w:cs="Arial"/>
                <w:sz w:val="20"/>
                <w:szCs w:val="20"/>
              </w:rPr>
              <w:t>O</w:t>
            </w:r>
            <w:r w:rsidRPr="00616E7A" w:rsidR="00127430">
              <w:rPr>
                <w:rFonts w:ascii="Arial" w:hAnsi="Arial" w:cs="Arial"/>
                <w:sz w:val="20"/>
                <w:szCs w:val="20"/>
              </w:rPr>
              <w:t xml:space="preserve">rganizacja </w:t>
            </w:r>
            <w:r w:rsidRPr="00616E7A">
              <w:rPr>
                <w:rFonts w:ascii="Arial" w:hAnsi="Arial" w:cs="Arial"/>
                <w:sz w:val="20"/>
                <w:szCs w:val="20"/>
              </w:rPr>
              <w:t>lekcji dla 160  nauczycieli – „J</w:t>
            </w:r>
            <w:r w:rsidR="002E3EE7">
              <w:rPr>
                <w:rFonts w:ascii="Arial" w:hAnsi="Arial" w:cs="Arial"/>
                <w:sz w:val="20"/>
                <w:szCs w:val="20"/>
              </w:rPr>
              <w:t>ak uczyć o </w:t>
            </w:r>
            <w:r w:rsidRPr="00616E7A" w:rsidR="00127430">
              <w:rPr>
                <w:rFonts w:ascii="Arial" w:hAnsi="Arial" w:cs="Arial"/>
                <w:sz w:val="20"/>
                <w:szCs w:val="20"/>
              </w:rPr>
              <w:t>energetyce jądrowej”</w:t>
            </w:r>
            <w:r w:rsidRPr="00616E7A" w:rsidR="00F44CAB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616E7A">
              <w:rPr>
                <w:rFonts w:ascii="Arial" w:hAnsi="Arial" w:cs="Arial"/>
                <w:sz w:val="20"/>
                <w:szCs w:val="20"/>
              </w:rPr>
              <w:t>–</w:t>
            </w:r>
            <w:r w:rsidRPr="00616E7A" w:rsidR="00F44CAB">
              <w:rPr>
                <w:rFonts w:ascii="Arial" w:hAnsi="Arial" w:cs="Arial"/>
                <w:sz w:val="20"/>
                <w:szCs w:val="20"/>
              </w:rPr>
              <w:t>p</w:t>
            </w:r>
            <w:r w:rsidRPr="00616E7A" w:rsidR="00127430">
              <w:rPr>
                <w:rFonts w:ascii="Arial" w:hAnsi="Arial" w:cs="Arial"/>
                <w:sz w:val="20"/>
                <w:szCs w:val="20"/>
              </w:rPr>
              <w:t>rzep</w:t>
            </w:r>
            <w:r w:rsidRPr="00616E7A">
              <w:rPr>
                <w:rFonts w:ascii="Arial" w:hAnsi="Arial" w:cs="Arial"/>
                <w:sz w:val="20"/>
                <w:szCs w:val="20"/>
              </w:rPr>
              <w:t>rowadzenie 250 lekcji  fizyki w szkołach.</w:t>
            </w:r>
          </w:p>
          <w:p w:rsidR="00616E7A" w:rsidP="00C43C73">
            <w:pPr>
              <w:pStyle w:val="ListParagraph"/>
              <w:numPr>
                <w:ilvl w:val="0"/>
                <w:numId w:val="30"/>
              </w:numPr>
              <w:tabs>
                <w:tab w:val="left" w:pos="62"/>
              </w:tabs>
              <w:spacing w:before="120" w:after="120" w:line="240" w:lineRule="auto"/>
              <w:ind w:left="355" w:hanging="355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6E7A">
              <w:rPr>
                <w:rFonts w:ascii="Arial" w:hAnsi="Arial" w:cs="Arial"/>
                <w:sz w:val="20"/>
                <w:szCs w:val="20"/>
              </w:rPr>
              <w:t>Z</w:t>
            </w:r>
            <w:r w:rsidRPr="00616E7A" w:rsidR="00127430">
              <w:rPr>
                <w:rFonts w:ascii="Arial" w:hAnsi="Arial" w:cs="Arial"/>
                <w:sz w:val="20"/>
                <w:szCs w:val="20"/>
              </w:rPr>
              <w:t>amówienie materiałów z zakresu fizyki dla kół naukowych w sz</w:t>
            </w:r>
            <w:r w:rsidRPr="00616E7A" w:rsidR="00C55D06">
              <w:rPr>
                <w:rFonts w:ascii="Arial" w:hAnsi="Arial" w:cs="Arial"/>
                <w:sz w:val="20"/>
                <w:szCs w:val="20"/>
              </w:rPr>
              <w:t>kołach podstawowych i średnich</w:t>
            </w:r>
          </w:p>
          <w:p w:rsidR="00616E7A" w:rsidP="00C43C73">
            <w:pPr>
              <w:pStyle w:val="ListParagraph"/>
              <w:numPr>
                <w:ilvl w:val="0"/>
                <w:numId w:val="30"/>
              </w:numPr>
              <w:tabs>
                <w:tab w:val="left" w:pos="62"/>
              </w:tabs>
              <w:spacing w:before="120" w:after="120" w:line="240" w:lineRule="auto"/>
              <w:ind w:left="355" w:hanging="355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6E7A">
              <w:rPr>
                <w:rFonts w:ascii="Arial" w:hAnsi="Arial" w:cs="Arial"/>
                <w:sz w:val="20"/>
                <w:szCs w:val="20"/>
              </w:rPr>
              <w:t>P</w:t>
            </w:r>
            <w:r w:rsidRPr="00616E7A" w:rsidR="00127430">
              <w:rPr>
                <w:rFonts w:ascii="Arial" w:hAnsi="Arial" w:cs="Arial"/>
                <w:sz w:val="20"/>
                <w:szCs w:val="20"/>
              </w:rPr>
              <w:t>ublikacja artykułów w gazetach</w:t>
            </w:r>
            <w:r w:rsidRPr="00616E7A" w:rsidR="00C55D06">
              <w:rPr>
                <w:rFonts w:ascii="Arial" w:hAnsi="Arial" w:cs="Arial"/>
                <w:sz w:val="20"/>
                <w:szCs w:val="20"/>
              </w:rPr>
              <w:t xml:space="preserve"> m.in.</w:t>
            </w:r>
            <w:r w:rsidRPr="00616E7A" w:rsidR="00127430">
              <w:rPr>
                <w:rFonts w:ascii="Arial" w:hAnsi="Arial" w:cs="Arial"/>
                <w:sz w:val="20"/>
                <w:szCs w:val="20"/>
              </w:rPr>
              <w:t>: „Postępy fizyki</w:t>
            </w:r>
            <w:r w:rsidRPr="00616E7A" w:rsidR="00C55D06">
              <w:rPr>
                <w:rFonts w:ascii="Arial" w:hAnsi="Arial" w:cs="Arial"/>
                <w:sz w:val="20"/>
                <w:szCs w:val="20"/>
              </w:rPr>
              <w:t>” i „Wszystko co najważniejsze”</w:t>
            </w:r>
            <w:r w:rsidRPr="00616E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6E7A" w:rsidP="00C43C73">
            <w:pPr>
              <w:pStyle w:val="ListParagraph"/>
              <w:numPr>
                <w:ilvl w:val="0"/>
                <w:numId w:val="30"/>
              </w:numPr>
              <w:tabs>
                <w:tab w:val="left" w:pos="62"/>
                <w:tab w:val="left" w:pos="345"/>
              </w:tabs>
              <w:spacing w:before="120" w:after="120" w:line="240" w:lineRule="auto"/>
              <w:ind w:left="355" w:hanging="355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16E7A" w:rsidR="00127430">
              <w:rPr>
                <w:rFonts w:ascii="Arial" w:hAnsi="Arial" w:cs="Arial"/>
                <w:sz w:val="20"/>
                <w:szCs w:val="20"/>
              </w:rPr>
              <w:t>rganizacja wyjazd</w:t>
            </w:r>
            <w:r w:rsidRPr="00616E7A" w:rsidR="0088278B">
              <w:rPr>
                <w:rFonts w:ascii="Arial" w:hAnsi="Arial" w:cs="Arial"/>
                <w:sz w:val="20"/>
                <w:szCs w:val="20"/>
              </w:rPr>
              <w:t>ów</w:t>
            </w:r>
            <w:r w:rsidRPr="00616E7A" w:rsidR="00127430">
              <w:rPr>
                <w:rFonts w:ascii="Arial" w:hAnsi="Arial" w:cs="Arial"/>
                <w:sz w:val="20"/>
                <w:szCs w:val="20"/>
              </w:rPr>
              <w:t xml:space="preserve"> edukacyjn</w:t>
            </w:r>
            <w:r w:rsidRPr="00616E7A" w:rsidR="0088278B">
              <w:rPr>
                <w:rFonts w:ascii="Arial" w:hAnsi="Arial" w:cs="Arial"/>
                <w:sz w:val="20"/>
                <w:szCs w:val="20"/>
              </w:rPr>
              <w:t>ych</w:t>
            </w:r>
            <w:r w:rsidRPr="00616E7A" w:rsidR="00127430">
              <w:rPr>
                <w:rFonts w:ascii="Arial" w:hAnsi="Arial" w:cs="Arial"/>
                <w:sz w:val="20"/>
                <w:szCs w:val="20"/>
              </w:rPr>
              <w:t xml:space="preserve"> do Narod</w:t>
            </w:r>
            <w:r>
              <w:rPr>
                <w:rFonts w:ascii="Arial" w:hAnsi="Arial" w:cs="Arial"/>
                <w:sz w:val="20"/>
                <w:szCs w:val="20"/>
              </w:rPr>
              <w:t>owego Centrum Badań Jądrowych w </w:t>
            </w:r>
            <w:r w:rsidRPr="00616E7A" w:rsidR="00127430">
              <w:rPr>
                <w:rFonts w:ascii="Arial" w:hAnsi="Arial" w:cs="Arial"/>
                <w:sz w:val="20"/>
                <w:szCs w:val="20"/>
              </w:rPr>
              <w:t>Świerku dla interesariuszy,</w:t>
            </w:r>
            <w:r w:rsidR="00C43C73">
              <w:rPr>
                <w:rFonts w:ascii="Arial" w:hAnsi="Arial" w:cs="Arial"/>
                <w:sz w:val="20"/>
                <w:szCs w:val="20"/>
              </w:rPr>
              <w:t xml:space="preserve"> w </w:t>
            </w:r>
            <w:r>
              <w:rPr>
                <w:rFonts w:ascii="Arial" w:hAnsi="Arial" w:cs="Arial"/>
                <w:sz w:val="20"/>
                <w:szCs w:val="20"/>
              </w:rPr>
              <w:t>tym kierownictwa b. Ministerstwa Energii.</w:t>
            </w:r>
          </w:p>
          <w:p w:rsidR="00616E7A" w:rsidP="00C43C73">
            <w:pPr>
              <w:pStyle w:val="ListParagraph"/>
              <w:numPr>
                <w:ilvl w:val="0"/>
                <w:numId w:val="30"/>
              </w:numPr>
              <w:tabs>
                <w:tab w:val="left" w:pos="62"/>
                <w:tab w:val="left" w:pos="345"/>
              </w:tabs>
              <w:spacing w:before="120" w:after="120" w:line="240" w:lineRule="auto"/>
              <w:ind w:left="355" w:hanging="355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Przygotowanie ulotek </w:t>
            </w:r>
            <w:r w:rsidRPr="00616E7A" w:rsidR="00C55D06">
              <w:rPr>
                <w:rFonts w:ascii="Arial" w:hAnsi="Arial" w:cs="Arial"/>
                <w:sz w:val="20"/>
                <w:szCs w:val="20"/>
              </w:rPr>
              <w:t>edukacyjnych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6E7A" w:rsidP="00C43C73">
            <w:pPr>
              <w:pStyle w:val="ListParagraph"/>
              <w:numPr>
                <w:ilvl w:val="0"/>
                <w:numId w:val="30"/>
              </w:numPr>
              <w:tabs>
                <w:tab w:val="left" w:pos="62"/>
                <w:tab w:val="left" w:pos="345"/>
              </w:tabs>
              <w:spacing w:before="120" w:after="120" w:line="240" w:lineRule="auto"/>
              <w:ind w:left="355" w:hanging="355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16E7A">
              <w:rPr>
                <w:rFonts w:ascii="Arial" w:hAnsi="Arial" w:cs="Arial"/>
                <w:sz w:val="20"/>
                <w:szCs w:val="20"/>
              </w:rPr>
              <w:t>rowadzenie</w:t>
            </w:r>
            <w:r w:rsidRPr="00616E7A" w:rsidR="00127430">
              <w:rPr>
                <w:rFonts w:ascii="Arial" w:hAnsi="Arial" w:cs="Arial"/>
                <w:sz w:val="20"/>
                <w:szCs w:val="20"/>
              </w:rPr>
              <w:t xml:space="preserve"> profilu na portalu </w:t>
            </w:r>
            <w:r>
              <w:rPr>
                <w:rFonts w:ascii="Arial" w:hAnsi="Arial" w:cs="Arial"/>
                <w:sz w:val="20"/>
                <w:szCs w:val="20"/>
              </w:rPr>
              <w:t>społecznościowym na Facebooku i kanale YouTube.</w:t>
            </w:r>
          </w:p>
          <w:p w:rsidR="00616E7A" w:rsidP="00C43C73">
            <w:pPr>
              <w:pStyle w:val="ListParagraph"/>
              <w:numPr>
                <w:ilvl w:val="0"/>
                <w:numId w:val="30"/>
              </w:numPr>
              <w:tabs>
                <w:tab w:val="left" w:pos="62"/>
                <w:tab w:val="left" w:pos="345"/>
              </w:tabs>
              <w:spacing w:before="120" w:after="120" w:line="240" w:lineRule="auto"/>
              <w:ind w:left="355" w:hanging="355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6E7A">
              <w:rPr>
                <w:rFonts w:ascii="Arial" w:hAnsi="Arial" w:cs="Arial"/>
                <w:sz w:val="20"/>
                <w:szCs w:val="20"/>
              </w:rPr>
              <w:t>Z</w:t>
            </w:r>
            <w:r w:rsidRPr="00616E7A" w:rsidR="00127430">
              <w:rPr>
                <w:rFonts w:ascii="Arial" w:hAnsi="Arial" w:cs="Arial"/>
                <w:sz w:val="20"/>
                <w:szCs w:val="20"/>
              </w:rPr>
              <w:t xml:space="preserve">większanie dostępności przygotowywanych materiałów filmowych (zamówienie </w:t>
            </w:r>
            <w:r w:rsidRPr="00616E7A" w:rsidR="00127430">
              <w:rPr>
                <w:rFonts w:ascii="Arial" w:hAnsi="Arial" w:cs="Arial"/>
                <w:sz w:val="20"/>
                <w:szCs w:val="20"/>
              </w:rPr>
              <w:t>audiodeskrypcji</w:t>
            </w:r>
            <w:r>
              <w:rPr>
                <w:rFonts w:ascii="Arial" w:hAnsi="Arial" w:cs="Arial"/>
                <w:sz w:val="20"/>
                <w:szCs w:val="20"/>
              </w:rPr>
              <w:t xml:space="preserve"> i tłumaczenia na język migowy).</w:t>
            </w:r>
          </w:p>
          <w:p w:rsidR="00127430" w:rsidRPr="00616E7A" w:rsidP="00C43C73">
            <w:pPr>
              <w:pStyle w:val="ListParagraph"/>
              <w:numPr>
                <w:ilvl w:val="0"/>
                <w:numId w:val="30"/>
              </w:numPr>
              <w:tabs>
                <w:tab w:val="left" w:pos="62"/>
                <w:tab w:val="left" w:pos="345"/>
              </w:tabs>
              <w:spacing w:before="120" w:after="120" w:line="240" w:lineRule="auto"/>
              <w:ind w:left="355" w:hanging="355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16E7A">
              <w:rPr>
                <w:rFonts w:ascii="Arial" w:hAnsi="Arial" w:cs="Arial"/>
                <w:sz w:val="20"/>
                <w:szCs w:val="20"/>
              </w:rPr>
              <w:t xml:space="preserve">dział przedstawicieli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16E7A">
              <w:rPr>
                <w:rFonts w:ascii="Arial" w:hAnsi="Arial" w:cs="Arial"/>
                <w:sz w:val="20"/>
                <w:szCs w:val="20"/>
              </w:rPr>
              <w:t>epartamentu</w:t>
            </w:r>
            <w:r>
              <w:rPr>
                <w:rFonts w:ascii="Arial" w:hAnsi="Arial" w:cs="Arial"/>
                <w:sz w:val="20"/>
                <w:szCs w:val="20"/>
              </w:rPr>
              <w:t xml:space="preserve"> Energii Jądrowej w </w:t>
            </w:r>
            <w:r w:rsidRPr="00616E7A">
              <w:rPr>
                <w:rFonts w:ascii="Arial" w:hAnsi="Arial" w:cs="Arial"/>
                <w:sz w:val="20"/>
                <w:szCs w:val="20"/>
              </w:rPr>
              <w:t xml:space="preserve">konferencjach </w:t>
            </w:r>
            <w:r w:rsidRPr="00616E7A" w:rsidR="00F44CAB">
              <w:rPr>
                <w:rFonts w:ascii="Arial" w:hAnsi="Arial" w:cs="Arial"/>
                <w:sz w:val="20"/>
                <w:szCs w:val="20"/>
              </w:rPr>
              <w:t>i seminariac</w:t>
            </w:r>
            <w:r>
              <w:rPr>
                <w:rFonts w:ascii="Arial" w:hAnsi="Arial" w:cs="Arial"/>
                <w:sz w:val="20"/>
                <w:szCs w:val="20"/>
              </w:rPr>
              <w:t xml:space="preserve">h, organizowanych na uczelniach oraz w </w:t>
            </w:r>
            <w:r w:rsidRPr="00616E7A">
              <w:rPr>
                <w:rFonts w:ascii="Arial" w:hAnsi="Arial" w:cs="Arial"/>
                <w:sz w:val="20"/>
                <w:szCs w:val="20"/>
              </w:rPr>
              <w:t>programach radiowych.</w:t>
            </w:r>
          </w:p>
        </w:tc>
      </w:tr>
      <w:tr w:rsidTr="00C55D06">
        <w:tblPrEx>
          <w:tblW w:w="16155" w:type="dxa"/>
          <w:tblLook w:val="04A0"/>
        </w:tblPrEx>
        <w:tc>
          <w:tcPr>
            <w:tcW w:w="769" w:type="dxa"/>
          </w:tcPr>
          <w:p w:rsidR="008873D9" w:rsidRPr="00030DAB" w:rsidP="00A12E3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8873D9" w:rsidRPr="00030DAB" w:rsidP="008873D9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</w:tcPr>
          <w:p w:rsidR="008873D9" w:rsidRPr="00030DAB" w:rsidP="008873D9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 xml:space="preserve">Ilość zapasów interwencyjnych ekwiwalentu ropy naftowej w dniach </w:t>
            </w:r>
            <w:r w:rsidRPr="00030DAB">
              <w:rPr>
                <w:rFonts w:ascii="Arial" w:hAnsi="Arial" w:cs="Arial"/>
                <w:sz w:val="20"/>
                <w:szCs w:val="20"/>
              </w:rPr>
              <w:t>przywozu ropy naftowej i produktów naftowych netto</w:t>
            </w:r>
            <w:r w:rsidRPr="00030DAB">
              <w:rPr>
                <w:rFonts w:ascii="Arial" w:hAnsi="Arial" w:cs="Arial"/>
                <w:sz w:val="20"/>
                <w:szCs w:val="20"/>
              </w:rPr>
              <w:br/>
              <w:t>w warunkach nie kryzysowych</w:t>
            </w:r>
          </w:p>
        </w:tc>
        <w:tc>
          <w:tcPr>
            <w:tcW w:w="1914" w:type="dxa"/>
          </w:tcPr>
          <w:p w:rsidR="008873D9" w:rsidRPr="00030DAB" w:rsidP="008873D9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≥ </w:t>
            </w:r>
            <w:r w:rsidRPr="00030DAB">
              <w:rPr>
                <w:rFonts w:ascii="Arial" w:hAnsi="Arial" w:cs="Arial"/>
                <w:sz w:val="20"/>
                <w:szCs w:val="20"/>
              </w:rPr>
              <w:t>90 dni</w:t>
            </w:r>
          </w:p>
        </w:tc>
        <w:tc>
          <w:tcPr>
            <w:tcW w:w="1915" w:type="dxa"/>
          </w:tcPr>
          <w:p w:rsidR="008873D9" w:rsidRPr="00030DAB" w:rsidP="008873D9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92 dni</w:t>
            </w:r>
          </w:p>
        </w:tc>
        <w:tc>
          <w:tcPr>
            <w:tcW w:w="3458" w:type="dxa"/>
          </w:tcPr>
          <w:p w:rsidR="008873D9" w:rsidRPr="00030DAB" w:rsidP="008873D9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 xml:space="preserve">Utrzymywanie zapasów interwencyjnych ropy naftowej i produktów naftowych, zapewnienie skutecznego finansowania zapasów 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t>agencyjnych przez Agencję Rezerw Materiałowych oraz kontroli nad systemem zapasów obowiązkowych poprzez nadzór merytoryczny nad realizacją Funduszu Zapasów Interwencyjnych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715" w:type="dxa"/>
            <w:shd w:val="clear" w:color="auto" w:fill="auto"/>
          </w:tcPr>
          <w:p w:rsidR="008873D9" w:rsidRPr="00030DAB" w:rsidP="008873D9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 xml:space="preserve">Utrzymywanie zapasów interwencyjnych ropy naftowej i produktów naftowych, zapewnienie skutecznego finansowania zapasów 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t>agencyjnych przez Agencję Rezerw Materiałowych oraz kontroli nad systemem zapasów obowiązkowych poprzez nadzór merytoryczny nad realizacją Funduszu Zapasów Interwencyjnych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Tr="00C55D06">
        <w:tblPrEx>
          <w:tblW w:w="16155" w:type="dxa"/>
          <w:tblLook w:val="04A0"/>
        </w:tblPrEx>
        <w:tc>
          <w:tcPr>
            <w:tcW w:w="769" w:type="dxa"/>
          </w:tcPr>
          <w:p w:rsidR="008873D9" w:rsidRPr="00030DAB" w:rsidP="00A12E3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8873D9" w:rsidRPr="00030DAB" w:rsidP="008873D9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</w:tcPr>
          <w:p w:rsidR="008873D9" w:rsidRPr="00030DAB" w:rsidP="008873D9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Liczba dni średniego dziennego przywozu, którym odpowiada wielkość zapasów obowiązkowych gazu ziemnego utrzymywanych przez przedsiębiorstwa zobowiązane</w:t>
            </w:r>
          </w:p>
        </w:tc>
        <w:tc>
          <w:tcPr>
            <w:tcW w:w="1914" w:type="dxa"/>
          </w:tcPr>
          <w:p w:rsidR="008873D9" w:rsidRPr="00030DAB" w:rsidP="008873D9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30 dni</w:t>
            </w:r>
          </w:p>
        </w:tc>
        <w:tc>
          <w:tcPr>
            <w:tcW w:w="1915" w:type="dxa"/>
          </w:tcPr>
          <w:p w:rsidR="008873D9" w:rsidRPr="00030DAB" w:rsidP="008873D9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>30 dni</w:t>
            </w:r>
          </w:p>
        </w:tc>
        <w:tc>
          <w:tcPr>
            <w:tcW w:w="3458" w:type="dxa"/>
          </w:tcPr>
          <w:p w:rsidR="008873D9" w:rsidRPr="00030DAB" w:rsidP="008873D9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>Utrzymywanie zapasów obowiązkowych gazu ziemnego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715" w:type="dxa"/>
            <w:shd w:val="clear" w:color="auto" w:fill="auto"/>
          </w:tcPr>
          <w:p w:rsidR="008873D9" w:rsidRPr="00030DAB" w:rsidP="008873D9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>Utrzymywanie zapasów obowiązkowych gazu ziemnego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Tr="00544D03">
        <w:tblPrEx>
          <w:tblW w:w="16155" w:type="dxa"/>
          <w:tblLook w:val="04A0"/>
        </w:tblPrEx>
        <w:tc>
          <w:tcPr>
            <w:tcW w:w="769" w:type="dxa"/>
          </w:tcPr>
          <w:p w:rsidR="00C50077" w:rsidRPr="00030DAB" w:rsidP="00C500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C50077" w:rsidRPr="00030DAB" w:rsidP="00C50077">
            <w:pPr>
              <w:pStyle w:val="trescpisma"/>
              <w:shd w:val="clear" w:color="auto" w:fill="FFFFFF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Wzrost efektywności energetycznej gospodarki</w:t>
            </w:r>
          </w:p>
        </w:tc>
        <w:tc>
          <w:tcPr>
            <w:tcW w:w="2229" w:type="dxa"/>
          </w:tcPr>
          <w:p w:rsidR="00C50077" w:rsidRPr="00030DAB" w:rsidP="00C50077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Poprawa efektywności energetycznej</w:t>
            </w:r>
          </w:p>
        </w:tc>
        <w:tc>
          <w:tcPr>
            <w:tcW w:w="1914" w:type="dxa"/>
          </w:tcPr>
          <w:p w:rsidR="00C50077" w:rsidRPr="00030DAB" w:rsidP="00C50077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sz w:val="20"/>
                <w:szCs w:val="20"/>
              </w:rPr>
              <w:t>4700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7"/>
            </w:r>
          </w:p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(liczba przedsięwzięć służących poprawie efektywności energetycznej)</w:t>
            </w:r>
          </w:p>
        </w:tc>
        <w:tc>
          <w:tcPr>
            <w:tcW w:w="1915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4979</w:t>
            </w:r>
          </w:p>
        </w:tc>
        <w:tc>
          <w:tcPr>
            <w:tcW w:w="3458" w:type="dxa"/>
          </w:tcPr>
          <w:p w:rsidR="00C50077" w:rsidRPr="00225248" w:rsidP="00C50077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ind w:left="261" w:hanging="26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5248">
              <w:rPr>
                <w:rFonts w:ascii="Arial" w:hAnsi="Arial" w:cs="Arial"/>
                <w:sz w:val="20"/>
                <w:szCs w:val="20"/>
              </w:rPr>
              <w:t>Opracowanie projektu ustawy o efektywności energetycznej wdrażającej znowelizowaną dyrektywę 2012/27/UE0 w sprawie efektywności energetycznej.</w:t>
            </w:r>
          </w:p>
          <w:p w:rsidR="00C50077" w:rsidRPr="00225248" w:rsidP="00C50077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ind w:left="261" w:hanging="26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5248">
              <w:rPr>
                <w:rFonts w:ascii="Arial" w:hAnsi="Arial" w:cs="Arial"/>
                <w:sz w:val="20"/>
                <w:szCs w:val="20"/>
              </w:rPr>
              <w:t>Promocja audytów energetycznych i inwestycji w  efektywność energetyczną w małych i średnich przedsiębiorstwach w Polsce.</w:t>
            </w:r>
          </w:p>
          <w:p w:rsidR="00C50077" w:rsidRPr="00225248" w:rsidP="00C50077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ind w:left="261" w:hanging="26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5248">
              <w:rPr>
                <w:rFonts w:ascii="Arial" w:hAnsi="Arial" w:cs="Arial"/>
                <w:sz w:val="20"/>
                <w:szCs w:val="20"/>
              </w:rPr>
              <w:t>Przygotowanie i rozpoczęcie kampanii edukacyjno-informacyjnej na temat przeskalowania etykiet energetycznych.</w:t>
            </w:r>
          </w:p>
          <w:p w:rsidR="00C50077" w:rsidRPr="007B0DD0" w:rsidP="00C50077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ind w:left="261" w:hanging="26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5248">
              <w:rPr>
                <w:rFonts w:ascii="Arial" w:hAnsi="Arial" w:cs="Arial"/>
                <w:sz w:val="20"/>
                <w:szCs w:val="20"/>
              </w:rPr>
              <w:t>Zapewnienie prawidłowego nadzoru rynku w zakresie spełniania wymogów dotyczących etykietowania energetycznego.</w:t>
            </w:r>
          </w:p>
          <w:p w:rsidR="00C50077" w:rsidRPr="00030DAB" w:rsidP="00C50077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ind w:left="261" w:hanging="261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225248">
              <w:rPr>
                <w:rFonts w:ascii="Arial" w:hAnsi="Arial" w:cs="Arial"/>
                <w:sz w:val="20"/>
                <w:szCs w:val="20"/>
              </w:rPr>
              <w:t>Kontynuacja prac w zakresie ustanawiania unijnych  wymagań dot. ekoprojektu oraz etykietowania energetycznego dla produktów związanych z energią.</w:t>
            </w:r>
          </w:p>
        </w:tc>
        <w:tc>
          <w:tcPr>
            <w:tcW w:w="3715" w:type="dxa"/>
            <w:shd w:val="clear" w:color="auto" w:fill="auto"/>
          </w:tcPr>
          <w:p w:rsidR="00C50077" w:rsidRPr="00C50077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Opracowany projekt</w:t>
            </w:r>
            <w:r w:rsidRPr="00C50077">
              <w:rPr>
                <w:rFonts w:ascii="Arial" w:hAnsi="Arial" w:cs="Arial"/>
                <w:sz w:val="20"/>
                <w:szCs w:val="20"/>
              </w:rPr>
              <w:t xml:space="preserve"> ustawy o efektywności energetycznej wdrażającej zno</w:t>
            </w:r>
            <w:r>
              <w:rPr>
                <w:rFonts w:ascii="Arial" w:hAnsi="Arial" w:cs="Arial"/>
                <w:sz w:val="20"/>
                <w:szCs w:val="20"/>
              </w:rPr>
              <w:t>welizowaną dyrektywę 2012/27/UE0</w:t>
            </w:r>
            <w:r w:rsidRPr="00C50077">
              <w:rPr>
                <w:rFonts w:ascii="Arial" w:hAnsi="Arial" w:cs="Arial"/>
                <w:sz w:val="20"/>
                <w:szCs w:val="20"/>
              </w:rPr>
              <w:t xml:space="preserve"> w sprawie efektywności energetycznej oczekuje na wpis do wykazu prac legislacyjnych Rządu RP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0077" w:rsidRPr="00C50077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0077">
              <w:rPr>
                <w:rFonts w:ascii="Arial" w:hAnsi="Arial" w:cs="Arial"/>
                <w:sz w:val="20"/>
                <w:szCs w:val="20"/>
              </w:rPr>
              <w:t xml:space="preserve">2. We współpracy z KAPE SA realizowany </w:t>
            </w:r>
            <w:r>
              <w:rPr>
                <w:rFonts w:ascii="Arial" w:hAnsi="Arial" w:cs="Arial"/>
                <w:sz w:val="20"/>
                <w:szCs w:val="20"/>
              </w:rPr>
              <w:t>był</w:t>
            </w:r>
            <w:r w:rsidRPr="00C50077">
              <w:rPr>
                <w:rFonts w:ascii="Arial" w:hAnsi="Arial" w:cs="Arial"/>
                <w:sz w:val="20"/>
                <w:szCs w:val="20"/>
              </w:rPr>
              <w:t xml:space="preserve"> projekt promujący audyty energetyczne efektywności energetycznej w małych i średn</w:t>
            </w:r>
            <w:r>
              <w:rPr>
                <w:rFonts w:ascii="Arial" w:hAnsi="Arial" w:cs="Arial"/>
                <w:sz w:val="20"/>
                <w:szCs w:val="20"/>
              </w:rPr>
              <w:t>ich przedsiębiorstwach w Polsce –</w:t>
            </w:r>
            <w:r w:rsidRPr="00C50077">
              <w:rPr>
                <w:rFonts w:ascii="Arial" w:hAnsi="Arial" w:cs="Arial"/>
                <w:sz w:val="20"/>
                <w:szCs w:val="20"/>
              </w:rPr>
              <w:t xml:space="preserve"> zakończenie projektu w 2021 r.</w:t>
            </w:r>
          </w:p>
          <w:p w:rsidR="00C50077" w:rsidRPr="00C50077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0077">
              <w:rPr>
                <w:rFonts w:ascii="Arial" w:hAnsi="Arial" w:cs="Arial"/>
                <w:sz w:val="20"/>
                <w:szCs w:val="20"/>
              </w:rPr>
              <w:t>3. Rozpoczęto przygotowanie  kampanii edukacyjno-informacyjne we współpr</w:t>
            </w:r>
            <w:r>
              <w:rPr>
                <w:rFonts w:ascii="Arial" w:hAnsi="Arial" w:cs="Arial"/>
                <w:sz w:val="20"/>
                <w:szCs w:val="20"/>
              </w:rPr>
              <w:t>acy z KAPE SA  i APPLIA  Polska.</w:t>
            </w:r>
          </w:p>
          <w:p w:rsidR="00C50077" w:rsidRPr="00C50077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0077">
              <w:rPr>
                <w:rFonts w:ascii="Arial" w:hAnsi="Arial" w:cs="Arial"/>
                <w:sz w:val="20"/>
                <w:szCs w:val="20"/>
              </w:rPr>
              <w:t xml:space="preserve">4. Opracowano </w:t>
            </w:r>
            <w:r>
              <w:rPr>
                <w:rFonts w:ascii="Arial" w:hAnsi="Arial" w:cs="Arial"/>
                <w:sz w:val="20"/>
                <w:szCs w:val="20"/>
              </w:rPr>
              <w:t>proj</w:t>
            </w:r>
            <w:r w:rsidRPr="00C50077">
              <w:rPr>
                <w:rFonts w:ascii="Arial" w:hAnsi="Arial" w:cs="Arial"/>
                <w:sz w:val="20"/>
                <w:szCs w:val="20"/>
              </w:rPr>
              <w:t xml:space="preserve">ekt </w:t>
            </w:r>
            <w:r>
              <w:rPr>
                <w:rFonts w:ascii="Arial" w:hAnsi="Arial" w:cs="Arial"/>
                <w:sz w:val="20"/>
                <w:szCs w:val="20"/>
              </w:rPr>
              <w:t>ustawy o </w:t>
            </w:r>
            <w:r w:rsidRPr="00C50077">
              <w:rPr>
                <w:rFonts w:ascii="Arial" w:hAnsi="Arial" w:cs="Arial"/>
                <w:sz w:val="20"/>
                <w:szCs w:val="20"/>
              </w:rPr>
              <w:t>zmianie ustawy w sprawie etykietowania energetycznego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u</w:t>
            </w:r>
            <w:r w:rsidRPr="00C50077">
              <w:rPr>
                <w:rFonts w:ascii="Arial" w:hAnsi="Arial" w:cs="Arial"/>
                <w:sz w:val="20"/>
                <w:szCs w:val="20"/>
              </w:rPr>
              <w:t>stawa weszła w życie 18</w:t>
            </w:r>
            <w:r>
              <w:rPr>
                <w:rFonts w:ascii="Arial" w:hAnsi="Arial" w:cs="Arial"/>
                <w:sz w:val="20"/>
                <w:szCs w:val="20"/>
              </w:rPr>
              <w:t xml:space="preserve"> czerwca </w:t>
            </w:r>
            <w:r w:rsidRPr="00C50077">
              <w:rPr>
                <w:rFonts w:ascii="Arial" w:hAnsi="Arial" w:cs="Arial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0C50077">
              <w:rPr>
                <w:rFonts w:ascii="Arial" w:hAnsi="Arial" w:cs="Arial"/>
                <w:sz w:val="20"/>
                <w:szCs w:val="20"/>
              </w:rPr>
              <w:t xml:space="preserve"> (Dz. U. z 2019 r., poz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50077">
              <w:rPr>
                <w:rFonts w:ascii="Arial" w:hAnsi="Arial" w:cs="Arial"/>
                <w:sz w:val="20"/>
                <w:szCs w:val="20"/>
              </w:rPr>
              <w:t xml:space="preserve"> 1030).</w:t>
            </w:r>
          </w:p>
          <w:p w:rsidR="00C50077" w:rsidRPr="00C50077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0077">
              <w:rPr>
                <w:rFonts w:ascii="Arial" w:hAnsi="Arial" w:cs="Arial"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sz w:val="20"/>
                <w:szCs w:val="20"/>
              </w:rPr>
              <w:t>Wzięto u</w:t>
            </w:r>
            <w:r w:rsidRPr="00C50077">
              <w:rPr>
                <w:rFonts w:ascii="Arial" w:hAnsi="Arial" w:cs="Arial"/>
                <w:sz w:val="20"/>
                <w:szCs w:val="20"/>
              </w:rPr>
              <w:t>dział w pracach K</w:t>
            </w:r>
            <w:r>
              <w:rPr>
                <w:rFonts w:ascii="Arial" w:hAnsi="Arial" w:cs="Arial"/>
                <w:sz w:val="20"/>
                <w:szCs w:val="20"/>
              </w:rPr>
              <w:t xml:space="preserve">omisji </w:t>
            </w:r>
            <w:r w:rsidRPr="00C5007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uropejskiej</w:t>
            </w:r>
            <w:r w:rsidRPr="00C50077">
              <w:rPr>
                <w:rFonts w:ascii="Arial" w:hAnsi="Arial" w:cs="Arial"/>
                <w:sz w:val="20"/>
                <w:szCs w:val="20"/>
              </w:rPr>
              <w:t xml:space="preserve"> nad rozporządzeniami określającymi wymagania dla dedykowanych grup urządzeń.</w:t>
            </w:r>
          </w:p>
        </w:tc>
      </w:tr>
      <w:tr w:rsidTr="00C55D06">
        <w:tblPrEx>
          <w:tblW w:w="16155" w:type="dxa"/>
          <w:tblLook w:val="04A0"/>
        </w:tblPrEx>
        <w:tc>
          <w:tcPr>
            <w:tcW w:w="769" w:type="dxa"/>
          </w:tcPr>
          <w:p w:rsidR="00C50077" w:rsidRPr="00030DAB" w:rsidP="00C500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Realizacja interesów Skarbu Państwa</w:t>
            </w:r>
            <w:r w:rsidRPr="00030DAB">
              <w:rPr>
                <w:rFonts w:ascii="Arial" w:hAnsi="Arial" w:cs="Arial"/>
                <w:b/>
                <w:sz w:val="20"/>
                <w:szCs w:val="20"/>
              </w:rPr>
              <w:br/>
              <w:t>w podmiotach nadzorowanych</w:t>
            </w:r>
            <w:r w:rsidRPr="00030DAB">
              <w:rPr>
                <w:rFonts w:ascii="Arial" w:hAnsi="Arial" w:cs="Arial"/>
                <w:b/>
                <w:sz w:val="20"/>
                <w:szCs w:val="20"/>
              </w:rPr>
              <w:br/>
              <w:t>i podległych</w:t>
            </w:r>
          </w:p>
        </w:tc>
        <w:tc>
          <w:tcPr>
            <w:tcW w:w="2229" w:type="dxa"/>
          </w:tcPr>
          <w:p w:rsidR="00C50077" w:rsidRPr="00030DAB" w:rsidP="0005147D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 xml:space="preserve">Udział reprezentanta </w:t>
            </w:r>
            <w:r>
              <w:rPr>
                <w:rFonts w:ascii="Arial" w:hAnsi="Arial" w:cs="Arial"/>
                <w:sz w:val="20"/>
                <w:szCs w:val="20"/>
              </w:rPr>
              <w:t xml:space="preserve">ME </w:t>
            </w:r>
            <w:r w:rsidRPr="00030DAB">
              <w:rPr>
                <w:rFonts w:ascii="Arial" w:hAnsi="Arial" w:cs="Arial"/>
                <w:sz w:val="20"/>
                <w:szCs w:val="20"/>
              </w:rPr>
              <w:t>w Walnych Zgromadzeniach/ Zgr</w:t>
            </w:r>
            <w:r>
              <w:rPr>
                <w:rFonts w:ascii="Arial" w:hAnsi="Arial" w:cs="Arial"/>
                <w:sz w:val="20"/>
                <w:szCs w:val="20"/>
              </w:rPr>
              <w:t>omadzeniach Wspólników spółek o </w:t>
            </w:r>
            <w:r w:rsidRPr="00030DAB">
              <w:rPr>
                <w:rFonts w:ascii="Arial" w:hAnsi="Arial" w:cs="Arial"/>
                <w:sz w:val="20"/>
                <w:szCs w:val="20"/>
              </w:rPr>
              <w:t>istotnym znaczeniu dla gospodarki państwa oraz spółek, w których skarb państwa posiada większościowy pakiet akcji/udziałów</w:t>
            </w:r>
          </w:p>
        </w:tc>
        <w:tc>
          <w:tcPr>
            <w:tcW w:w="1914" w:type="dxa"/>
          </w:tcPr>
          <w:p w:rsidR="00C50077" w:rsidRPr="00030DAB" w:rsidP="00C50077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15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458" w:type="dxa"/>
          </w:tcPr>
          <w:p w:rsidR="00C50077" w:rsidRPr="00030DAB" w:rsidP="00C50077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>Zapewnienie właściwego nadzor</w:t>
            </w:r>
            <w:r>
              <w:rPr>
                <w:rFonts w:ascii="Arial" w:hAnsi="Arial" w:cs="Arial"/>
                <w:iCs/>
                <w:sz w:val="20"/>
                <w:szCs w:val="20"/>
              </w:rPr>
              <w:t>u właścicielskiego w spółkach o 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t>istotnym znaczeniu dla gospodarki państwa oraz spółek, w których skarb państwa posiada większościowy pakiet akcji/ udziałów, w których minister wykonuje uprawnienia z akcji lub udziałów Skarbu Państwa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715" w:type="dxa"/>
          </w:tcPr>
          <w:p w:rsidR="00C50077" w:rsidP="00C50077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left="347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79E6">
              <w:rPr>
                <w:rFonts w:ascii="Arial" w:hAnsi="Arial" w:cs="Arial"/>
                <w:sz w:val="20"/>
                <w:szCs w:val="20"/>
              </w:rPr>
              <w:t>Prowadzenie spraw związanych z </w:t>
            </w:r>
            <w:r>
              <w:rPr>
                <w:rFonts w:ascii="Arial" w:hAnsi="Arial" w:cs="Arial"/>
                <w:sz w:val="20"/>
                <w:szCs w:val="20"/>
              </w:rPr>
              <w:t>wykonywaniem uprawnień w </w:t>
            </w:r>
            <w:r w:rsidRPr="006679E6">
              <w:rPr>
                <w:rFonts w:ascii="Arial" w:hAnsi="Arial" w:cs="Arial"/>
                <w:sz w:val="20"/>
                <w:szCs w:val="20"/>
              </w:rPr>
              <w:t>zakresie praw z akcji i udz</w:t>
            </w:r>
            <w:r>
              <w:rPr>
                <w:rFonts w:ascii="Arial" w:hAnsi="Arial" w:cs="Arial"/>
                <w:sz w:val="20"/>
                <w:szCs w:val="20"/>
              </w:rPr>
              <w:t>iałów Skarbu Państwa będących w </w:t>
            </w:r>
            <w:r w:rsidRPr="006679E6">
              <w:rPr>
                <w:rFonts w:ascii="Arial" w:hAnsi="Arial" w:cs="Arial"/>
                <w:sz w:val="20"/>
                <w:szCs w:val="20"/>
              </w:rPr>
              <w:t xml:space="preserve">kompetencji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679E6">
              <w:rPr>
                <w:rFonts w:ascii="Arial" w:hAnsi="Arial" w:cs="Arial"/>
                <w:sz w:val="20"/>
                <w:szCs w:val="20"/>
              </w:rPr>
              <w:t xml:space="preserve">inistra.            </w:t>
            </w:r>
          </w:p>
          <w:p w:rsidR="00C50077" w:rsidRPr="006679E6" w:rsidP="00C50077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left="347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</w:t>
            </w:r>
            <w:r w:rsidRPr="006679E6">
              <w:rPr>
                <w:rFonts w:ascii="Arial" w:hAnsi="Arial" w:cs="Arial"/>
                <w:sz w:val="20"/>
                <w:szCs w:val="20"/>
              </w:rPr>
              <w:t>itorowanie sytuacji ekonomiczno-finansowej spółek.</w:t>
            </w:r>
          </w:p>
        </w:tc>
      </w:tr>
      <w:tr w:rsidTr="00C55D06">
        <w:tblPrEx>
          <w:tblW w:w="16155" w:type="dxa"/>
          <w:tblLook w:val="04A0"/>
        </w:tblPrEx>
        <w:tc>
          <w:tcPr>
            <w:tcW w:w="769" w:type="dxa"/>
          </w:tcPr>
          <w:p w:rsidR="00C50077" w:rsidRPr="00030DAB" w:rsidP="00C500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</w:tcPr>
          <w:p w:rsidR="00C50077" w:rsidRPr="00030DAB" w:rsidP="00C50077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 xml:space="preserve">Terminowość podejmowanych działań </w:t>
            </w:r>
          </w:p>
          <w:p w:rsidR="00C50077" w:rsidRPr="00030DAB" w:rsidP="00C50077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(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t>wynikających z</w:t>
            </w:r>
            <w:r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t>podległości Ministrowi: Agencji Rezerw Materiałowych, Wyższego Urzędu Górniczego oraz nadzoru Ministra nad Zakładem Unieszkodliwiania Odpadów Promieniotwórczych</w:t>
            </w:r>
            <w:r w:rsidRPr="00030D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14" w:type="dxa"/>
          </w:tcPr>
          <w:p w:rsidR="00C50077" w:rsidRPr="00030DAB" w:rsidP="00C50077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sz w:val="20"/>
                <w:szCs w:val="20"/>
              </w:rPr>
              <w:t xml:space="preserve">80% </w:t>
            </w:r>
          </w:p>
          <w:p w:rsidR="00C50077" w:rsidRPr="00030DAB" w:rsidP="00C50077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spraw podejmowanych niezwłocznie tj. nie później niż 14 dni od wpływu pisma</w:t>
            </w:r>
          </w:p>
        </w:tc>
        <w:tc>
          <w:tcPr>
            <w:tcW w:w="1915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458" w:type="dxa"/>
          </w:tcPr>
          <w:p w:rsidR="00C50077" w:rsidRPr="00030DAB" w:rsidP="00C50077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>Realiz</w:t>
            </w:r>
            <w:r>
              <w:rPr>
                <w:rFonts w:ascii="Arial" w:hAnsi="Arial" w:cs="Arial"/>
                <w:iCs/>
                <w:sz w:val="20"/>
                <w:szCs w:val="20"/>
              </w:rPr>
              <w:t>acja zadań wynikających z 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t>podległości Ministrowi: Agencji Rezerw Materiałowych, Wyższego Urzędu Górniczego oraz nadzoru Ministra nad Zakładem Unieszkodliwiania Odpadów Promieniotwórczych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715" w:type="dxa"/>
          </w:tcPr>
          <w:p w:rsidR="00C50077" w:rsidP="00C50077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79E6">
              <w:rPr>
                <w:rFonts w:ascii="Arial" w:hAnsi="Arial" w:cs="Arial"/>
                <w:sz w:val="20"/>
                <w:szCs w:val="20"/>
              </w:rPr>
              <w:t>Wybór biegłych rewidentów do badania rocznych sprawozdań finansowych jednostek nadzorowanych i podległych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0077" w:rsidP="00C50077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79E6">
              <w:rPr>
                <w:rFonts w:ascii="Arial" w:hAnsi="Arial" w:cs="Arial"/>
                <w:sz w:val="20"/>
                <w:szCs w:val="20"/>
              </w:rPr>
              <w:t>Analiza rocznych planów finansowych oraz bieżącej sytuacji ekonomiczno-finansowej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0077" w:rsidRPr="006679E6" w:rsidP="00C50077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79E6">
              <w:rPr>
                <w:rFonts w:ascii="Arial" w:hAnsi="Arial" w:cs="Arial"/>
                <w:sz w:val="20"/>
                <w:szCs w:val="20"/>
              </w:rPr>
              <w:t>Analiza i zatwierdzanie rocznych sprawozdań finans</w:t>
            </w:r>
            <w:r>
              <w:rPr>
                <w:rFonts w:ascii="Arial" w:hAnsi="Arial" w:cs="Arial"/>
                <w:sz w:val="20"/>
                <w:szCs w:val="20"/>
              </w:rPr>
              <w:t>owych jednostek nadzorowanych i </w:t>
            </w:r>
            <w:r w:rsidRPr="006679E6">
              <w:rPr>
                <w:rFonts w:ascii="Arial" w:hAnsi="Arial" w:cs="Arial"/>
                <w:sz w:val="20"/>
                <w:szCs w:val="20"/>
              </w:rPr>
              <w:t>podległych.</w:t>
            </w:r>
          </w:p>
        </w:tc>
      </w:tr>
      <w:tr w:rsidTr="00C55D06">
        <w:tblPrEx>
          <w:tblW w:w="16155" w:type="dxa"/>
          <w:tblLook w:val="04A0"/>
        </w:tblPrEx>
        <w:tc>
          <w:tcPr>
            <w:tcW w:w="769" w:type="dxa"/>
          </w:tcPr>
          <w:p w:rsidR="00C50077" w:rsidRPr="00030DAB" w:rsidP="00C500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</w:tcPr>
          <w:p w:rsidR="00C50077" w:rsidRPr="00030DAB" w:rsidP="00C50077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Realizacja inicjatyw dot. wsparcia członków rad nadzorczych m.in. poprzez organizowanie spotkań z członkami rad nadzorczych spółek</w:t>
            </w:r>
          </w:p>
        </w:tc>
        <w:tc>
          <w:tcPr>
            <w:tcW w:w="1914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58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 xml:space="preserve">Wdrożenie działań na rzecz wsparcia członków organów nadzoru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reprezentujących Skarb Państwa 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t>w spółkach nadzorowanych przez Ministra Energii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715" w:type="dxa"/>
          </w:tcPr>
          <w:p w:rsidR="00C50077" w:rsidRPr="00030DAB" w:rsidP="00C50077">
            <w:pPr>
              <w:pStyle w:val="ListParagraph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Wdrożono działania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t xml:space="preserve"> na rzecz wsparcia członków organów nadzoru </w:t>
            </w:r>
            <w:r>
              <w:rPr>
                <w:rFonts w:ascii="Arial" w:hAnsi="Arial" w:cs="Arial"/>
                <w:iCs/>
                <w:sz w:val="20"/>
                <w:szCs w:val="20"/>
              </w:rPr>
              <w:t>reprezentujących Skarb Państwa w 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t>spółkach nadzorowanych przez Ministra Energii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wysłano 3 komunikaty</w:t>
            </w:r>
            <w:r w:rsidRPr="00030DAB">
              <w:rPr>
                <w:rFonts w:ascii="Arial" w:hAnsi="Arial" w:cs="Arial"/>
                <w:sz w:val="20"/>
                <w:szCs w:val="20"/>
              </w:rPr>
              <w:t xml:space="preserve"> oraz zorgani</w:t>
            </w:r>
            <w:r>
              <w:rPr>
                <w:rFonts w:ascii="Arial" w:hAnsi="Arial" w:cs="Arial"/>
                <w:sz w:val="20"/>
                <w:szCs w:val="20"/>
              </w:rPr>
              <w:t>zowano 2 </w:t>
            </w:r>
            <w:r w:rsidRPr="00030DAB">
              <w:rPr>
                <w:rFonts w:ascii="Arial" w:hAnsi="Arial" w:cs="Arial"/>
                <w:sz w:val="20"/>
                <w:szCs w:val="20"/>
              </w:rPr>
              <w:t>sesje warsztatowe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Tr="00645475">
        <w:tblPrEx>
          <w:tblW w:w="16155" w:type="dxa"/>
          <w:tblLook w:val="04A0"/>
        </w:tblPrEx>
        <w:tc>
          <w:tcPr>
            <w:tcW w:w="769" w:type="dxa"/>
          </w:tcPr>
          <w:p w:rsidR="00C50077" w:rsidRPr="00030DAB" w:rsidP="00C500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 xml:space="preserve">Kształtowanie warunków dla funkcjonowania </w:t>
            </w:r>
            <w:r w:rsidRPr="00030DAB">
              <w:rPr>
                <w:rFonts w:ascii="Arial" w:hAnsi="Arial" w:cs="Arial"/>
                <w:b/>
                <w:sz w:val="20"/>
                <w:szCs w:val="20"/>
              </w:rPr>
              <w:t>górnictwa węglowego</w:t>
            </w:r>
          </w:p>
        </w:tc>
        <w:tc>
          <w:tcPr>
            <w:tcW w:w="2229" w:type="dxa"/>
          </w:tcPr>
          <w:p w:rsidR="00C50077" w:rsidRPr="00030DAB" w:rsidP="00C50077">
            <w:pPr>
              <w:pStyle w:val="ListParagraph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Roczne wydobycie węgla kamiennego</w:t>
            </w:r>
          </w:p>
        </w:tc>
        <w:tc>
          <w:tcPr>
            <w:tcW w:w="1914" w:type="dxa"/>
          </w:tcPr>
          <w:p w:rsidR="00C50077" w:rsidRPr="00030DAB" w:rsidP="00C50077">
            <w:pPr>
              <w:pStyle w:val="ListParagraph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sz w:val="20"/>
                <w:szCs w:val="20"/>
              </w:rPr>
              <w:t>60 mln t</w:t>
            </w:r>
          </w:p>
        </w:tc>
        <w:tc>
          <w:tcPr>
            <w:tcW w:w="1915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61,6 mln t</w:t>
            </w:r>
          </w:p>
        </w:tc>
        <w:tc>
          <w:tcPr>
            <w:tcW w:w="3458" w:type="dxa"/>
            <w:vMerge w:val="restart"/>
          </w:tcPr>
          <w:p w:rsidR="00C50077" w:rsidRPr="00030DAB" w:rsidP="00C500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Zabezpieczenie potrzeb rynku w </w:t>
            </w:r>
            <w:r w:rsidRPr="00030DAB">
              <w:rPr>
                <w:rFonts w:ascii="Arial" w:hAnsi="Arial" w:cs="Arial"/>
                <w:sz w:val="20"/>
                <w:szCs w:val="20"/>
              </w:rPr>
              <w:t xml:space="preserve">zakresie dostaw </w:t>
            </w:r>
            <w:r>
              <w:rPr>
                <w:rFonts w:ascii="Arial" w:hAnsi="Arial" w:cs="Arial"/>
                <w:sz w:val="20"/>
                <w:szCs w:val="20"/>
              </w:rPr>
              <w:t>węgla kamiennego i brunatnego z </w:t>
            </w:r>
            <w:r w:rsidRPr="00030DAB">
              <w:rPr>
                <w:rFonts w:ascii="Arial" w:hAnsi="Arial" w:cs="Arial"/>
                <w:sz w:val="20"/>
                <w:szCs w:val="20"/>
              </w:rPr>
              <w:t>polskich kopalń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0077" w:rsidRPr="00030DAB" w:rsidP="00C500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Wzrost efektywności funkcjonowania górnictwa węgla kamiennego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0077" w:rsidRPr="00030DAB" w:rsidP="00C500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Restrukturyzacja sektor</w:t>
            </w:r>
            <w:r>
              <w:rPr>
                <w:rFonts w:ascii="Arial" w:hAnsi="Arial" w:cs="Arial"/>
                <w:sz w:val="20"/>
                <w:szCs w:val="20"/>
              </w:rPr>
              <w:t>a górnictwa węgla kamiennego. w </w:t>
            </w:r>
            <w:r w:rsidRPr="00030DAB">
              <w:rPr>
                <w:rFonts w:ascii="Arial" w:hAnsi="Arial" w:cs="Arial"/>
                <w:sz w:val="20"/>
                <w:szCs w:val="20"/>
              </w:rPr>
              <w:t>tym zapewnienie finansowania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15" w:type="dxa"/>
            <w:shd w:val="clear" w:color="auto" w:fill="auto"/>
          </w:tcPr>
          <w:p w:rsidR="00C50077" w:rsidRPr="00030DAB" w:rsidP="00C50077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2019 r. kontynuowano realizację </w:t>
            </w:r>
            <w:r w:rsidRPr="00645475">
              <w:rPr>
                <w:rFonts w:ascii="Arial" w:hAnsi="Arial" w:cs="Arial"/>
                <w:i/>
                <w:sz w:val="20"/>
                <w:szCs w:val="20"/>
              </w:rPr>
              <w:t>Programu dla sektora górnictwa węgla kamiennego w Polsce</w:t>
            </w:r>
            <w:r w:rsidRPr="006869E1">
              <w:rPr>
                <w:rFonts w:ascii="Arial" w:hAnsi="Arial" w:cs="Arial"/>
                <w:sz w:val="20"/>
                <w:szCs w:val="20"/>
              </w:rPr>
              <w:t xml:space="preserve">, w ramach którego </w:t>
            </w:r>
            <w:r>
              <w:rPr>
                <w:rFonts w:ascii="Arial" w:hAnsi="Arial" w:cs="Arial"/>
                <w:sz w:val="20"/>
                <w:szCs w:val="20"/>
              </w:rPr>
              <w:t>prowadzone były działania</w:t>
            </w:r>
            <w:r w:rsidRPr="000B30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m.in.</w:t>
            </w:r>
            <w:r w:rsidRPr="000B30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dotyczące pionowej integracji </w:t>
            </w:r>
            <w:r>
              <w:rPr>
                <w:rFonts w:ascii="Arial" w:hAnsi="Arial" w:cs="Arial"/>
                <w:sz w:val="20"/>
                <w:szCs w:val="20"/>
              </w:rPr>
              <w:t xml:space="preserve">górnictwa i energetyki. </w:t>
            </w:r>
            <w:r w:rsidRPr="00AB0F25">
              <w:rPr>
                <w:rFonts w:ascii="Arial" w:eastAsia="CIDFont+F1" w:hAnsi="Arial" w:cs="Arial"/>
                <w:sz w:val="20"/>
                <w:szCs w:val="20"/>
                <w:lang w:eastAsia="en-US"/>
              </w:rPr>
              <w:t>Docelowym zadaniem grup energetyczno-węglowych jest zabezpieczenie potrzeb energetycznych</w:t>
            </w:r>
            <w:r>
              <w:rPr>
                <w:rFonts w:ascii="Arial" w:eastAsia="CIDFont+F1" w:hAnsi="Arial" w:cs="Arial"/>
                <w:sz w:val="20"/>
                <w:szCs w:val="20"/>
                <w:lang w:eastAsia="en-US"/>
              </w:rPr>
              <w:t xml:space="preserve"> </w:t>
            </w:r>
            <w:r w:rsidRPr="00AB0F25">
              <w:rPr>
                <w:rFonts w:ascii="Arial" w:eastAsia="CIDFont+F1" w:hAnsi="Arial" w:cs="Arial"/>
                <w:sz w:val="20"/>
                <w:szCs w:val="20"/>
                <w:lang w:eastAsia="en-US"/>
              </w:rPr>
              <w:t>kraju, bezpieczeństwo, niezależność energetyczna oraz</w:t>
            </w:r>
            <w:r>
              <w:rPr>
                <w:rFonts w:ascii="Arial" w:eastAsia="CIDFont+F1" w:hAnsi="Arial" w:cs="Arial"/>
                <w:sz w:val="20"/>
                <w:szCs w:val="20"/>
                <w:lang w:eastAsia="en-US"/>
              </w:rPr>
              <w:t xml:space="preserve"> </w:t>
            </w:r>
            <w:r w:rsidRPr="00AB0F25">
              <w:rPr>
                <w:rFonts w:ascii="Arial" w:eastAsia="CIDFont+F1" w:hAnsi="Arial" w:cs="Arial"/>
                <w:sz w:val="20"/>
                <w:szCs w:val="20"/>
                <w:lang w:eastAsia="en-US"/>
              </w:rPr>
              <w:t>sprzedaż produktu finalnego,</w:t>
            </w:r>
            <w:r>
              <w:rPr>
                <w:rFonts w:ascii="Arial" w:eastAsia="CIDFont+F1" w:hAnsi="Arial" w:cs="Arial"/>
                <w:sz w:val="20"/>
                <w:szCs w:val="20"/>
                <w:lang w:eastAsia="en-US"/>
              </w:rPr>
              <w:t xml:space="preserve"> </w:t>
            </w:r>
            <w:r w:rsidRPr="00AB0F25">
              <w:rPr>
                <w:rFonts w:ascii="Arial" w:eastAsia="CIDFont+F1" w:hAnsi="Arial" w:cs="Arial"/>
                <w:sz w:val="20"/>
                <w:szCs w:val="20"/>
                <w:lang w:eastAsia="en-US"/>
              </w:rPr>
              <w:t>jakim jest energia, w tym na rynku zagranicznym.</w:t>
            </w:r>
            <w:r w:rsidRPr="006869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Tr="00645475">
        <w:tblPrEx>
          <w:tblW w:w="16155" w:type="dxa"/>
          <w:tblLook w:val="04A0"/>
        </w:tblPrEx>
        <w:tc>
          <w:tcPr>
            <w:tcW w:w="769" w:type="dxa"/>
          </w:tcPr>
          <w:p w:rsidR="00C50077" w:rsidRPr="00030DAB" w:rsidP="00C500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</w:tcPr>
          <w:p w:rsidR="00C50077" w:rsidRPr="00030DAB" w:rsidP="00C50077">
            <w:pPr>
              <w:pStyle w:val="ListParagraph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Roczne wydobycie węgla brunatnego</w:t>
            </w:r>
          </w:p>
        </w:tc>
        <w:tc>
          <w:tcPr>
            <w:tcW w:w="1914" w:type="dxa"/>
          </w:tcPr>
          <w:p w:rsidR="00C50077" w:rsidRPr="00030DAB" w:rsidP="00C50077">
            <w:pPr>
              <w:pStyle w:val="ListParagraph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sz w:val="20"/>
                <w:szCs w:val="20"/>
              </w:rPr>
              <w:t>60 mln t</w:t>
            </w:r>
          </w:p>
        </w:tc>
        <w:tc>
          <w:tcPr>
            <w:tcW w:w="1915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50,3 mln t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3458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auto"/>
          </w:tcPr>
          <w:p w:rsidR="00C50077" w:rsidRPr="00645475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5475">
              <w:rPr>
                <w:rFonts w:ascii="Arial" w:hAnsi="Arial" w:cs="Arial"/>
                <w:sz w:val="20"/>
                <w:szCs w:val="20"/>
              </w:rPr>
              <w:t xml:space="preserve">Dla zapewnienia utrzymania poziomu wydobycia krajowego trwają prace nad uruchamianiem nowych złóż – przedsiębiorcy zarówno PGE </w:t>
            </w:r>
            <w:r w:rsidRPr="00645475">
              <w:rPr>
                <w:rFonts w:ascii="Arial" w:hAnsi="Arial" w:cs="Arial"/>
                <w:sz w:val="20"/>
                <w:szCs w:val="20"/>
              </w:rPr>
              <w:t>GiEK</w:t>
            </w:r>
            <w:r w:rsidRPr="00645475">
              <w:rPr>
                <w:rFonts w:ascii="Arial" w:hAnsi="Arial" w:cs="Arial"/>
                <w:sz w:val="20"/>
                <w:szCs w:val="20"/>
              </w:rPr>
              <w:t xml:space="preserve"> S.A. </w:t>
            </w:r>
            <w:r>
              <w:rPr>
                <w:rFonts w:ascii="Arial" w:hAnsi="Arial" w:cs="Arial"/>
                <w:sz w:val="20"/>
                <w:szCs w:val="20"/>
              </w:rPr>
              <w:t>jak i ZE PAK S.A. starają się o </w:t>
            </w:r>
            <w:r w:rsidRPr="00645475">
              <w:rPr>
                <w:rFonts w:ascii="Arial" w:hAnsi="Arial" w:cs="Arial"/>
                <w:sz w:val="20"/>
                <w:szCs w:val="20"/>
              </w:rPr>
              <w:t>koncesje wydobywcze na nowe złoża – Złoczew i Ościsłowo.</w:t>
            </w:r>
          </w:p>
          <w:p w:rsidR="00C50077" w:rsidRPr="00645475" w:rsidP="00C50077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45475">
              <w:rPr>
                <w:rFonts w:ascii="Arial" w:hAnsi="Arial" w:cs="Arial"/>
                <w:sz w:val="20"/>
                <w:szCs w:val="20"/>
              </w:rPr>
              <w:t xml:space="preserve">W roku 2019 odbyły się dwa posiedzenia </w:t>
            </w:r>
            <w:r>
              <w:rPr>
                <w:rFonts w:ascii="Arial" w:hAnsi="Arial" w:cs="Arial"/>
                <w:i/>
                <w:sz w:val="20"/>
                <w:szCs w:val="20"/>
              </w:rPr>
              <w:t>Zespołu Trójstronnego ds. </w:t>
            </w:r>
            <w:r w:rsidRPr="00645475">
              <w:rPr>
                <w:rFonts w:ascii="Arial" w:hAnsi="Arial" w:cs="Arial"/>
                <w:i/>
                <w:sz w:val="20"/>
                <w:szCs w:val="20"/>
              </w:rPr>
              <w:t>Branży Węgla Brunatnego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jedno </w:t>
            </w:r>
            <w:r w:rsidRPr="00645475">
              <w:rPr>
                <w:rFonts w:ascii="Arial" w:hAnsi="Arial" w:cs="Arial"/>
                <w:i/>
                <w:sz w:val="20"/>
                <w:szCs w:val="20"/>
              </w:rPr>
              <w:t>Komitetu Sterującego do spraw górnictwa węgla brunatnego przy Ministrze Energii</w:t>
            </w:r>
            <w:r w:rsidRPr="00645475">
              <w:rPr>
                <w:rFonts w:ascii="Arial" w:hAnsi="Arial" w:cs="Arial"/>
                <w:sz w:val="20"/>
                <w:szCs w:val="20"/>
              </w:rPr>
              <w:t>, na których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475">
              <w:rPr>
                <w:rFonts w:ascii="Arial" w:hAnsi="Arial" w:cs="Arial"/>
                <w:sz w:val="20"/>
                <w:szCs w:val="20"/>
              </w:rPr>
              <w:t xml:space="preserve">na bieżąco omawiane </w:t>
            </w:r>
            <w:r>
              <w:rPr>
                <w:rFonts w:ascii="Arial" w:hAnsi="Arial" w:cs="Arial"/>
                <w:sz w:val="20"/>
                <w:szCs w:val="20"/>
              </w:rPr>
              <w:t>były</w:t>
            </w:r>
            <w:r w:rsidRPr="00645475">
              <w:rPr>
                <w:rFonts w:ascii="Arial" w:hAnsi="Arial" w:cs="Arial"/>
                <w:sz w:val="20"/>
                <w:szCs w:val="20"/>
              </w:rPr>
              <w:t xml:space="preserve"> problemy branży.</w:t>
            </w:r>
            <w:r w:rsidRPr="006454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Tr="00645475">
        <w:tblPrEx>
          <w:tblW w:w="16155" w:type="dxa"/>
          <w:tblLook w:val="04A0"/>
        </w:tblPrEx>
        <w:tc>
          <w:tcPr>
            <w:tcW w:w="769" w:type="dxa"/>
          </w:tcPr>
          <w:p w:rsidR="00C50077" w:rsidRPr="00030DAB" w:rsidP="00C500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</w:tcPr>
          <w:p w:rsidR="00C50077" w:rsidRPr="00030DAB" w:rsidP="00C50077">
            <w:pPr>
              <w:pStyle w:val="ListParagraph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Średni jednostkowy koszt wydobycia węgla</w:t>
            </w:r>
          </w:p>
        </w:tc>
        <w:tc>
          <w:tcPr>
            <w:tcW w:w="1914" w:type="dxa"/>
          </w:tcPr>
          <w:p w:rsidR="00C50077" w:rsidRPr="00030DAB" w:rsidP="00C50077">
            <w:pPr>
              <w:pStyle w:val="ListParagraph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≤ </w:t>
            </w:r>
            <w:r w:rsidRPr="00030DAB">
              <w:rPr>
                <w:rFonts w:ascii="Arial" w:hAnsi="Arial" w:cs="Arial"/>
                <w:sz w:val="20"/>
                <w:szCs w:val="20"/>
              </w:rPr>
              <w:t>290,00 zł/t</w:t>
            </w:r>
          </w:p>
        </w:tc>
        <w:tc>
          <w:tcPr>
            <w:tcW w:w="1915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339,99 zł/t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9"/>
            </w:r>
          </w:p>
        </w:tc>
        <w:tc>
          <w:tcPr>
            <w:tcW w:w="3458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auto"/>
          </w:tcPr>
          <w:p w:rsidR="00C50077" w:rsidRPr="00790981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2019 r. kontynuowano realizację </w:t>
            </w:r>
            <w:r w:rsidRPr="00645475">
              <w:rPr>
                <w:rFonts w:ascii="Arial" w:hAnsi="Arial" w:cs="Arial"/>
                <w:i/>
                <w:sz w:val="20"/>
                <w:szCs w:val="20"/>
              </w:rPr>
              <w:t>Programu dla sektora górnictwa węgla kamiennego w Polsce</w:t>
            </w:r>
            <w:r w:rsidRPr="006869E1">
              <w:rPr>
                <w:rFonts w:ascii="Arial" w:hAnsi="Arial" w:cs="Arial"/>
                <w:sz w:val="20"/>
                <w:szCs w:val="20"/>
              </w:rPr>
              <w:t xml:space="preserve">, w ramach którego </w:t>
            </w:r>
            <w:r>
              <w:rPr>
                <w:rFonts w:ascii="Arial" w:hAnsi="Arial" w:cs="Arial"/>
                <w:sz w:val="20"/>
                <w:szCs w:val="20"/>
              </w:rPr>
              <w:t>prowadzone były działania</w:t>
            </w:r>
            <w:r w:rsidRPr="000B30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m.in.</w:t>
            </w:r>
            <w:r w:rsidRPr="000B30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dotyczące o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dzyskania i </w:t>
            </w:r>
            <w:r w:rsidRPr="004B11D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stabil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izacji płynności, rentowności i </w:t>
            </w:r>
            <w:r w:rsidRPr="004B11D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efektywności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</w:t>
            </w:r>
            <w:r w:rsidRPr="004B11D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konomiczno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Pr="004B11D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finansowej sektora górnictwa węgla kamiennego, w tym poprzez dostosowanie zdolności produkcyjnych do potrzeb rynku oraz możliwości eksportowych.</w:t>
            </w:r>
          </w:p>
        </w:tc>
      </w:tr>
      <w:tr w:rsidTr="00C55D06">
        <w:tblPrEx>
          <w:tblW w:w="16155" w:type="dxa"/>
          <w:tblLook w:val="04A0"/>
        </w:tblPrEx>
        <w:tc>
          <w:tcPr>
            <w:tcW w:w="769" w:type="dxa"/>
          </w:tcPr>
          <w:p w:rsidR="00C50077" w:rsidRPr="00030DAB" w:rsidP="00C500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</w:tcPr>
          <w:p w:rsidR="00C50077" w:rsidRPr="00030DAB" w:rsidP="00C50077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Wykorzystanie dotacji budżetowej</w:t>
            </w:r>
          </w:p>
        </w:tc>
        <w:tc>
          <w:tcPr>
            <w:tcW w:w="1914" w:type="dxa"/>
          </w:tcPr>
          <w:p w:rsidR="00C50077" w:rsidRPr="00030DAB" w:rsidP="00C50077">
            <w:pPr>
              <w:pStyle w:val="ListParagraph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nie mniej niż 90% ostatecznie przyznanej kwoty dotacji budżetowej</w:t>
            </w:r>
          </w:p>
        </w:tc>
        <w:tc>
          <w:tcPr>
            <w:tcW w:w="1915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98,67%</w:t>
            </w:r>
          </w:p>
        </w:tc>
        <w:tc>
          <w:tcPr>
            <w:tcW w:w="3458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>Monitoring i rozliczanie środków budżetowych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Tr="00C55D06">
        <w:tblPrEx>
          <w:tblW w:w="16155" w:type="dxa"/>
          <w:tblLook w:val="04A0"/>
        </w:tblPrEx>
        <w:tc>
          <w:tcPr>
            <w:tcW w:w="769" w:type="dxa"/>
          </w:tcPr>
          <w:p w:rsidR="00C50077" w:rsidRPr="00030DAB" w:rsidP="00C500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eastAsia="Times New Roman" w:hAnsi="Arial" w:cs="Arial"/>
                <w:b/>
                <w:sz w:val="20"/>
                <w:szCs w:val="20"/>
              </w:rPr>
              <w:t>Rozwój sektora energetycznego</w:t>
            </w:r>
          </w:p>
        </w:tc>
        <w:tc>
          <w:tcPr>
            <w:tcW w:w="2229" w:type="dxa"/>
          </w:tcPr>
          <w:p w:rsidR="00C50077" w:rsidRPr="00030DAB" w:rsidP="00C50077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 xml:space="preserve">Realizacja projektu „Inteligentnie </w:t>
            </w:r>
            <w:r>
              <w:rPr>
                <w:rFonts w:ascii="Arial" w:hAnsi="Arial" w:cs="Arial"/>
                <w:sz w:val="20"/>
                <w:szCs w:val="20"/>
              </w:rPr>
              <w:t>w </w:t>
            </w:r>
            <w:r w:rsidRPr="00030DAB">
              <w:rPr>
                <w:rFonts w:ascii="Arial" w:hAnsi="Arial" w:cs="Arial"/>
                <w:sz w:val="20"/>
                <w:szCs w:val="20"/>
              </w:rPr>
              <w:t>energetyce”</w:t>
            </w:r>
          </w:p>
        </w:tc>
        <w:tc>
          <w:tcPr>
            <w:tcW w:w="1914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8" w:type="dxa"/>
          </w:tcPr>
          <w:p w:rsidR="00C50077" w:rsidRPr="00225248" w:rsidP="00C5007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120" w:after="120" w:line="240" w:lineRule="auto"/>
              <w:ind w:left="403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225248">
              <w:rPr>
                <w:rFonts w:ascii="Arial" w:hAnsi="Arial" w:cs="Arial"/>
                <w:iCs/>
                <w:sz w:val="20"/>
                <w:szCs w:val="20"/>
              </w:rPr>
              <w:t>Przygotowanie projektu nowelizacji ustawy – Prawo energetyczne wprowadzającej system inteligen</w:t>
            </w:r>
            <w:r>
              <w:rPr>
                <w:rFonts w:ascii="Arial" w:hAnsi="Arial" w:cs="Arial"/>
                <w:iCs/>
                <w:sz w:val="20"/>
                <w:szCs w:val="20"/>
              </w:rPr>
              <w:t>tnego opomiarowania w Polsce, w </w:t>
            </w:r>
            <w:r w:rsidRPr="00225248">
              <w:rPr>
                <w:rFonts w:ascii="Arial" w:hAnsi="Arial" w:cs="Arial"/>
                <w:iCs/>
                <w:sz w:val="20"/>
                <w:szCs w:val="20"/>
              </w:rPr>
              <w:t>tym Operatora Informacji Pomiarowej.</w:t>
            </w:r>
          </w:p>
          <w:p w:rsidR="00C50077" w:rsidRPr="00225248" w:rsidP="00C5007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120" w:after="120" w:line="240" w:lineRule="auto"/>
              <w:ind w:left="4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5248">
              <w:rPr>
                <w:rFonts w:ascii="Arial" w:hAnsi="Arial" w:cs="Arial"/>
                <w:iCs/>
                <w:sz w:val="20"/>
                <w:szCs w:val="20"/>
              </w:rPr>
              <w:t xml:space="preserve">Wsparcie budowy inteligentnej sieci energetycznej w Polsce poprzez realizację kampanii informacyjno-edukacyjnej finansowanej z PO </w:t>
            </w:r>
            <w:r w:rsidRPr="00225248">
              <w:rPr>
                <w:rFonts w:ascii="Arial" w:hAnsi="Arial" w:cs="Arial"/>
                <w:iCs/>
                <w:sz w:val="20"/>
                <w:szCs w:val="20"/>
              </w:rPr>
              <w:t>IiŚ</w:t>
            </w:r>
            <w:r w:rsidRPr="00225248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715" w:type="dxa"/>
          </w:tcPr>
          <w:p w:rsidR="00C50077" w:rsidRPr="008703A2" w:rsidP="00C50077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703A2">
              <w:rPr>
                <w:rFonts w:ascii="Arial" w:hAnsi="Arial" w:cs="Arial"/>
                <w:iCs/>
                <w:sz w:val="20"/>
                <w:szCs w:val="20"/>
              </w:rPr>
              <w:t>Projekt nowelizacji ustawy – Prawo energetyczne wprowadzającej system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inteligentnego opomiarowania w </w:t>
            </w:r>
            <w:r w:rsidRPr="008703A2">
              <w:rPr>
                <w:rFonts w:ascii="Arial" w:hAnsi="Arial" w:cs="Arial"/>
                <w:iCs/>
                <w:sz w:val="20"/>
                <w:szCs w:val="20"/>
              </w:rPr>
              <w:t>Polsce, w tym Operatora Informacji Pomiarowej został zgłoszony do rozpatrzenia przez</w:t>
            </w:r>
            <w:r w:rsidRPr="008703A2">
              <w:rPr>
                <w:rFonts w:ascii="Arial" w:hAnsi="Arial" w:cs="Arial"/>
                <w:color w:val="000000"/>
                <w:sz w:val="20"/>
                <w:szCs w:val="20"/>
              </w:rPr>
              <w:t xml:space="preserve"> Komitet Cyfryzacji.</w:t>
            </w:r>
          </w:p>
          <w:p w:rsidR="00C50077" w:rsidRPr="008703A2" w:rsidP="00C50077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Rozpoczęto prace </w:t>
            </w: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>nad realizacją kam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panii edukacyjno-informacyjnej w ramach </w:t>
            </w:r>
            <w:r w:rsidRPr="00030DAB">
              <w:rPr>
                <w:rFonts w:ascii="Arial" w:hAnsi="Arial" w:cs="Arial"/>
                <w:sz w:val="20"/>
                <w:szCs w:val="20"/>
              </w:rPr>
              <w:t xml:space="preserve">projektu „Inteligentnie </w:t>
            </w:r>
            <w:r>
              <w:rPr>
                <w:rFonts w:ascii="Arial" w:hAnsi="Arial" w:cs="Arial"/>
                <w:sz w:val="20"/>
                <w:szCs w:val="20"/>
              </w:rPr>
              <w:t>w </w:t>
            </w:r>
            <w:r w:rsidRPr="00030DAB">
              <w:rPr>
                <w:rFonts w:ascii="Arial" w:hAnsi="Arial" w:cs="Arial"/>
                <w:sz w:val="20"/>
                <w:szCs w:val="20"/>
              </w:rPr>
              <w:t>energetyce”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Tr="00C55D06">
        <w:tblPrEx>
          <w:tblW w:w="16155" w:type="dxa"/>
          <w:tblLook w:val="04A0"/>
        </w:tblPrEx>
        <w:tc>
          <w:tcPr>
            <w:tcW w:w="769" w:type="dxa"/>
          </w:tcPr>
          <w:p w:rsidR="00C50077" w:rsidRPr="00030DAB" w:rsidP="00C500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</w:tcPr>
          <w:p w:rsidR="00C50077" w:rsidRPr="00030DAB" w:rsidP="00C50077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Wdrożenie nowego systemu wsparcia wysokosprawnej kogeneracji</w:t>
            </w:r>
          </w:p>
        </w:tc>
        <w:tc>
          <w:tcPr>
            <w:tcW w:w="1914" w:type="dxa"/>
          </w:tcPr>
          <w:p w:rsidR="00C50077" w:rsidRPr="00030DAB" w:rsidP="00C50077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8" w:type="dxa"/>
          </w:tcPr>
          <w:p w:rsidR="00C50077" w:rsidP="00C5007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120" w:after="120" w:line="240" w:lineRule="auto"/>
              <w:ind w:left="261" w:hanging="261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Zakończenie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t xml:space="preserve"> procesu legislacyjnego ustawy ustanawiającej nowy mechanizm wsparcia wysokosprawnej kogeneracji, zastępujący obecnie obowiązujący mechanizm, który będzie wygaszony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C50077" w:rsidRPr="00030DAB" w:rsidP="00C5007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120" w:after="120" w:line="240" w:lineRule="auto"/>
              <w:ind w:left="261" w:hanging="261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 xml:space="preserve">Opracowanie aktów </w:t>
            </w:r>
            <w:r>
              <w:rPr>
                <w:rFonts w:ascii="Arial" w:hAnsi="Arial" w:cs="Arial"/>
                <w:iCs/>
                <w:sz w:val="20"/>
                <w:szCs w:val="20"/>
              </w:rPr>
              <w:t>w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t>ykonawczych do ustawy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715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Wejście w życie ustawy o </w:t>
            </w:r>
            <w:r w:rsidRPr="00C100AE">
              <w:rPr>
                <w:rFonts w:ascii="Arial" w:hAnsi="Arial" w:cs="Arial"/>
                <w:color w:val="000000"/>
                <w:sz w:val="20"/>
                <w:szCs w:val="20"/>
              </w:rPr>
              <w:t>promowaniu energii elektryczn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ej z wysokosprawnej kogeneracji z dnia 14 grudnia 2018 </w:t>
            </w:r>
            <w:r w:rsidRPr="00C100AE">
              <w:rPr>
                <w:rFonts w:ascii="Arial" w:hAnsi="Arial" w:cs="Arial"/>
                <w:color w:val="000000"/>
                <w:sz w:val="20"/>
                <w:szCs w:val="20"/>
              </w:rPr>
              <w:t xml:space="preserve">r.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(Dz. U. z </w:t>
            </w:r>
            <w:r w:rsidRPr="00C100AE">
              <w:rPr>
                <w:rFonts w:ascii="Arial" w:hAnsi="Arial" w:cs="Arial"/>
                <w:color w:val="000000"/>
                <w:sz w:val="20"/>
                <w:szCs w:val="20"/>
              </w:rPr>
              <w:t>2020 r. poz. 250)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Tr="00C55D06">
        <w:tblPrEx>
          <w:tblW w:w="16155" w:type="dxa"/>
          <w:tblLook w:val="04A0"/>
        </w:tblPrEx>
        <w:tc>
          <w:tcPr>
            <w:tcW w:w="769" w:type="dxa"/>
          </w:tcPr>
          <w:p w:rsidR="00C50077" w:rsidRPr="00030DAB" w:rsidP="00C500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</w:tcPr>
          <w:p w:rsidR="00C50077" w:rsidRPr="00030DAB" w:rsidP="00C50077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Opracowanie założeń nowego modelu rynku ciepła</w:t>
            </w:r>
          </w:p>
        </w:tc>
        <w:tc>
          <w:tcPr>
            <w:tcW w:w="1914" w:type="dxa"/>
          </w:tcPr>
          <w:p w:rsidR="00C50077" w:rsidRPr="00030DAB" w:rsidP="00C50077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0"/>
            </w:r>
          </w:p>
        </w:tc>
        <w:tc>
          <w:tcPr>
            <w:tcW w:w="3458" w:type="dxa"/>
          </w:tcPr>
          <w:p w:rsidR="00C50077" w:rsidRPr="00030DAB" w:rsidP="00C50077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20" w:after="120" w:line="240" w:lineRule="auto"/>
              <w:ind w:left="261" w:hanging="28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>Przeprowadzenie diagnozy funkcjonowania rynku ciepła w Polsce.</w:t>
            </w:r>
          </w:p>
          <w:p w:rsidR="00C50077" w:rsidRPr="00030DAB" w:rsidP="00C50077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20" w:after="120" w:line="240" w:lineRule="auto"/>
              <w:ind w:left="261" w:hanging="261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>Ocena potencjału oraz przygotowanie rekomendacji w zakresie strategii rozwoju obszaru rynku ciepła.</w:t>
            </w:r>
          </w:p>
          <w:p w:rsidR="00C50077" w:rsidRPr="00030DAB" w:rsidP="00C50077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20" w:after="120" w:line="240" w:lineRule="auto"/>
              <w:ind w:left="261" w:hanging="261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>Opracowanie propozycji zmian w przepisach bądź ich kierunków, umożliwiających realizację wyznaczonych celów.</w:t>
            </w:r>
          </w:p>
        </w:tc>
        <w:tc>
          <w:tcPr>
            <w:tcW w:w="3715" w:type="dxa"/>
          </w:tcPr>
          <w:p w:rsidR="00C50077" w:rsidRPr="00030DAB" w:rsidP="00C50077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Opracowano diagnozę </w:t>
            </w: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>funkcjonowania rynku ciepła w Polsce.</w:t>
            </w:r>
          </w:p>
          <w:p w:rsidR="00C50077" w:rsidRPr="00030DAB" w:rsidP="00C50077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>Opracowano wstępną koncepcję transformacji ciepłownictwa.</w:t>
            </w:r>
          </w:p>
          <w:p w:rsidR="00C50077" w:rsidRPr="00030DAB" w:rsidP="00C50077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owadzono prace nad raportem nt. </w:t>
            </w: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>strategii rozwoju ciepłownictwa.</w:t>
            </w:r>
          </w:p>
        </w:tc>
      </w:tr>
      <w:tr w:rsidTr="00C55D06">
        <w:tblPrEx>
          <w:tblW w:w="16155" w:type="dxa"/>
          <w:tblLook w:val="04A0"/>
        </w:tblPrEx>
        <w:tc>
          <w:tcPr>
            <w:tcW w:w="769" w:type="dxa"/>
          </w:tcPr>
          <w:p w:rsidR="00C50077" w:rsidRPr="00030DAB" w:rsidP="00C500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</w:tcPr>
          <w:p w:rsidR="00C50077" w:rsidRPr="00030DAB" w:rsidP="00C50077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Udział odnawialnych źródeł energii  w końcowym zużyciu energii brutto</w:t>
            </w:r>
          </w:p>
        </w:tc>
        <w:tc>
          <w:tcPr>
            <w:tcW w:w="1914" w:type="dxa"/>
          </w:tcPr>
          <w:p w:rsidR="00C50077" w:rsidRPr="00030DAB" w:rsidP="00C50077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sz w:val="20"/>
                <w:szCs w:val="20"/>
              </w:rPr>
              <w:t>12,27%</w:t>
            </w:r>
          </w:p>
        </w:tc>
        <w:tc>
          <w:tcPr>
            <w:tcW w:w="1915" w:type="dxa"/>
            <w:shd w:val="clear" w:color="auto" w:fill="auto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>bd</w:t>
            </w:r>
            <w:r>
              <w:rPr>
                <w:rStyle w:val="FootnoteReference"/>
                <w:rFonts w:ascii="Arial" w:hAnsi="Arial" w:cs="Arial"/>
                <w:color w:val="000000"/>
                <w:sz w:val="20"/>
                <w:szCs w:val="20"/>
              </w:rPr>
              <w:footnoteReference w:id="11"/>
            </w:r>
          </w:p>
        </w:tc>
        <w:tc>
          <w:tcPr>
            <w:tcW w:w="3458" w:type="dxa"/>
            <w:vMerge w:val="restart"/>
          </w:tcPr>
          <w:p w:rsidR="00C50077" w:rsidRPr="00030DAB" w:rsidP="00C50077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>Kontynuacja działań na rzecz większego wykorzystania odnawialnych źródeł energii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br/>
              <w:t>w elektroenergetyce poprzez:</w:t>
            </w:r>
          </w:p>
          <w:p w:rsidR="00C50077" w:rsidRPr="00030DAB" w:rsidP="00C5007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left="261" w:hanging="28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>Przeprowadzenie w 2019 r. aukcji na sprzedaż energii elektrycznej z OZE oraz przejście wytwórców OZE do systemu taryf FIT i FIP</w:t>
            </w:r>
            <w:r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:rsidR="00C50077" w:rsidRPr="00030DAB" w:rsidP="00C5007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left="261" w:hanging="28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>Nowelizacja ustawy o OZE mająca na celu wdrożenie elementów technicznych mających na celu poprawę systemu aukcyjnego, w tym wdrożenie nowych zasad przyłączania OZE, rozwój sektora biogazu wtłaczanego do sieci, rozwój systemu funkcjonowania gwarancji pochodzenia oraz wdrożenie do polskiego system</w:t>
            </w:r>
            <w:r>
              <w:rPr>
                <w:rFonts w:ascii="Arial" w:hAnsi="Arial" w:cs="Arial"/>
                <w:iCs/>
                <w:sz w:val="20"/>
                <w:szCs w:val="20"/>
              </w:rPr>
              <w:t>u prawa przepisów dyrektywy RED II;</w:t>
            </w:r>
          </w:p>
          <w:p w:rsidR="00C50077" w:rsidRPr="007B0DD0" w:rsidP="00C5007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left="261" w:hanging="28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 xml:space="preserve">Przygotowanie założeń i regulacji prawnych dotyczących rozwoju </w:t>
            </w:r>
            <w:r>
              <w:rPr>
                <w:rFonts w:ascii="Arial" w:hAnsi="Arial" w:cs="Arial"/>
                <w:iCs/>
                <w:sz w:val="20"/>
                <w:szCs w:val="20"/>
              </w:rPr>
              <w:t>morskiej energetyki wiatrowej  w 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t>Polsce</w:t>
            </w:r>
            <w:r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:rsidR="00C50077" w:rsidP="00C5007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left="261" w:hanging="28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F432EB">
              <w:rPr>
                <w:rFonts w:ascii="Arial" w:hAnsi="Arial" w:cs="Arial"/>
                <w:iCs/>
                <w:sz w:val="20"/>
                <w:szCs w:val="20"/>
              </w:rPr>
              <w:t>Promowanie koncepcji klastrów energii</w:t>
            </w:r>
            <w:r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:rsidR="00C50077" w:rsidRPr="00225248" w:rsidP="00C5007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left="261" w:hanging="28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225248">
              <w:rPr>
                <w:rFonts w:ascii="Arial" w:hAnsi="Arial" w:cs="Arial"/>
                <w:iCs/>
                <w:sz w:val="20"/>
                <w:szCs w:val="20"/>
              </w:rPr>
              <w:t>Przygotowanie ustawy o energetyce rozproszonej.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 xml:space="preserve">Podejmowano szereg działań na rzecz zwiększenia wykorzystania odnawialnych źródeł energii w elektroenergetyce, w tym także na </w:t>
            </w:r>
            <w:r w:rsidRPr="00030DAB">
              <w:rPr>
                <w:rFonts w:ascii="Arial" w:hAnsi="Arial" w:cs="Arial"/>
                <w:sz w:val="20"/>
                <w:szCs w:val="20"/>
              </w:rPr>
              <w:t>rzecz realizacji co najmniej 15% udział</w:t>
            </w:r>
            <w:r>
              <w:rPr>
                <w:rFonts w:ascii="Arial" w:hAnsi="Arial" w:cs="Arial"/>
                <w:sz w:val="20"/>
                <w:szCs w:val="20"/>
              </w:rPr>
              <w:t>u odnawialnych źródeł energii w </w:t>
            </w:r>
            <w:r w:rsidRPr="00030DAB">
              <w:rPr>
                <w:rFonts w:ascii="Arial" w:hAnsi="Arial" w:cs="Arial"/>
                <w:sz w:val="20"/>
                <w:szCs w:val="20"/>
              </w:rPr>
              <w:t>ko</w:t>
            </w:r>
            <w:r>
              <w:rPr>
                <w:rFonts w:ascii="Arial" w:hAnsi="Arial" w:cs="Arial"/>
                <w:sz w:val="20"/>
                <w:szCs w:val="20"/>
              </w:rPr>
              <w:t>ńcowym zużyciu energii brutto w </w:t>
            </w:r>
            <w:r w:rsidRPr="00030DAB">
              <w:rPr>
                <w:rFonts w:ascii="Arial" w:hAnsi="Arial" w:cs="Arial"/>
                <w:sz w:val="20"/>
                <w:szCs w:val="20"/>
              </w:rPr>
              <w:t>roku 2020.</w:t>
            </w:r>
          </w:p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Ustawa z dnia 19 lipca 2019 r. o zmianie ustawy o odnawialnych źródłach energii oraz niektórych innych ustaw (Dz. U. poz. 1524) pozwoliła na:</w:t>
            </w:r>
          </w:p>
          <w:p w:rsidR="00C50077" w:rsidRPr="00030DAB" w:rsidP="00C50077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przeprowadzenie w 2019 r. aukcji na sprzedaż energii elektrycznej z OZE oraz podjęcie przez wytwórców działań dotyczących przejścia części wytwórców OZE do systemu taryf FIT i FIP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50077" w:rsidRPr="00030DAB" w:rsidP="00C50077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wdrożenie elementów technicznych mających na celu poprawę systemu aukcyjnego, oraz zmiany zasad dot. przyłączania instalacji OZE do sieci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50077" w:rsidRPr="00030DAB" w:rsidP="00C50077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rozwój systemu funkcjonowania gwarancji pochodzenia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50077" w:rsidRPr="00030DAB" w:rsidP="00C50077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 xml:space="preserve">częściowe wdrożenie do polskiego systemu prawa przepisów dyrektywy RED II (m.in. w zakresie dot. sektora </w:t>
            </w:r>
            <w:r w:rsidRPr="00030DAB">
              <w:rPr>
                <w:rFonts w:ascii="Arial" w:hAnsi="Arial" w:cs="Arial"/>
                <w:sz w:val="20"/>
                <w:szCs w:val="20"/>
              </w:rPr>
              <w:t>prosumenckiego</w:t>
            </w:r>
            <w:r w:rsidRPr="00030DAB">
              <w:rPr>
                <w:rFonts w:ascii="Arial" w:hAnsi="Arial" w:cs="Arial"/>
                <w:sz w:val="20"/>
                <w:szCs w:val="20"/>
              </w:rPr>
              <w:t xml:space="preserve"> oraz rozwoju spółdzielni energetycznych).</w:t>
            </w:r>
          </w:p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 xml:space="preserve">W związku z podejmowanymi działaniami już od 2017 r. udział OZE </w:t>
            </w:r>
            <w:r w:rsidRPr="00030DAB">
              <w:rPr>
                <w:rFonts w:ascii="Arial" w:hAnsi="Arial" w:cs="Arial"/>
                <w:sz w:val="20"/>
                <w:szCs w:val="20"/>
              </w:rPr>
              <w:t>wrócił dzięki aukcyjnemu systemowi wsparcia na ścieżkę wzrostu.</w:t>
            </w:r>
          </w:p>
        </w:tc>
      </w:tr>
      <w:tr w:rsidTr="00C55D06">
        <w:tblPrEx>
          <w:tblW w:w="16155" w:type="dxa"/>
          <w:tblLook w:val="04A0"/>
        </w:tblPrEx>
        <w:tc>
          <w:tcPr>
            <w:tcW w:w="769" w:type="dxa"/>
          </w:tcPr>
          <w:p w:rsidR="00C50077" w:rsidRPr="00030DAB" w:rsidP="00C500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</w:tcPr>
          <w:p w:rsidR="00C50077" w:rsidRPr="00030DAB" w:rsidP="00C50077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Moc zainstalowana instalacji OZE ogółem</w:t>
            </w:r>
          </w:p>
        </w:tc>
        <w:tc>
          <w:tcPr>
            <w:tcW w:w="1914" w:type="dxa"/>
          </w:tcPr>
          <w:p w:rsidR="00C50077" w:rsidRPr="00030DAB" w:rsidP="00C50077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sz w:val="20"/>
                <w:szCs w:val="20"/>
              </w:rPr>
              <w:t>8895 MW</w:t>
            </w:r>
          </w:p>
          <w:p w:rsidR="00C50077" w:rsidRPr="00030DAB" w:rsidP="00C50077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30DAB">
              <w:rPr>
                <w:rFonts w:ascii="Arial" w:hAnsi="Arial" w:cs="Arial"/>
                <w:i/>
                <w:sz w:val="20"/>
                <w:szCs w:val="20"/>
              </w:rPr>
              <w:t>(wg KPD)</w:t>
            </w:r>
          </w:p>
        </w:tc>
        <w:tc>
          <w:tcPr>
            <w:tcW w:w="1915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9 106,258 MW</w:t>
            </w:r>
          </w:p>
        </w:tc>
        <w:tc>
          <w:tcPr>
            <w:tcW w:w="3458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50077" w:rsidRPr="00030DAB" w:rsidP="00C50077">
            <w:pPr>
              <w:pStyle w:val="ListParagraph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C55D06">
        <w:tblPrEx>
          <w:tblW w:w="16155" w:type="dxa"/>
          <w:tblLook w:val="04A0"/>
        </w:tblPrEx>
        <w:tc>
          <w:tcPr>
            <w:tcW w:w="769" w:type="dxa"/>
          </w:tcPr>
          <w:p w:rsidR="00C50077" w:rsidRPr="00030DAB" w:rsidP="00C500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</w:tcPr>
          <w:p w:rsidR="00C50077" w:rsidRPr="00030DAB" w:rsidP="00C50077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Liczba obszarów zrównoważonych energetycznie na poziomie lokalnym (klastry energii, spółdzielnie energetyczne, itp.)</w:t>
            </w:r>
          </w:p>
        </w:tc>
        <w:tc>
          <w:tcPr>
            <w:tcW w:w="1914" w:type="dxa"/>
          </w:tcPr>
          <w:p w:rsidR="00C50077" w:rsidRPr="00030DAB" w:rsidP="00C50077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sz w:val="20"/>
                <w:szCs w:val="20"/>
              </w:rPr>
              <w:t>30 szt.</w:t>
            </w:r>
          </w:p>
        </w:tc>
        <w:tc>
          <w:tcPr>
            <w:tcW w:w="1915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66 szt.</w:t>
            </w:r>
          </w:p>
        </w:tc>
        <w:tc>
          <w:tcPr>
            <w:tcW w:w="3458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:rsidR="00C50077" w:rsidRPr="00030DAB" w:rsidP="00C50077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>Organizacja dwóch konkursów identyfikujących klastry energii (2017-2018).</w:t>
            </w:r>
          </w:p>
          <w:p w:rsidR="00C50077" w:rsidRPr="00030DAB" w:rsidP="00C50077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>Realizacja programu „Rozwój energetyki rozproszonej w 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lastrach energii”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Gospostrateg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Tr="00C55D06">
        <w:tblPrEx>
          <w:tblW w:w="16155" w:type="dxa"/>
          <w:tblLook w:val="04A0"/>
        </w:tblPrEx>
        <w:tc>
          <w:tcPr>
            <w:tcW w:w="769" w:type="dxa"/>
          </w:tcPr>
          <w:p w:rsidR="00C50077" w:rsidRPr="00030DAB" w:rsidP="00C500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</w:tcPr>
          <w:p w:rsidR="00C50077" w:rsidRPr="00030DAB" w:rsidP="00C50077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 xml:space="preserve">Moc zainstalowana </w:t>
            </w:r>
            <w:r w:rsidRPr="00030DAB">
              <w:rPr>
                <w:rFonts w:ascii="Arial" w:hAnsi="Arial" w:cs="Arial"/>
                <w:sz w:val="20"/>
                <w:szCs w:val="20"/>
              </w:rPr>
              <w:t>mikroinstalacji</w:t>
            </w:r>
            <w:r w:rsidRPr="00030DAB">
              <w:rPr>
                <w:rFonts w:ascii="Arial" w:hAnsi="Arial" w:cs="Arial"/>
                <w:sz w:val="20"/>
                <w:szCs w:val="20"/>
              </w:rPr>
              <w:t xml:space="preserve"> OZE</w:t>
            </w:r>
          </w:p>
        </w:tc>
        <w:tc>
          <w:tcPr>
            <w:tcW w:w="1914" w:type="dxa"/>
          </w:tcPr>
          <w:p w:rsidR="00C50077" w:rsidRPr="00030DAB" w:rsidP="00C50077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sz w:val="20"/>
                <w:szCs w:val="20"/>
              </w:rPr>
              <w:t>300 MW</w:t>
            </w:r>
          </w:p>
        </w:tc>
        <w:tc>
          <w:tcPr>
            <w:tcW w:w="1915" w:type="dxa"/>
            <w:shd w:val="clear" w:color="auto" w:fill="auto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992 MW</w:t>
            </w:r>
          </w:p>
        </w:tc>
        <w:tc>
          <w:tcPr>
            <w:tcW w:w="3458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:rsidR="00C50077" w:rsidRPr="00225248" w:rsidP="00C50077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 xml:space="preserve">Uruchomienie w dniu 23 lipca 2019 r. programu priorytetowego „Mój Prąd”.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248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ofinansowanie obejmuje: zakup i </w:t>
            </w:r>
            <w:r w:rsidRPr="00225248">
              <w:rPr>
                <w:rFonts w:ascii="Arial" w:hAnsi="Arial" w:cs="Arial"/>
                <w:color w:val="000000"/>
                <w:sz w:val="20"/>
                <w:szCs w:val="20"/>
              </w:rPr>
              <w:t xml:space="preserve">montaż </w:t>
            </w:r>
            <w:r w:rsidRPr="00225248">
              <w:rPr>
                <w:rFonts w:ascii="Arial" w:hAnsi="Arial" w:cs="Arial"/>
                <w:color w:val="000000"/>
                <w:sz w:val="20"/>
                <w:szCs w:val="20"/>
              </w:rPr>
              <w:t>mikroinstalacji</w:t>
            </w:r>
            <w:r w:rsidRPr="00225248">
              <w:rPr>
                <w:rFonts w:ascii="Arial" w:hAnsi="Arial" w:cs="Arial"/>
                <w:color w:val="000000"/>
                <w:sz w:val="20"/>
                <w:szCs w:val="20"/>
              </w:rPr>
              <w:t xml:space="preserve"> fotowoltaicznych o zainstalowanej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mocy elektrycznej od 2 kW do 10 </w:t>
            </w:r>
            <w:r w:rsidRPr="00225248">
              <w:rPr>
                <w:rFonts w:ascii="Arial" w:hAnsi="Arial" w:cs="Arial"/>
                <w:color w:val="000000"/>
                <w:sz w:val="20"/>
                <w:szCs w:val="20"/>
              </w:rPr>
              <w:t xml:space="preserve">kW, służących potrzebom istniejących budynków mieszkalnych. Program dysponuje kwotą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 mld</w:t>
            </w:r>
            <w:r w:rsidRPr="00225248">
              <w:rPr>
                <w:rFonts w:ascii="Arial" w:hAnsi="Arial" w:cs="Arial"/>
                <w:color w:val="000000"/>
                <w:sz w:val="20"/>
                <w:szCs w:val="20"/>
              </w:rPr>
              <w:t xml:space="preserve"> złotych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 skorzysta z </w:t>
            </w:r>
            <w:r w:rsidRPr="00225248">
              <w:rPr>
                <w:rFonts w:ascii="Arial" w:hAnsi="Arial" w:cs="Arial"/>
                <w:color w:val="000000"/>
                <w:sz w:val="20"/>
                <w:szCs w:val="20"/>
              </w:rPr>
              <w:t>niego ponad 200 tys. beneficjentów. Na koniec 2019 r. łączna ilość zatwierdzonych wniosków wyniosła 21 053. Kwota zatw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ierdzonych dotacji wyniosła 104 </w:t>
            </w:r>
            <w:r w:rsidRPr="00225248">
              <w:rPr>
                <w:rFonts w:ascii="Arial" w:hAnsi="Arial" w:cs="Arial"/>
                <w:color w:val="000000"/>
                <w:sz w:val="20"/>
                <w:szCs w:val="20"/>
              </w:rPr>
              <w:t xml:space="preserve">522 779,46 zł. W efekcie, w ramach programu wsparta moc instalacji to 117,4 MW. Nabór został zakończony 20 grudnia 2019 r. </w:t>
            </w:r>
            <w:r w:rsidRPr="00225248">
              <w:rPr>
                <w:rFonts w:ascii="Arial" w:hAnsi="Arial" w:cs="Arial"/>
                <w:color w:val="000000"/>
                <w:sz w:val="20"/>
                <w:szCs w:val="20"/>
              </w:rPr>
              <w:t xml:space="preserve">Kolejny nabór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rozpoczęto w dniu </w:t>
            </w:r>
            <w:r w:rsidRPr="00225248">
              <w:rPr>
                <w:rFonts w:ascii="Arial" w:hAnsi="Arial" w:cs="Arial"/>
                <w:color w:val="000000"/>
                <w:sz w:val="20"/>
                <w:szCs w:val="20"/>
              </w:rPr>
              <w:t>13 stycznia 2020 r.</w:t>
            </w:r>
          </w:p>
          <w:p w:rsidR="00C50077" w:rsidRPr="00030DAB" w:rsidP="00C50077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>Prowadzono prace nad nowelizacją us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tawy z dnia 20 lutego 2015 r. o </w:t>
            </w: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>odnawialnych źródłach energii (Dz.U. z 2020 r. poz. 261).</w:t>
            </w:r>
          </w:p>
        </w:tc>
      </w:tr>
      <w:tr w:rsidTr="00C55D06">
        <w:tblPrEx>
          <w:tblW w:w="16155" w:type="dxa"/>
          <w:tblLook w:val="04A0"/>
        </w:tblPrEx>
        <w:tc>
          <w:tcPr>
            <w:tcW w:w="769" w:type="dxa"/>
          </w:tcPr>
          <w:p w:rsidR="00C50077" w:rsidRPr="00030DAB" w:rsidP="00C500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</w:tcPr>
          <w:p w:rsidR="00C50077" w:rsidRPr="00030DAB" w:rsidP="00C50077">
            <w:pPr>
              <w:pStyle w:val="trescpisma"/>
              <w:shd w:val="clear" w:color="auto" w:fill="FFFFFF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Rozwój rynku elektromobilności i paliw alternatywnych w transporcie</w:t>
            </w:r>
          </w:p>
        </w:tc>
        <w:tc>
          <w:tcPr>
            <w:tcW w:w="2229" w:type="dxa"/>
          </w:tcPr>
          <w:p w:rsidR="00C50077" w:rsidRPr="00030DAB" w:rsidP="00C50077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Wzrost liczby punktów ładowania pojazdów elektrycznych</w:t>
            </w:r>
          </w:p>
        </w:tc>
        <w:tc>
          <w:tcPr>
            <w:tcW w:w="1914" w:type="dxa"/>
          </w:tcPr>
          <w:p w:rsidR="00C50077" w:rsidRPr="00030DAB" w:rsidP="00C50077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  <w:tc>
          <w:tcPr>
            <w:tcW w:w="1915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3458" w:type="dxa"/>
            <w:vMerge w:val="restart"/>
          </w:tcPr>
          <w:p w:rsidR="00C50077" w:rsidRPr="00030DAB" w:rsidP="00C5007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20" w:after="120" w:line="240" w:lineRule="auto"/>
              <w:ind w:left="261" w:hanging="28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>Monitorowanie rozwoju infrastruktury paliw alternatywnych.</w:t>
            </w:r>
          </w:p>
          <w:p w:rsidR="00C50077" w:rsidRPr="00030DAB" w:rsidP="00C5007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20" w:after="120" w:line="240" w:lineRule="auto"/>
              <w:ind w:left="261" w:hanging="28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>Wsparcie finansowe dla rozwoju infrastruktury paliw alternatywnych i rynku pojazdów ze środków Funduszu Niskoemisyjnego Transportu (FNT).</w:t>
            </w:r>
          </w:p>
          <w:p w:rsidR="00C50077" w:rsidRPr="00030DAB" w:rsidP="00C5007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20" w:after="120" w:line="240" w:lineRule="auto"/>
              <w:ind w:left="261" w:hanging="28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>Monitorowanie wydatkowania środków z FNT.</w:t>
            </w:r>
          </w:p>
          <w:p w:rsidR="00C50077" w:rsidRPr="00F432EB" w:rsidP="00C5007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20" w:after="120" w:line="240" w:lineRule="auto"/>
              <w:ind w:left="261" w:hanging="28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7B0DD0">
              <w:rPr>
                <w:rFonts w:ascii="Arial" w:hAnsi="Arial" w:cs="Arial"/>
                <w:iCs/>
                <w:sz w:val="20"/>
                <w:szCs w:val="20"/>
              </w:rPr>
              <w:t>Dokonanie oceny osiągnięcia celów zawartych w Krajowych ramach rozwoju infrastruktury paliw alternatywnych.</w:t>
            </w:r>
          </w:p>
          <w:p w:rsidR="00C50077" w:rsidRPr="00030DAB" w:rsidP="00C5007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20" w:after="120" w:line="240" w:lineRule="auto"/>
              <w:ind w:left="261" w:hanging="28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A4639">
              <w:rPr>
                <w:rFonts w:ascii="Arial" w:hAnsi="Arial" w:cs="Arial"/>
                <w:iCs/>
                <w:sz w:val="20"/>
                <w:szCs w:val="20"/>
              </w:rPr>
              <w:t>Realizacja obowiązków sprawozdawczych</w:t>
            </w:r>
            <w:r w:rsidRPr="00225248">
              <w:rPr>
                <w:rFonts w:ascii="Arial" w:hAnsi="Arial" w:cs="Arial"/>
                <w:iCs/>
                <w:sz w:val="20"/>
                <w:szCs w:val="20"/>
              </w:rPr>
              <w:t xml:space="preserve"> wynikających z ustawy z dnia 11 stycznia 2018 r. o elektromobilności i paliwach alternatywnych.</w:t>
            </w:r>
          </w:p>
        </w:tc>
        <w:tc>
          <w:tcPr>
            <w:tcW w:w="3715" w:type="dxa"/>
            <w:shd w:val="clear" w:color="auto" w:fill="auto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>Monitorowanie rozwoju infrastruktury paliw alternatywnych.</w:t>
            </w:r>
          </w:p>
        </w:tc>
      </w:tr>
      <w:tr w:rsidTr="00C55D06">
        <w:tblPrEx>
          <w:tblW w:w="16155" w:type="dxa"/>
          <w:tblLook w:val="04A0"/>
        </w:tblPrEx>
        <w:tc>
          <w:tcPr>
            <w:tcW w:w="769" w:type="dxa"/>
          </w:tcPr>
          <w:p w:rsidR="00C50077" w:rsidRPr="00030DAB" w:rsidP="00C500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</w:tcPr>
          <w:p w:rsidR="00C50077" w:rsidRPr="00030DAB" w:rsidP="00C50077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Wzrost liczby stacji gazu ziemnego</w:t>
            </w:r>
          </w:p>
        </w:tc>
        <w:tc>
          <w:tcPr>
            <w:tcW w:w="1914" w:type="dxa"/>
          </w:tcPr>
          <w:p w:rsidR="00C50077" w:rsidRPr="00030DAB" w:rsidP="00C50077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15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2"/>
            </w:r>
          </w:p>
        </w:tc>
        <w:tc>
          <w:tcPr>
            <w:tcW w:w="3458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C50077" w:rsidRPr="00030DAB" w:rsidP="00C5007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>Wsparcie finansowe dla rozwoju infras</w:t>
            </w:r>
            <w:r>
              <w:rPr>
                <w:rFonts w:ascii="Arial" w:hAnsi="Arial" w:cs="Arial"/>
                <w:iCs/>
                <w:sz w:val="20"/>
                <w:szCs w:val="20"/>
              </w:rPr>
              <w:t>truktury paliw alternatywnych i 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t xml:space="preserve">rynku pojazdów ze środków </w:t>
            </w:r>
            <w:r>
              <w:rPr>
                <w:rFonts w:ascii="Arial" w:hAnsi="Arial" w:cs="Arial"/>
                <w:iCs/>
                <w:sz w:val="20"/>
                <w:szCs w:val="20"/>
              </w:rPr>
              <w:t>FNT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C50077" w:rsidRPr="00030DAB" w:rsidP="00C5007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20" w:after="120" w:line="240" w:lineRule="auto"/>
              <w:ind w:left="201" w:hanging="201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>Monitorowanie wydatkowania środków z FNT.</w:t>
            </w:r>
          </w:p>
        </w:tc>
      </w:tr>
      <w:tr w:rsidTr="00544D03">
        <w:tblPrEx>
          <w:tblW w:w="16155" w:type="dxa"/>
          <w:tblLook w:val="04A0"/>
        </w:tblPrEx>
        <w:tc>
          <w:tcPr>
            <w:tcW w:w="769" w:type="dxa"/>
          </w:tcPr>
          <w:p w:rsidR="00C50077" w:rsidRPr="00030DAB" w:rsidP="00C500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</w:tcPr>
          <w:p w:rsidR="00C50077" w:rsidRPr="00030DAB" w:rsidP="00C50077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Wzrost liczby pojazdów i autobusów elektrycznych</w:t>
            </w:r>
          </w:p>
        </w:tc>
        <w:tc>
          <w:tcPr>
            <w:tcW w:w="1914" w:type="dxa"/>
          </w:tcPr>
          <w:p w:rsidR="00C50077" w:rsidRPr="00030DAB" w:rsidP="00C50077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15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>5 843</w:t>
            </w:r>
          </w:p>
        </w:tc>
        <w:tc>
          <w:tcPr>
            <w:tcW w:w="3458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auto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obowiązków wynikający z ustawy </w:t>
            </w:r>
            <w:r w:rsidRPr="00544D03">
              <w:rPr>
                <w:rFonts w:ascii="Arial" w:hAnsi="Arial" w:cs="Arial"/>
                <w:sz w:val="20"/>
                <w:szCs w:val="20"/>
              </w:rPr>
              <w:t>z dnia 11 stycznia 2018 r.</w:t>
            </w:r>
            <w:r>
              <w:rPr>
                <w:rFonts w:ascii="Arial" w:hAnsi="Arial" w:cs="Arial"/>
                <w:sz w:val="20"/>
                <w:szCs w:val="20"/>
              </w:rPr>
              <w:t xml:space="preserve"> o elektromobilności i paliwach alternatywnych </w:t>
            </w:r>
            <w:r w:rsidRPr="00544D03">
              <w:rPr>
                <w:rFonts w:ascii="Arial" w:hAnsi="Arial" w:cs="Arial"/>
                <w:sz w:val="20"/>
                <w:szCs w:val="20"/>
              </w:rPr>
              <w:t>(Dz.</w:t>
            </w:r>
            <w:r>
              <w:rPr>
                <w:rFonts w:ascii="Arial" w:hAnsi="Arial" w:cs="Arial"/>
                <w:sz w:val="20"/>
                <w:szCs w:val="20"/>
              </w:rPr>
              <w:t xml:space="preserve"> U. z 2019 r. poz. </w:t>
            </w:r>
            <w:r w:rsidRPr="00544D03">
              <w:rPr>
                <w:rFonts w:ascii="Arial" w:hAnsi="Arial" w:cs="Arial"/>
                <w:sz w:val="20"/>
                <w:szCs w:val="20"/>
              </w:rPr>
              <w:t>1124</w:t>
            </w:r>
            <w:r>
              <w:rPr>
                <w:rFonts w:ascii="Arial" w:hAnsi="Arial" w:cs="Arial"/>
                <w:sz w:val="20"/>
                <w:szCs w:val="20"/>
              </w:rPr>
              <w:t>, z późn. zm.</w:t>
            </w:r>
            <w:r w:rsidRPr="00544D0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sprawozdania gmin zgodnie z art. 38 ustawy.</w:t>
            </w:r>
          </w:p>
        </w:tc>
      </w:tr>
      <w:tr w:rsidTr="00544D03">
        <w:tblPrEx>
          <w:tblW w:w="16155" w:type="dxa"/>
          <w:tblLook w:val="04A0"/>
        </w:tblPrEx>
        <w:tc>
          <w:tcPr>
            <w:tcW w:w="769" w:type="dxa"/>
          </w:tcPr>
          <w:p w:rsidR="00C50077" w:rsidRPr="00030DAB" w:rsidP="00C500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</w:tcPr>
          <w:p w:rsidR="00C50077" w:rsidRPr="00030DAB" w:rsidP="00C50077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 xml:space="preserve">Wzrost liczby pojazdów </w:t>
            </w:r>
            <w:r w:rsidRPr="00030DAB">
              <w:rPr>
                <w:rFonts w:ascii="Arial" w:hAnsi="Arial" w:cs="Arial"/>
                <w:sz w:val="20"/>
                <w:szCs w:val="20"/>
              </w:rPr>
              <w:t xml:space="preserve">napędzanych gazem ziemnym. </w:t>
            </w:r>
          </w:p>
        </w:tc>
        <w:tc>
          <w:tcPr>
            <w:tcW w:w="1914" w:type="dxa"/>
          </w:tcPr>
          <w:p w:rsidR="00C50077" w:rsidRPr="00030DAB" w:rsidP="00C50077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15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>5 200</w:t>
            </w:r>
          </w:p>
        </w:tc>
        <w:tc>
          <w:tcPr>
            <w:tcW w:w="3458" w:type="dxa"/>
            <w:vMerge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auto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714D">
              <w:rPr>
                <w:rFonts w:ascii="Arial" w:hAnsi="Arial" w:cs="Arial"/>
                <w:sz w:val="20"/>
                <w:szCs w:val="20"/>
              </w:rPr>
              <w:t xml:space="preserve">Dokonanie oceny osiągnięcia celów zawartych w Krajowych ramach </w:t>
            </w:r>
            <w:r w:rsidRPr="0087714D">
              <w:rPr>
                <w:rFonts w:ascii="Arial" w:hAnsi="Arial" w:cs="Arial"/>
                <w:sz w:val="20"/>
                <w:szCs w:val="20"/>
              </w:rPr>
              <w:t>rozwoju infrastruktury paliw alternatywnych.</w:t>
            </w:r>
          </w:p>
        </w:tc>
      </w:tr>
      <w:tr w:rsidTr="00C55D06">
        <w:tblPrEx>
          <w:tblW w:w="16155" w:type="dxa"/>
          <w:tblLook w:val="04A0"/>
        </w:tblPrEx>
        <w:tc>
          <w:tcPr>
            <w:tcW w:w="769" w:type="dxa"/>
          </w:tcPr>
          <w:p w:rsidR="00C50077" w:rsidRPr="00030DAB" w:rsidP="00C500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Wprowadzenie rozwiązań prawnych, chroniących odbiorców przed podwyżką cen energii elektrycznej w roku 2019</w:t>
            </w:r>
          </w:p>
        </w:tc>
        <w:tc>
          <w:tcPr>
            <w:tcW w:w="2229" w:type="dxa"/>
          </w:tcPr>
          <w:p w:rsidR="00C50077" w:rsidRPr="00030DAB" w:rsidP="00C50077">
            <w:pPr>
              <w:pStyle w:val="ListParagraph"/>
              <w:shd w:val="clear" w:color="auto" w:fill="FFFFFF"/>
              <w:spacing w:before="120" w:after="12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Zmiana cen energii elektrycznej dla odbiorców końcowych</w:t>
            </w:r>
          </w:p>
        </w:tc>
        <w:tc>
          <w:tcPr>
            <w:tcW w:w="1914" w:type="dxa"/>
          </w:tcPr>
          <w:p w:rsidR="00C50077" w:rsidRPr="00030DAB" w:rsidP="00C50077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Ceny i stawki opłat brutto z dnia 30</w:t>
            </w:r>
            <w:r>
              <w:rPr>
                <w:rFonts w:ascii="Arial" w:hAnsi="Arial" w:cs="Arial"/>
                <w:sz w:val="20"/>
                <w:szCs w:val="20"/>
              </w:rPr>
              <w:t xml:space="preserve"> czerwca </w:t>
            </w:r>
            <w:r w:rsidRPr="00030DAB">
              <w:rPr>
                <w:rFonts w:ascii="Arial" w:hAnsi="Arial" w:cs="Arial"/>
                <w:sz w:val="20"/>
                <w:szCs w:val="20"/>
              </w:rPr>
              <w:t>2018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15" w:type="dxa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Ceny i stawki opłat brutto z dnia 30</w:t>
            </w:r>
            <w:r>
              <w:rPr>
                <w:rFonts w:ascii="Arial" w:hAnsi="Arial" w:cs="Arial"/>
                <w:sz w:val="20"/>
                <w:szCs w:val="20"/>
              </w:rPr>
              <w:t xml:space="preserve"> czerwca </w:t>
            </w:r>
            <w:r w:rsidRPr="00030DAB">
              <w:rPr>
                <w:rFonts w:ascii="Arial" w:hAnsi="Arial" w:cs="Arial"/>
                <w:sz w:val="20"/>
                <w:szCs w:val="20"/>
              </w:rPr>
              <w:t>2018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58" w:type="dxa"/>
          </w:tcPr>
          <w:p w:rsidR="00C50077" w:rsidRPr="00F432EB" w:rsidP="00C50077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20" w:after="120" w:line="240" w:lineRule="auto"/>
              <w:ind w:left="261" w:hanging="28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7B0DD0">
              <w:rPr>
                <w:rFonts w:ascii="Arial" w:hAnsi="Arial" w:cs="Arial"/>
                <w:iCs/>
                <w:sz w:val="20"/>
                <w:szCs w:val="20"/>
              </w:rPr>
              <w:t>Wydanie prz</w:t>
            </w:r>
            <w:r>
              <w:rPr>
                <w:rFonts w:ascii="Arial" w:hAnsi="Arial" w:cs="Arial"/>
                <w:iCs/>
                <w:sz w:val="20"/>
                <w:szCs w:val="20"/>
              </w:rPr>
              <w:t>episów wykonawczych do ustawy o </w:t>
            </w:r>
            <w:r w:rsidRPr="007B0DD0">
              <w:rPr>
                <w:rFonts w:ascii="Arial" w:hAnsi="Arial" w:cs="Arial"/>
                <w:iCs/>
                <w:sz w:val="20"/>
                <w:szCs w:val="20"/>
              </w:rPr>
              <w:t>zmianie ustawy o podatku akcyzowym oraz o zmianie niektórych innych ustaw.</w:t>
            </w:r>
          </w:p>
          <w:p w:rsidR="00C50077" w:rsidRPr="00030DAB" w:rsidP="00C50077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20" w:after="120" w:line="240" w:lineRule="auto"/>
              <w:ind w:left="261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5248">
              <w:rPr>
                <w:rFonts w:ascii="Arial" w:hAnsi="Arial" w:cs="Arial"/>
                <w:iCs/>
                <w:sz w:val="20"/>
                <w:szCs w:val="20"/>
              </w:rPr>
              <w:t>Powołanie Zespołu do spraw wdrożenia rozwiązań funkcjonalnych dla odbiorców energii elektrycznej.</w:t>
            </w:r>
          </w:p>
        </w:tc>
        <w:tc>
          <w:tcPr>
            <w:tcW w:w="3715" w:type="dxa"/>
            <w:shd w:val="clear" w:color="auto" w:fill="FFFFFF" w:themeFill="background1"/>
          </w:tcPr>
          <w:p w:rsidR="00C50077" w:rsidRPr="00030DAB" w:rsidP="00C50077">
            <w:pPr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Wydanie przepisów wykonawczy</w:t>
            </w:r>
            <w:r>
              <w:rPr>
                <w:rFonts w:ascii="Arial" w:hAnsi="Arial" w:cs="Arial"/>
                <w:sz w:val="20"/>
                <w:szCs w:val="20"/>
              </w:rPr>
              <w:t>ch do ustawy o zmianie ustawy o </w:t>
            </w:r>
            <w:r w:rsidRPr="00030DAB">
              <w:rPr>
                <w:rFonts w:ascii="Arial" w:hAnsi="Arial" w:cs="Arial"/>
                <w:sz w:val="20"/>
                <w:szCs w:val="20"/>
              </w:rPr>
              <w:t>podatku akcyzowym oraz o zmianie niektórych innych ustaw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uchwalenie r</w:t>
            </w: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zporządzenia Ministra Energii w </w:t>
            </w: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 xml:space="preserve">sprawie sposobu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obliczenia kwoty różnicy ceny i </w:t>
            </w: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>rekompensaty finansowej oraz spos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obu wyznaczania cen odniesienia </w:t>
            </w: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>z dnia 19 lipca 2019 r. (Dz.U. z 2019 r. poz. 1369)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C67175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C43C73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03529" w:rsidRPr="00030DAB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30DAB">
        <w:rPr>
          <w:rFonts w:ascii="Arial" w:hAnsi="Arial" w:cs="Arial"/>
          <w:b/>
          <w:sz w:val="20"/>
          <w:szCs w:val="20"/>
        </w:rPr>
        <w:t>CZĘŚĆ B: Realizacja celów priorytetowych wynikających z budżetu państwa w układzie zadaniowym w roku 2019</w:t>
      </w:r>
    </w:p>
    <w:p w:rsidR="00103529" w:rsidRPr="00030DAB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30DAB">
        <w:rPr>
          <w:rFonts w:ascii="Arial" w:hAnsi="Arial" w:cs="Arial"/>
          <w:i/>
          <w:iCs/>
          <w:color w:val="000000"/>
          <w:sz w:val="20"/>
          <w:szCs w:val="20"/>
        </w:rPr>
        <w:t>(w tej części sprawozdania należy wymienić cele wskazane w części B planu na rok, którego dotyczy sprawozdanie. Nie należy wymieniać celó</w:t>
      </w:r>
      <w:r w:rsidRPr="00030DAB" w:rsidR="00D13B05">
        <w:rPr>
          <w:rFonts w:ascii="Arial" w:hAnsi="Arial" w:cs="Arial"/>
          <w:i/>
          <w:iCs/>
          <w:color w:val="000000"/>
          <w:sz w:val="20"/>
          <w:szCs w:val="20"/>
        </w:rPr>
        <w:t>w uprzednio wskazanych w części </w:t>
      </w:r>
      <w:r w:rsidRPr="00030DAB">
        <w:rPr>
          <w:rFonts w:ascii="Arial" w:hAnsi="Arial" w:cs="Arial"/>
          <w:i/>
          <w:iCs/>
          <w:color w:val="000000"/>
          <w:sz w:val="20"/>
          <w:szCs w:val="20"/>
        </w:rPr>
        <w:t>A)</w:t>
      </w:r>
    </w:p>
    <w:tbl>
      <w:tblPr>
        <w:tblStyle w:val="TableGrid"/>
        <w:tblW w:w="15871" w:type="dxa"/>
        <w:tblLook w:val="04A0"/>
      </w:tblPr>
      <w:tblGrid>
        <w:gridCol w:w="783"/>
        <w:gridCol w:w="2189"/>
        <w:gridCol w:w="1937"/>
        <w:gridCol w:w="1937"/>
        <w:gridCol w:w="1938"/>
        <w:gridCol w:w="3543"/>
        <w:gridCol w:w="3544"/>
      </w:tblGrid>
      <w:tr w:rsidTr="00D242B9">
        <w:tblPrEx>
          <w:tblW w:w="15871" w:type="dxa"/>
          <w:tblLook w:val="04A0"/>
        </w:tblPrEx>
        <w:tc>
          <w:tcPr>
            <w:tcW w:w="783" w:type="dxa"/>
            <w:vMerge w:val="restart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89" w:type="dxa"/>
            <w:vMerge w:val="restart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Cel</w:t>
            </w:r>
          </w:p>
        </w:tc>
        <w:tc>
          <w:tcPr>
            <w:tcW w:w="5812" w:type="dxa"/>
            <w:gridSpan w:val="3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3543" w:type="dxa"/>
            <w:vMerge w:val="restart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Planowane podzadania budżetowe służące realizacji celu</w:t>
            </w:r>
          </w:p>
        </w:tc>
        <w:tc>
          <w:tcPr>
            <w:tcW w:w="3544" w:type="dxa"/>
            <w:vMerge w:val="restart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Podjęte podzadania budżetowe służące realizacji celu</w:t>
            </w:r>
          </w:p>
        </w:tc>
      </w:tr>
      <w:tr w:rsidTr="00D242B9">
        <w:tblPrEx>
          <w:tblW w:w="15871" w:type="dxa"/>
          <w:tblLook w:val="04A0"/>
        </w:tblPrEx>
        <w:tc>
          <w:tcPr>
            <w:tcW w:w="783" w:type="dxa"/>
            <w:vMerge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937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planowana wartość do osiągniecia na koniec roku, którego dotyczy sprawozdanie</w:t>
            </w:r>
          </w:p>
        </w:tc>
        <w:tc>
          <w:tcPr>
            <w:tcW w:w="1938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osiągnięta wartość na koniec roku, którego dotyczy sprawozdanie</w:t>
            </w:r>
          </w:p>
        </w:tc>
        <w:tc>
          <w:tcPr>
            <w:tcW w:w="3543" w:type="dxa"/>
            <w:vMerge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Tr="00D242B9">
        <w:tblPrEx>
          <w:tblW w:w="15871" w:type="dxa"/>
          <w:tblLook w:val="04A0"/>
        </w:tblPrEx>
        <w:tc>
          <w:tcPr>
            <w:tcW w:w="783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89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37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37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38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543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Tr="00030DAB">
        <w:tblPrEx>
          <w:tblW w:w="15871" w:type="dxa"/>
          <w:tblLook w:val="04A0"/>
        </w:tblPrEx>
        <w:tc>
          <w:tcPr>
            <w:tcW w:w="783" w:type="dxa"/>
          </w:tcPr>
          <w:p w:rsidR="002A0BB6" w:rsidRPr="00030DAB" w:rsidP="00030D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9" w:type="dxa"/>
          </w:tcPr>
          <w:p w:rsidR="002A0BB6" w:rsidRPr="00030DAB" w:rsidP="00030DAB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Zapewnienie rezerw strategicznych zgodnie z potrzebami państwa w warunkach kryzysu (ARM)</w:t>
            </w:r>
          </w:p>
        </w:tc>
        <w:tc>
          <w:tcPr>
            <w:tcW w:w="1937" w:type="dxa"/>
          </w:tcPr>
          <w:p w:rsidR="002A0BB6" w:rsidRPr="00030DAB" w:rsidP="00030DAB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Procent realizacji wartości bazowej rezerw, określonej przez organ tworzący</w:t>
            </w:r>
          </w:p>
        </w:tc>
        <w:tc>
          <w:tcPr>
            <w:tcW w:w="1937" w:type="dxa"/>
          </w:tcPr>
          <w:p w:rsidR="002A0BB6" w:rsidRPr="00030DAB" w:rsidP="00030DAB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</w:t>
            </w:r>
            <w:r w:rsidR="00254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  <w:tc>
          <w:tcPr>
            <w:tcW w:w="1938" w:type="dxa"/>
          </w:tcPr>
          <w:p w:rsidR="002A0BB6" w:rsidRPr="00030DAB" w:rsidP="00030DAB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99,5%</w:t>
            </w:r>
          </w:p>
        </w:tc>
        <w:tc>
          <w:tcPr>
            <w:tcW w:w="3543" w:type="dxa"/>
          </w:tcPr>
          <w:p w:rsidR="002A0BB6" w:rsidRPr="00030DAB" w:rsidP="00030DAB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Rezerwy strategiczne</w:t>
            </w:r>
            <w:r w:rsidR="007B0D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A0BB6" w:rsidRPr="00030DAB" w:rsidP="006C607E">
            <w:pPr>
              <w:pStyle w:val="Heading1"/>
              <w:spacing w:before="120" w:after="12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30DAB">
              <w:rPr>
                <w:rFonts w:ascii="Arial" w:hAnsi="Arial" w:cs="Arial"/>
                <w:b w:val="0"/>
                <w:sz w:val="20"/>
                <w:szCs w:val="20"/>
              </w:rPr>
              <w:t xml:space="preserve">Zapewniono finansowanie rezerw </w:t>
            </w:r>
            <w:r w:rsidR="00380A7A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Pr="00030DAB">
              <w:rPr>
                <w:rFonts w:ascii="Arial" w:hAnsi="Arial" w:cs="Arial"/>
                <w:b w:val="0"/>
                <w:sz w:val="20"/>
                <w:szCs w:val="20"/>
              </w:rPr>
              <w:t>w</w:t>
            </w:r>
            <w:r w:rsidR="00380A7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b w:val="0"/>
                <w:sz w:val="20"/>
                <w:szCs w:val="20"/>
              </w:rPr>
              <w:t>ramach dotacji celowej</w:t>
            </w:r>
            <w:r w:rsidR="00380A7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b w:val="0"/>
                <w:sz w:val="20"/>
                <w:szCs w:val="20"/>
              </w:rPr>
              <w:t xml:space="preserve">i podmiotowej dla Agencji Rezerw Materiałowych zgodnie z planem finansowym stanowiącym załącznik do ustawy budżetowej </w:t>
            </w:r>
            <w:r w:rsidRPr="00030DAB" w:rsidR="009B3997">
              <w:rPr>
                <w:rFonts w:ascii="Arial" w:hAnsi="Arial" w:cs="Arial"/>
                <w:b w:val="0"/>
                <w:sz w:val="20"/>
                <w:szCs w:val="20"/>
              </w:rPr>
              <w:t>na rok</w:t>
            </w:r>
            <w:r w:rsidRPr="00030DAB">
              <w:rPr>
                <w:rFonts w:ascii="Arial" w:hAnsi="Arial" w:cs="Arial"/>
                <w:b w:val="0"/>
                <w:sz w:val="20"/>
                <w:szCs w:val="20"/>
              </w:rPr>
              <w:t xml:space="preserve"> 2019</w:t>
            </w:r>
            <w:r w:rsidRPr="00030DAB" w:rsidR="009B399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 w:rsidRPr="00030DAB" w:rsidR="009B3997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030DAB">
              <w:rPr>
                <w:rFonts w:ascii="Arial" w:hAnsi="Arial" w:cs="Arial"/>
                <w:b w:val="0"/>
                <w:sz w:val="20"/>
                <w:szCs w:val="20"/>
              </w:rPr>
              <w:t>dnia 16 stycznia 2019</w:t>
            </w:r>
            <w:r w:rsidRPr="00030DAB" w:rsidR="009B399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b w:val="0"/>
                <w:sz w:val="20"/>
                <w:szCs w:val="20"/>
              </w:rPr>
              <w:t>r.</w:t>
            </w:r>
            <w:r w:rsidRPr="00030DAB" w:rsidR="009B3997">
              <w:rPr>
                <w:rFonts w:ascii="Arial" w:hAnsi="Arial" w:cs="Arial"/>
                <w:b w:val="0"/>
                <w:sz w:val="20"/>
                <w:szCs w:val="20"/>
              </w:rPr>
              <w:t xml:space="preserve"> (Dz. U. z 2019 r. poz. 198)</w:t>
            </w:r>
            <w:r w:rsidR="007B0DD0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</w:tbl>
    <w:p w:rsidR="007F4A6F" w:rsidRPr="00030DAB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771CE0" w:rsidRPr="00030DAB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30DAB">
        <w:rPr>
          <w:rFonts w:ascii="Arial" w:hAnsi="Arial" w:cs="Arial"/>
          <w:b/>
          <w:sz w:val="20"/>
          <w:szCs w:val="20"/>
        </w:rPr>
        <w:br w:type="page"/>
      </w:r>
    </w:p>
    <w:p w:rsidR="00103529" w:rsidRPr="00030DAB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30DAB">
        <w:rPr>
          <w:rFonts w:ascii="Arial" w:hAnsi="Arial" w:cs="Arial"/>
          <w:b/>
          <w:sz w:val="20"/>
          <w:szCs w:val="20"/>
        </w:rPr>
        <w:t>CZĘŚĆ C: Realizacja innych celów w roku 2019</w:t>
      </w:r>
    </w:p>
    <w:p w:rsidR="00103529" w:rsidRPr="00030DAB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30DAB">
        <w:rPr>
          <w:rFonts w:ascii="Arial" w:hAnsi="Arial" w:cs="Arial"/>
          <w:i/>
          <w:iCs/>
          <w:color w:val="000000"/>
          <w:sz w:val="20"/>
          <w:szCs w:val="20"/>
        </w:rPr>
        <w:t>(w tej części sprawozdania należy wymienić cele wskazane w części C planu na rok, którego dotyczy sprawozdanie)</w:t>
      </w:r>
    </w:p>
    <w:tbl>
      <w:tblPr>
        <w:tblStyle w:val="TableGrid"/>
        <w:tblW w:w="15871" w:type="dxa"/>
        <w:tblLook w:val="04A0"/>
      </w:tblPr>
      <w:tblGrid>
        <w:gridCol w:w="783"/>
        <w:gridCol w:w="2189"/>
        <w:gridCol w:w="1937"/>
        <w:gridCol w:w="1937"/>
        <w:gridCol w:w="1938"/>
        <w:gridCol w:w="3543"/>
        <w:gridCol w:w="3544"/>
      </w:tblGrid>
      <w:tr w:rsidTr="00D242B9">
        <w:tblPrEx>
          <w:tblW w:w="15871" w:type="dxa"/>
          <w:tblLook w:val="04A0"/>
        </w:tblPrEx>
        <w:tc>
          <w:tcPr>
            <w:tcW w:w="783" w:type="dxa"/>
            <w:vMerge w:val="restart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89" w:type="dxa"/>
            <w:vMerge w:val="restart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Cel</w:t>
            </w:r>
          </w:p>
        </w:tc>
        <w:tc>
          <w:tcPr>
            <w:tcW w:w="5812" w:type="dxa"/>
            <w:gridSpan w:val="3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3543" w:type="dxa"/>
            <w:vMerge w:val="restart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Planowane podzadania budżetowe służące realizacji celu</w:t>
            </w:r>
          </w:p>
        </w:tc>
        <w:tc>
          <w:tcPr>
            <w:tcW w:w="3544" w:type="dxa"/>
            <w:vMerge w:val="restart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Podjęte podzadania budżetowe służące realizacji celu</w:t>
            </w:r>
          </w:p>
        </w:tc>
      </w:tr>
      <w:tr w:rsidTr="00D242B9">
        <w:tblPrEx>
          <w:tblW w:w="15871" w:type="dxa"/>
          <w:tblLook w:val="04A0"/>
        </w:tblPrEx>
        <w:tc>
          <w:tcPr>
            <w:tcW w:w="783" w:type="dxa"/>
            <w:vMerge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937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planowana wartość do osiągniecia na koniec roku, którego dotyczy sprawozdanie</w:t>
            </w:r>
          </w:p>
        </w:tc>
        <w:tc>
          <w:tcPr>
            <w:tcW w:w="1938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osiągnięta wartość na koniec roku, którego dotyczy sprawozdanie</w:t>
            </w:r>
          </w:p>
        </w:tc>
        <w:tc>
          <w:tcPr>
            <w:tcW w:w="3543" w:type="dxa"/>
            <w:vMerge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Tr="00D242B9">
        <w:tblPrEx>
          <w:tblW w:w="15871" w:type="dxa"/>
          <w:tblLook w:val="04A0"/>
        </w:tblPrEx>
        <w:tc>
          <w:tcPr>
            <w:tcW w:w="783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89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37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37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38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543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center"/>
          </w:tcPr>
          <w:p w:rsidR="00103529" w:rsidRPr="00030DAB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Tr="003B6556">
        <w:tblPrEx>
          <w:tblW w:w="15871" w:type="dxa"/>
          <w:tblLook w:val="04A0"/>
        </w:tblPrEx>
        <w:tc>
          <w:tcPr>
            <w:tcW w:w="783" w:type="dxa"/>
          </w:tcPr>
          <w:p w:rsidR="007D4041" w:rsidRPr="00030DAB" w:rsidP="00030DAB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9" w:type="dxa"/>
          </w:tcPr>
          <w:p w:rsidR="007D4041" w:rsidRPr="00030DAB" w:rsidP="00030DAB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Zapewnienie spójnej polityki</w:t>
            </w:r>
            <w:r w:rsidRPr="00030DAB" w:rsidR="001D37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sz w:val="20"/>
                <w:szCs w:val="20"/>
              </w:rPr>
              <w:t>międzynarodowej Ministerstwa Energii w zakresie organizacji</w:t>
            </w:r>
            <w:r w:rsidRPr="00030DAB">
              <w:rPr>
                <w:rFonts w:ascii="Arial" w:hAnsi="Arial" w:cs="Arial"/>
                <w:sz w:val="20"/>
                <w:szCs w:val="20"/>
              </w:rPr>
              <w:br/>
              <w:t>i koordynacji dwustronnej</w:t>
            </w:r>
            <w:r w:rsidRPr="00030DAB">
              <w:rPr>
                <w:rFonts w:ascii="Arial" w:hAnsi="Arial" w:cs="Arial"/>
                <w:sz w:val="20"/>
                <w:szCs w:val="20"/>
              </w:rPr>
              <w:br/>
              <w:t>i wielostro</w:t>
            </w:r>
            <w:r w:rsidR="00C43C73">
              <w:rPr>
                <w:rFonts w:ascii="Arial" w:hAnsi="Arial" w:cs="Arial"/>
                <w:sz w:val="20"/>
                <w:szCs w:val="20"/>
              </w:rPr>
              <w:t>nnej współpracy energetycznej z </w:t>
            </w:r>
            <w:r w:rsidRPr="00030DAB">
              <w:rPr>
                <w:rFonts w:ascii="Arial" w:hAnsi="Arial" w:cs="Arial"/>
                <w:sz w:val="20"/>
                <w:szCs w:val="20"/>
              </w:rPr>
              <w:t>krajami trzecimi ora</w:t>
            </w:r>
            <w:r w:rsidR="00B04336">
              <w:rPr>
                <w:rFonts w:ascii="Arial" w:hAnsi="Arial" w:cs="Arial"/>
                <w:sz w:val="20"/>
                <w:szCs w:val="20"/>
              </w:rPr>
              <w:t>z w zakresie spraw związanych z </w:t>
            </w:r>
            <w:bookmarkStart w:id="0" w:name="_GoBack"/>
            <w:bookmarkEnd w:id="0"/>
            <w:r w:rsidRPr="00030DAB">
              <w:rPr>
                <w:rFonts w:ascii="Arial" w:hAnsi="Arial" w:cs="Arial"/>
                <w:sz w:val="20"/>
                <w:szCs w:val="20"/>
              </w:rPr>
              <w:t>członkostwem Polski w UE</w:t>
            </w:r>
          </w:p>
        </w:tc>
        <w:tc>
          <w:tcPr>
            <w:tcW w:w="1937" w:type="dxa"/>
          </w:tcPr>
          <w:p w:rsidR="007D4041" w:rsidRPr="00030DAB" w:rsidP="00030DAB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% uczestnictwa</w:t>
            </w:r>
            <w:r w:rsidRPr="00030DAB">
              <w:rPr>
                <w:rFonts w:ascii="Arial" w:hAnsi="Arial" w:cs="Arial"/>
                <w:sz w:val="20"/>
                <w:szCs w:val="20"/>
              </w:rPr>
              <w:br/>
              <w:t>w spotkaniach</w:t>
            </w:r>
          </w:p>
        </w:tc>
        <w:tc>
          <w:tcPr>
            <w:tcW w:w="1937" w:type="dxa"/>
          </w:tcPr>
          <w:p w:rsidR="007D4041" w:rsidRPr="00030DAB" w:rsidP="00030DAB">
            <w:pPr>
              <w:shd w:val="clear" w:color="auto" w:fill="FFFFFF"/>
              <w:spacing w:before="120" w:after="120" w:line="240" w:lineRule="auto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38" w:type="dxa"/>
          </w:tcPr>
          <w:p w:rsidR="007D4041" w:rsidRPr="00030DAB" w:rsidP="00030DAB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543" w:type="dxa"/>
          </w:tcPr>
          <w:p w:rsidR="007B0DD0" w:rsidRPr="007B0DD0" w:rsidP="00290BA8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20" w:after="120"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7B0DD0">
              <w:rPr>
                <w:rFonts w:ascii="Arial" w:hAnsi="Arial" w:cs="Arial"/>
                <w:iCs/>
                <w:sz w:val="20"/>
                <w:szCs w:val="20"/>
              </w:rPr>
              <w:t>Udział w posiedzeniach Rady UE ds. Energii (TTE-Energia) i jej organach przygotowawczych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7B0DD0" w:rsidRPr="007B0DD0" w:rsidP="00290BA8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20" w:after="120"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F432EB">
              <w:rPr>
                <w:rFonts w:ascii="Arial" w:hAnsi="Arial" w:cs="Arial"/>
                <w:iCs/>
                <w:sz w:val="20"/>
                <w:szCs w:val="20"/>
              </w:rPr>
              <w:t xml:space="preserve">Udział w bilateralnych </w:t>
            </w:r>
            <w:r w:rsidR="00417B1E">
              <w:rPr>
                <w:rFonts w:ascii="Arial" w:hAnsi="Arial" w:cs="Arial"/>
                <w:iCs/>
                <w:sz w:val="20"/>
                <w:szCs w:val="20"/>
              </w:rPr>
              <w:t>konsultacjach międzyrządowych i </w:t>
            </w:r>
            <w:r w:rsidRPr="00F432EB">
              <w:rPr>
                <w:rFonts w:ascii="Arial" w:hAnsi="Arial" w:cs="Arial"/>
                <w:iCs/>
                <w:sz w:val="20"/>
                <w:szCs w:val="20"/>
              </w:rPr>
              <w:t>resortowych z krajami europejskimi i pozaeuropejskimi.</w:t>
            </w:r>
          </w:p>
          <w:p w:rsidR="007D4041" w:rsidRPr="00225248" w:rsidP="00290BA8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20" w:after="120"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432EB">
              <w:rPr>
                <w:rFonts w:ascii="Arial" w:hAnsi="Arial" w:cs="Arial"/>
                <w:iCs/>
                <w:sz w:val="20"/>
                <w:szCs w:val="20"/>
              </w:rPr>
              <w:t>Udział w posiedzeniach gremiów kierowniczych organizacji międzynarodowych, w których Polskę reprezentuje ME</w:t>
            </w:r>
            <w:r w:rsidR="007B0DD0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B3997" w:rsidRPr="00030DAB" w:rsidP="006C607E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>Udział w Posiedzeniach:</w:t>
            </w:r>
          </w:p>
          <w:p w:rsidR="009B3997" w:rsidRPr="00030DAB" w:rsidP="00290BA8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2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 xml:space="preserve">Rady TTE-Energia </w:t>
            </w:r>
            <w:r w:rsidRPr="00030DAB" w:rsidR="007431D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9145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030DAB" w:rsidR="007431D5">
              <w:rPr>
                <w:rFonts w:ascii="Arial" w:hAnsi="Arial" w:cs="Arial"/>
                <w:color w:val="000000"/>
                <w:sz w:val="20"/>
                <w:szCs w:val="20"/>
              </w:rPr>
              <w:t xml:space="preserve"> spotka</w:t>
            </w:r>
            <w:r w:rsidR="00591451">
              <w:rPr>
                <w:rFonts w:ascii="Arial" w:hAnsi="Arial" w:cs="Arial"/>
                <w:color w:val="000000"/>
                <w:sz w:val="20"/>
                <w:szCs w:val="20"/>
              </w:rPr>
              <w:t>ń</w:t>
            </w:r>
            <w:r w:rsidRPr="00030DAB" w:rsidR="007431D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7B0DD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9B3997" w:rsidRPr="00030DAB" w:rsidP="00290BA8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23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color w:val="000000"/>
                <w:sz w:val="20"/>
                <w:szCs w:val="20"/>
              </w:rPr>
              <w:t xml:space="preserve">Konsultacje bilateralne </w:t>
            </w:r>
            <w:r w:rsidRPr="00030DAB" w:rsidR="007431D5">
              <w:rPr>
                <w:rFonts w:ascii="Arial" w:hAnsi="Arial" w:cs="Arial"/>
                <w:sz w:val="20"/>
                <w:szCs w:val="20"/>
              </w:rPr>
              <w:t>międzyrządowe i  </w:t>
            </w:r>
            <w:r w:rsidRPr="00030DAB">
              <w:rPr>
                <w:rFonts w:ascii="Arial" w:hAnsi="Arial" w:cs="Arial"/>
                <w:sz w:val="20"/>
                <w:szCs w:val="20"/>
              </w:rPr>
              <w:t xml:space="preserve">resortowe </w:t>
            </w:r>
            <w:r w:rsidRPr="00030DAB" w:rsidR="003B6556">
              <w:rPr>
                <w:rFonts w:ascii="Arial" w:hAnsi="Arial" w:cs="Arial"/>
                <w:sz w:val="20"/>
                <w:szCs w:val="20"/>
              </w:rPr>
              <w:t>z </w:t>
            </w:r>
            <w:r w:rsidRPr="00030DAB" w:rsidR="007431D5">
              <w:rPr>
                <w:rFonts w:ascii="Arial" w:hAnsi="Arial" w:cs="Arial"/>
                <w:sz w:val="20"/>
                <w:szCs w:val="20"/>
              </w:rPr>
              <w:t>krajami europejskimi i </w:t>
            </w:r>
            <w:r w:rsidRPr="00030DAB">
              <w:rPr>
                <w:rFonts w:ascii="Arial" w:hAnsi="Arial" w:cs="Arial"/>
                <w:sz w:val="20"/>
                <w:szCs w:val="20"/>
              </w:rPr>
              <w:t xml:space="preserve">pozaeuropejskimi </w:t>
            </w:r>
            <w:r w:rsidRPr="00030DAB" w:rsidR="007431D5">
              <w:rPr>
                <w:rFonts w:ascii="Arial" w:hAnsi="Arial" w:cs="Arial"/>
                <w:sz w:val="20"/>
                <w:szCs w:val="20"/>
              </w:rPr>
              <w:t>(</w:t>
            </w:r>
            <w:r w:rsidRPr="00030DAB">
              <w:rPr>
                <w:rFonts w:ascii="Arial" w:hAnsi="Arial" w:cs="Arial"/>
                <w:sz w:val="20"/>
                <w:szCs w:val="20"/>
              </w:rPr>
              <w:t>14</w:t>
            </w:r>
            <w:r w:rsidRPr="00030DAB" w:rsidR="007431D5">
              <w:rPr>
                <w:rFonts w:ascii="Arial" w:hAnsi="Arial" w:cs="Arial"/>
                <w:sz w:val="20"/>
                <w:szCs w:val="20"/>
              </w:rPr>
              <w:t xml:space="preserve"> spotkań)</w:t>
            </w:r>
            <w:r w:rsidR="007B0DD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D4041" w:rsidRPr="00030DAB" w:rsidP="00290BA8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23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G</w:t>
            </w:r>
            <w:r w:rsidRPr="00030DAB" w:rsidR="009B3997">
              <w:rPr>
                <w:rFonts w:ascii="Arial" w:hAnsi="Arial" w:cs="Arial"/>
                <w:sz w:val="20"/>
                <w:szCs w:val="20"/>
              </w:rPr>
              <w:t xml:space="preserve">remiów kierowniczych </w:t>
            </w:r>
            <w:r w:rsidRPr="00030DAB" w:rsidR="003B6556">
              <w:rPr>
                <w:rFonts w:ascii="Arial" w:hAnsi="Arial" w:cs="Arial"/>
                <w:sz w:val="20"/>
                <w:szCs w:val="20"/>
              </w:rPr>
              <w:t>organizacji międzynarodowych, w </w:t>
            </w:r>
            <w:r w:rsidRPr="00030DAB" w:rsidR="009B3997">
              <w:rPr>
                <w:rFonts w:ascii="Arial" w:hAnsi="Arial" w:cs="Arial"/>
                <w:sz w:val="20"/>
                <w:szCs w:val="20"/>
              </w:rPr>
              <w:t xml:space="preserve">których Polskę reprezentuje ME/MAP </w:t>
            </w:r>
            <w:r w:rsidRPr="00030DAB">
              <w:rPr>
                <w:rFonts w:ascii="Arial" w:hAnsi="Arial" w:cs="Arial"/>
                <w:sz w:val="20"/>
                <w:szCs w:val="20"/>
              </w:rPr>
              <w:t>(</w:t>
            </w:r>
            <w:r w:rsidRPr="00030DAB" w:rsidR="009B3997">
              <w:rPr>
                <w:rFonts w:ascii="Arial" w:hAnsi="Arial" w:cs="Arial"/>
                <w:sz w:val="20"/>
                <w:szCs w:val="20"/>
              </w:rPr>
              <w:t>7</w:t>
            </w:r>
            <w:r w:rsidRPr="00030DAB">
              <w:rPr>
                <w:rFonts w:ascii="Arial" w:hAnsi="Arial" w:cs="Arial"/>
                <w:sz w:val="20"/>
                <w:szCs w:val="20"/>
              </w:rPr>
              <w:t xml:space="preserve"> spotkań)</w:t>
            </w:r>
            <w:r w:rsidRPr="00030DAB" w:rsidR="009B39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Tr="00771CE0">
        <w:tblPrEx>
          <w:tblW w:w="15871" w:type="dxa"/>
          <w:tblLook w:val="04A0"/>
        </w:tblPrEx>
        <w:tc>
          <w:tcPr>
            <w:tcW w:w="783" w:type="dxa"/>
          </w:tcPr>
          <w:p w:rsidR="007431D5" w:rsidRPr="00030DAB" w:rsidP="00030DAB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20" w:after="12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9" w:type="dxa"/>
          </w:tcPr>
          <w:p w:rsidR="007431D5" w:rsidRPr="00030DAB" w:rsidP="00030DAB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Wspieranie działalności kopalń zabyt</w:t>
            </w:r>
            <w:r w:rsidR="00C43C73">
              <w:rPr>
                <w:rFonts w:ascii="Arial" w:hAnsi="Arial" w:cs="Arial"/>
                <w:sz w:val="20"/>
                <w:szCs w:val="20"/>
              </w:rPr>
              <w:t>kowych, tj. </w:t>
            </w:r>
            <w:r w:rsidRPr="00030DAB" w:rsidR="00771CE0">
              <w:rPr>
                <w:rFonts w:ascii="Arial" w:hAnsi="Arial" w:cs="Arial"/>
                <w:sz w:val="20"/>
                <w:szCs w:val="20"/>
              </w:rPr>
              <w:t>kopalnie: Bochnia i </w:t>
            </w:r>
            <w:r w:rsidRPr="00030DAB">
              <w:rPr>
                <w:rFonts w:ascii="Arial" w:hAnsi="Arial" w:cs="Arial"/>
                <w:sz w:val="20"/>
                <w:szCs w:val="20"/>
              </w:rPr>
              <w:t>Wieliczka</w:t>
            </w:r>
          </w:p>
          <w:p w:rsidR="007431D5" w:rsidRPr="00030DAB" w:rsidP="00030DAB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7431D5" w:rsidRPr="00030DAB" w:rsidP="00030DAB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Średnia rentowność sprzedaży przedsiębiorstw (kopalń soli)</w:t>
            </w:r>
          </w:p>
        </w:tc>
        <w:tc>
          <w:tcPr>
            <w:tcW w:w="1937" w:type="dxa"/>
          </w:tcPr>
          <w:p w:rsidR="007431D5" w:rsidRPr="00030DAB" w:rsidP="00030DAB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</w:t>
            </w:r>
            <w:r w:rsidR="00254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DAB">
              <w:rPr>
                <w:rFonts w:ascii="Arial" w:hAnsi="Arial" w:cs="Arial"/>
                <w:sz w:val="20"/>
                <w:szCs w:val="20"/>
              </w:rPr>
              <w:t>14,6</w:t>
            </w:r>
            <w:r w:rsidRPr="00030DAB" w:rsidR="00771CE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38" w:type="dxa"/>
          </w:tcPr>
          <w:p w:rsidR="007431D5" w:rsidRPr="00030DAB" w:rsidP="00030DAB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>4,40%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3"/>
            </w:r>
          </w:p>
        </w:tc>
        <w:tc>
          <w:tcPr>
            <w:tcW w:w="3543" w:type="dxa"/>
          </w:tcPr>
          <w:p w:rsidR="007431D5" w:rsidRPr="00030DAB" w:rsidP="00290BA8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20" w:after="120" w:line="240" w:lineRule="auto"/>
              <w:ind w:left="317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 xml:space="preserve">Zapewnienie współfinansowania na utrzymanie zabytkowych części kopalń oraz likwidacji 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t>niezabytkowych</w:t>
            </w:r>
            <w:r w:rsidRPr="00030DAB">
              <w:rPr>
                <w:rFonts w:ascii="Arial" w:hAnsi="Arial" w:cs="Arial"/>
                <w:iCs/>
                <w:sz w:val="20"/>
                <w:szCs w:val="20"/>
              </w:rPr>
              <w:t xml:space="preserve"> części kopalń soli</w:t>
            </w:r>
            <w:r w:rsidR="007B0DD0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591451" w:rsidP="0059145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20" w:after="120"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0DAB">
              <w:rPr>
                <w:rFonts w:ascii="Arial" w:hAnsi="Arial" w:cs="Arial"/>
                <w:iCs/>
                <w:sz w:val="20"/>
                <w:szCs w:val="20"/>
              </w:rPr>
              <w:t>Uruchamianie i przyznawanie środków budżetowych dla kopalń soli.</w:t>
            </w:r>
          </w:p>
          <w:p w:rsidR="007431D5" w:rsidRPr="00591451" w:rsidP="00591451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20" w:after="120"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91451">
              <w:rPr>
                <w:rFonts w:ascii="Arial" w:hAnsi="Arial" w:cs="Arial"/>
                <w:iCs/>
                <w:sz w:val="20"/>
                <w:szCs w:val="20"/>
              </w:rPr>
              <w:t>Monitoring i rozliczanie środków budżetowych przyznanych kopalniom soli</w:t>
            </w:r>
            <w:r w:rsidRPr="00591451" w:rsidR="00417B1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FA541C" w:rsidRPr="00030DAB" w:rsidP="00290BA8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18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 xml:space="preserve">Zatwierdzono „Program całkowitej likwidacji zakładu górniczego „Siedlec – Moszczenica”, </w:t>
            </w:r>
            <w:r w:rsidRPr="00030DAB">
              <w:rPr>
                <w:rFonts w:ascii="Arial" w:hAnsi="Arial" w:cs="Arial"/>
                <w:sz w:val="20"/>
                <w:szCs w:val="20"/>
              </w:rPr>
              <w:t>niezabytkowej</w:t>
            </w:r>
            <w:r w:rsidRPr="00030DAB">
              <w:rPr>
                <w:rFonts w:ascii="Arial" w:hAnsi="Arial" w:cs="Arial"/>
                <w:sz w:val="20"/>
                <w:szCs w:val="20"/>
              </w:rPr>
              <w:t xml:space="preserve"> części zakładu górniczego „Bochnia” oraz utrzymania, zabezpieczenia i ratowania zabytkowych części zakładu górniczego „Bochnia”, wchodzących </w:t>
            </w:r>
            <w:r w:rsidRPr="00030DAB" w:rsidR="003B6556">
              <w:rPr>
                <w:rFonts w:ascii="Arial" w:hAnsi="Arial" w:cs="Arial"/>
                <w:sz w:val="20"/>
                <w:szCs w:val="20"/>
              </w:rPr>
              <w:t xml:space="preserve">w skład Kopalni </w:t>
            </w:r>
            <w:r w:rsidRPr="00030DAB" w:rsidR="003B6556">
              <w:rPr>
                <w:rFonts w:ascii="Arial" w:hAnsi="Arial" w:cs="Arial"/>
                <w:sz w:val="20"/>
                <w:szCs w:val="20"/>
              </w:rPr>
              <w:t>Soli „Bochnia” Sp. z o.o. na lata 2014-</w:t>
            </w:r>
            <w:r w:rsidRPr="00030DAB">
              <w:rPr>
                <w:rFonts w:ascii="Arial" w:hAnsi="Arial" w:cs="Arial"/>
                <w:sz w:val="20"/>
                <w:szCs w:val="20"/>
              </w:rPr>
              <w:t xml:space="preserve">2020” pn. „Program całkowitej likwidacji zakładu górniczego „Siedlec Moszczenica”, </w:t>
            </w:r>
            <w:r w:rsidRPr="00030DAB">
              <w:rPr>
                <w:rFonts w:ascii="Arial" w:hAnsi="Arial" w:cs="Arial"/>
                <w:sz w:val="20"/>
                <w:szCs w:val="20"/>
              </w:rPr>
              <w:t>niezabytkowej</w:t>
            </w:r>
            <w:r w:rsidRPr="00030DAB">
              <w:rPr>
                <w:rFonts w:ascii="Arial" w:hAnsi="Arial" w:cs="Arial"/>
                <w:sz w:val="20"/>
                <w:szCs w:val="20"/>
              </w:rPr>
              <w:t xml:space="preserve"> części zakładu górniczego „Bochnia” oraz utrzymania, zabezpieczenia i ratowania zabytkowych części zakładu górniczego „Bochnia”, wchodzących w skład Kopalni Soli B</w:t>
            </w:r>
            <w:r w:rsidRPr="00030DAB" w:rsidR="003B6556">
              <w:rPr>
                <w:rFonts w:ascii="Arial" w:hAnsi="Arial" w:cs="Arial"/>
                <w:sz w:val="20"/>
                <w:szCs w:val="20"/>
              </w:rPr>
              <w:t>ochnia sp. z o.o. na lata 2014-</w:t>
            </w:r>
            <w:r w:rsidRPr="00030DAB">
              <w:rPr>
                <w:rFonts w:ascii="Arial" w:hAnsi="Arial" w:cs="Arial"/>
                <w:sz w:val="20"/>
                <w:szCs w:val="20"/>
              </w:rPr>
              <w:t xml:space="preserve">2027”, </w:t>
            </w:r>
          </w:p>
          <w:p w:rsidR="007431D5" w:rsidRPr="00030DAB" w:rsidP="00290BA8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18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0DAB">
              <w:rPr>
                <w:rFonts w:ascii="Arial" w:hAnsi="Arial" w:cs="Arial"/>
                <w:sz w:val="20"/>
                <w:szCs w:val="20"/>
              </w:rPr>
              <w:t xml:space="preserve">Komisja Europejska uznała pomoc publiczną dla Kopalni Soli „Bochnia” </w:t>
            </w:r>
            <w:r w:rsidRPr="00030DAB" w:rsidR="003B6556">
              <w:rPr>
                <w:rFonts w:ascii="Arial" w:hAnsi="Arial" w:cs="Arial"/>
                <w:sz w:val="20"/>
                <w:szCs w:val="20"/>
              </w:rPr>
              <w:t>Sp. z o.o. za zgodną z </w:t>
            </w:r>
            <w:r w:rsidRPr="00030DAB">
              <w:rPr>
                <w:rFonts w:ascii="Arial" w:hAnsi="Arial" w:cs="Arial"/>
                <w:sz w:val="20"/>
                <w:szCs w:val="20"/>
              </w:rPr>
              <w:t>rynkiem wewnętrznym na podstawie art. 107 ust. 3 lit. d) Traktatu o funkcjonowaniu Unii Europejskiej.</w:t>
            </w:r>
          </w:p>
        </w:tc>
      </w:tr>
    </w:tbl>
    <w:p w:rsidR="00103529" w:rsidRPr="00030DAB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103529" w:rsidRPr="00030DAB" w:rsidP="00030DAB">
      <w:pPr>
        <w:spacing w:before="120" w:after="120" w:line="240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030DAB">
        <w:rPr>
          <w:rFonts w:ascii="Arial" w:hAnsi="Arial" w:cs="Arial"/>
          <w:b/>
          <w:bCs/>
          <w:color w:val="000000"/>
          <w:sz w:val="20"/>
          <w:szCs w:val="20"/>
        </w:rPr>
        <w:t>CZĘŚĆ D: Informacja dotycząca realizacji celów objętych planem działalności na rok 2019</w:t>
      </w:r>
    </w:p>
    <w:p w:rsidR="00103529" w:rsidRPr="00030DAB" w:rsidP="00030DAB">
      <w:pPr>
        <w:spacing w:before="120" w:after="120" w:line="240" w:lineRule="auto"/>
        <w:jc w:val="left"/>
        <w:rPr>
          <w:rFonts w:ascii="Arial" w:hAnsi="Arial" w:cs="Arial"/>
          <w:i/>
          <w:iCs/>
          <w:color w:val="000000"/>
          <w:sz w:val="20"/>
          <w:szCs w:val="20"/>
        </w:rPr>
      </w:pPr>
      <w:r w:rsidRPr="00030DAB">
        <w:rPr>
          <w:rFonts w:ascii="Arial" w:hAnsi="Arial" w:cs="Arial"/>
          <w:i/>
          <w:iCs/>
          <w:color w:val="000000"/>
          <w:sz w:val="20"/>
          <w:szCs w:val="20"/>
        </w:rPr>
        <w:t>(należy krótko opisać najważniejsze przyczyny, które wpłynęły na niezrealizowanie celów,</w:t>
      </w:r>
      <w:r w:rsidRPr="00030DAB" w:rsidR="00D242B9">
        <w:rPr>
          <w:rFonts w:ascii="Arial" w:hAnsi="Arial" w:cs="Arial"/>
          <w:i/>
          <w:iCs/>
          <w:color w:val="000000"/>
          <w:sz w:val="20"/>
          <w:szCs w:val="20"/>
        </w:rPr>
        <w:t xml:space="preserve"> wystąpienie istotnych różnic w </w:t>
      </w:r>
      <w:r w:rsidRPr="00030DAB">
        <w:rPr>
          <w:rFonts w:ascii="Arial" w:hAnsi="Arial" w:cs="Arial"/>
          <w:i/>
          <w:iCs/>
          <w:color w:val="000000"/>
          <w:sz w:val="20"/>
          <w:szCs w:val="20"/>
        </w:rPr>
        <w:t>planowanych i osiągni</w:t>
      </w:r>
      <w:r w:rsidR="00AF5652">
        <w:rPr>
          <w:rFonts w:ascii="Arial" w:hAnsi="Arial" w:cs="Arial"/>
          <w:i/>
          <w:iCs/>
          <w:color w:val="000000"/>
          <w:sz w:val="20"/>
          <w:szCs w:val="20"/>
        </w:rPr>
        <w:t>ętych wartościach mierników lub </w:t>
      </w:r>
      <w:r w:rsidRPr="00030DAB">
        <w:rPr>
          <w:rFonts w:ascii="Arial" w:hAnsi="Arial" w:cs="Arial"/>
          <w:i/>
          <w:iCs/>
          <w:color w:val="000000"/>
          <w:sz w:val="20"/>
          <w:szCs w:val="20"/>
        </w:rPr>
        <w:t>podjęcie innych niż planowane zadań służących realizacji celów)</w:t>
      </w:r>
    </w:p>
    <w:p w:rsidR="00FF2118" w:rsidP="00A12E3B">
      <w:pPr>
        <w:tabs>
          <w:tab w:val="left" w:pos="1985"/>
        </w:tabs>
        <w:spacing w:before="240" w:after="120" w:line="240" w:lineRule="auto"/>
        <w:ind w:left="1985" w:hanging="1985"/>
        <w:rPr>
          <w:rFonts w:ascii="Arial" w:hAnsi="Arial" w:cs="Arial"/>
          <w:sz w:val="20"/>
          <w:szCs w:val="20"/>
        </w:rPr>
      </w:pPr>
      <w:r w:rsidRPr="00030DAB">
        <w:rPr>
          <w:rFonts w:ascii="Arial" w:hAnsi="Arial" w:cs="Arial"/>
          <w:sz w:val="20"/>
          <w:szCs w:val="20"/>
        </w:rPr>
        <w:t xml:space="preserve">W części A pkt </w:t>
      </w:r>
      <w:r>
        <w:rPr>
          <w:rFonts w:ascii="Arial" w:hAnsi="Arial" w:cs="Arial"/>
          <w:sz w:val="20"/>
          <w:szCs w:val="20"/>
        </w:rPr>
        <w:t xml:space="preserve">4 – </w:t>
      </w:r>
      <w:r w:rsidR="00A12E3B">
        <w:rPr>
          <w:rFonts w:ascii="Arial" w:hAnsi="Arial" w:cs="Arial"/>
          <w:sz w:val="20"/>
          <w:szCs w:val="20"/>
        </w:rPr>
        <w:tab/>
      </w:r>
      <w:r w:rsidRPr="002547A7">
        <w:rPr>
          <w:rFonts w:ascii="Arial" w:hAnsi="Arial" w:cs="Arial"/>
          <w:i/>
          <w:sz w:val="20"/>
          <w:szCs w:val="20"/>
        </w:rPr>
        <w:t>Aktualizacja Programu polskiej energetyki jądrowej</w:t>
      </w:r>
      <w:r w:rsidR="002547A7">
        <w:rPr>
          <w:rFonts w:ascii="Arial" w:hAnsi="Arial" w:cs="Arial"/>
          <w:sz w:val="20"/>
          <w:szCs w:val="20"/>
        </w:rPr>
        <w:t xml:space="preserve"> </w:t>
      </w:r>
      <w:r w:rsidRPr="00030DAB">
        <w:rPr>
          <w:rFonts w:ascii="Arial" w:hAnsi="Arial" w:cs="Arial"/>
          <w:color w:val="000000"/>
          <w:sz w:val="20"/>
          <w:szCs w:val="20"/>
        </w:rPr>
        <w:t xml:space="preserve">uzależniona </w:t>
      </w:r>
      <w:r>
        <w:rPr>
          <w:rFonts w:ascii="Arial" w:hAnsi="Arial" w:cs="Arial"/>
          <w:color w:val="000000"/>
          <w:sz w:val="20"/>
          <w:szCs w:val="20"/>
        </w:rPr>
        <w:t>jest od przyjęcia decyzji kierunkowych zawartych w</w:t>
      </w:r>
      <w:r w:rsidRPr="00030D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2118">
        <w:rPr>
          <w:rFonts w:ascii="Arial" w:hAnsi="Arial" w:cs="Arial"/>
          <w:i/>
          <w:color w:val="000000"/>
          <w:sz w:val="20"/>
          <w:szCs w:val="20"/>
        </w:rPr>
        <w:t>P</w:t>
      </w:r>
      <w:r>
        <w:rPr>
          <w:rFonts w:ascii="Arial" w:hAnsi="Arial" w:cs="Arial"/>
          <w:i/>
          <w:color w:val="000000"/>
          <w:sz w:val="20"/>
          <w:szCs w:val="20"/>
        </w:rPr>
        <w:t>olityce energetycznej Polski do </w:t>
      </w:r>
      <w:r w:rsidRPr="00FF2118">
        <w:rPr>
          <w:rFonts w:ascii="Arial" w:hAnsi="Arial" w:cs="Arial"/>
          <w:i/>
          <w:color w:val="000000"/>
          <w:sz w:val="20"/>
          <w:szCs w:val="20"/>
        </w:rPr>
        <w:t>2040</w:t>
      </w:r>
      <w:r>
        <w:rPr>
          <w:rFonts w:ascii="Arial" w:hAnsi="Arial" w:cs="Arial"/>
          <w:i/>
          <w:color w:val="000000"/>
          <w:sz w:val="20"/>
          <w:szCs w:val="20"/>
        </w:rPr>
        <w:t> </w:t>
      </w:r>
      <w:r w:rsidRPr="00FF2118">
        <w:rPr>
          <w:rFonts w:ascii="Arial" w:hAnsi="Arial" w:cs="Arial"/>
          <w:i/>
          <w:color w:val="000000"/>
          <w:sz w:val="20"/>
          <w:szCs w:val="20"/>
        </w:rPr>
        <w:t>roku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F2118" w:rsidP="00A12E3B">
      <w:pPr>
        <w:tabs>
          <w:tab w:val="left" w:pos="1985"/>
        </w:tabs>
        <w:spacing w:before="240" w:after="120" w:line="240" w:lineRule="auto"/>
        <w:ind w:left="1985" w:hanging="1985"/>
        <w:rPr>
          <w:rFonts w:ascii="Arial" w:hAnsi="Arial" w:cs="Arial"/>
          <w:sz w:val="20"/>
          <w:szCs w:val="20"/>
        </w:rPr>
      </w:pPr>
      <w:r w:rsidRPr="00030DAB">
        <w:rPr>
          <w:rFonts w:ascii="Arial" w:hAnsi="Arial" w:cs="Arial"/>
          <w:sz w:val="20"/>
          <w:szCs w:val="20"/>
        </w:rPr>
        <w:t xml:space="preserve">W części A pkt </w:t>
      </w:r>
      <w:r>
        <w:rPr>
          <w:rFonts w:ascii="Arial" w:hAnsi="Arial" w:cs="Arial"/>
          <w:sz w:val="20"/>
          <w:szCs w:val="20"/>
        </w:rPr>
        <w:t xml:space="preserve">5 – </w:t>
      </w:r>
      <w:r w:rsidR="00A12E3B">
        <w:rPr>
          <w:rFonts w:ascii="Arial" w:hAnsi="Arial" w:cs="Arial"/>
          <w:sz w:val="20"/>
          <w:szCs w:val="20"/>
        </w:rPr>
        <w:tab/>
      </w:r>
      <w:r w:rsidRPr="002547A7">
        <w:rPr>
          <w:rFonts w:ascii="Arial" w:hAnsi="Arial" w:cs="Arial"/>
          <w:i/>
          <w:sz w:val="20"/>
          <w:szCs w:val="20"/>
        </w:rPr>
        <w:t>Aktualizacja i przedstawienie Radzie Ministrów Krajowego planu postępowania z odpadami promieniotwórczymi i wypalonym paliwem jądrowym</w:t>
      </w:r>
      <w:r w:rsidR="002547A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030DAB"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 względu na przekształcenie</w:t>
      </w:r>
      <w:r w:rsidRPr="00030DAB">
        <w:rPr>
          <w:rFonts w:ascii="Arial" w:hAnsi="Arial" w:cs="Arial"/>
          <w:color w:val="000000"/>
          <w:sz w:val="20"/>
          <w:szCs w:val="20"/>
        </w:rPr>
        <w:t xml:space="preserve"> M</w:t>
      </w:r>
      <w:r>
        <w:rPr>
          <w:rFonts w:ascii="Arial" w:hAnsi="Arial" w:cs="Arial"/>
          <w:color w:val="000000"/>
          <w:sz w:val="20"/>
          <w:szCs w:val="20"/>
        </w:rPr>
        <w:t>inisterstwa Energii</w:t>
      </w:r>
      <w:r w:rsidRPr="00030DAB">
        <w:rPr>
          <w:rFonts w:ascii="Arial" w:hAnsi="Arial" w:cs="Arial"/>
          <w:color w:val="000000"/>
          <w:sz w:val="20"/>
          <w:szCs w:val="20"/>
        </w:rPr>
        <w:t xml:space="preserve"> i powołanie nowego rządu, realizację zadania przełożono na rok 2020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90981" w:rsidP="00417B1E">
      <w:pPr>
        <w:tabs>
          <w:tab w:val="left" w:pos="1985"/>
        </w:tabs>
        <w:spacing w:before="240" w:after="120" w:line="240" w:lineRule="auto"/>
        <w:ind w:left="1985" w:hanging="1985"/>
        <w:rPr>
          <w:rFonts w:ascii="Arial" w:hAnsi="Arial" w:cs="Arial"/>
          <w:sz w:val="20"/>
          <w:szCs w:val="20"/>
        </w:rPr>
      </w:pPr>
      <w:r w:rsidRPr="00030DAB">
        <w:rPr>
          <w:rFonts w:ascii="Arial" w:hAnsi="Arial" w:cs="Arial"/>
          <w:sz w:val="20"/>
          <w:szCs w:val="20"/>
        </w:rPr>
        <w:t xml:space="preserve">W części A pkt </w:t>
      </w:r>
      <w:r>
        <w:rPr>
          <w:rFonts w:ascii="Arial" w:hAnsi="Arial" w:cs="Arial"/>
          <w:sz w:val="20"/>
          <w:szCs w:val="20"/>
        </w:rPr>
        <w:t xml:space="preserve">7 – </w:t>
      </w:r>
      <w:r w:rsidR="00A12E3B">
        <w:rPr>
          <w:rFonts w:ascii="Arial" w:hAnsi="Arial" w:cs="Arial"/>
          <w:sz w:val="20"/>
          <w:szCs w:val="20"/>
        </w:rPr>
        <w:tab/>
      </w:r>
      <w:r w:rsidR="00417B1E">
        <w:rPr>
          <w:rFonts w:ascii="Arial" w:hAnsi="Arial" w:cs="Arial"/>
          <w:sz w:val="20"/>
          <w:szCs w:val="20"/>
        </w:rPr>
        <w:t xml:space="preserve">W 2019 roku </w:t>
      </w:r>
      <w:r w:rsidRPr="00030DAB" w:rsidR="00417B1E">
        <w:rPr>
          <w:rFonts w:ascii="Arial" w:hAnsi="Arial" w:cs="Arial"/>
          <w:sz w:val="20"/>
          <w:szCs w:val="20"/>
        </w:rPr>
        <w:t>planowan</w:t>
      </w:r>
      <w:r w:rsidR="00417B1E">
        <w:rPr>
          <w:rFonts w:ascii="Arial" w:hAnsi="Arial" w:cs="Arial"/>
          <w:sz w:val="20"/>
          <w:szCs w:val="20"/>
        </w:rPr>
        <w:t>o, że</w:t>
      </w:r>
      <w:r w:rsidRPr="00030DAB" w:rsidR="00417B1E">
        <w:rPr>
          <w:rFonts w:ascii="Arial" w:hAnsi="Arial" w:cs="Arial"/>
          <w:sz w:val="20"/>
          <w:szCs w:val="20"/>
        </w:rPr>
        <w:t xml:space="preserve"> </w:t>
      </w:r>
      <w:r w:rsidRPr="005F7063" w:rsidR="00417B1E">
        <w:rPr>
          <w:rFonts w:ascii="Arial" w:hAnsi="Arial" w:cs="Arial"/>
          <w:i/>
          <w:sz w:val="20"/>
          <w:szCs w:val="20"/>
        </w:rPr>
        <w:t>poparcie s</w:t>
      </w:r>
      <w:r w:rsidR="00417B1E">
        <w:rPr>
          <w:rFonts w:ascii="Arial" w:hAnsi="Arial" w:cs="Arial"/>
          <w:i/>
          <w:sz w:val="20"/>
          <w:szCs w:val="20"/>
        </w:rPr>
        <w:t xml:space="preserve">połeczne dla energetyki jądrowej </w:t>
      </w:r>
      <w:r w:rsidRPr="005F7063" w:rsidR="00417B1E">
        <w:rPr>
          <w:rFonts w:ascii="Arial" w:hAnsi="Arial" w:cs="Arial"/>
          <w:sz w:val="20"/>
          <w:szCs w:val="20"/>
        </w:rPr>
        <w:t>wyniesie &gt;</w:t>
      </w:r>
      <w:r w:rsidR="00417B1E">
        <w:rPr>
          <w:rFonts w:ascii="Arial" w:hAnsi="Arial" w:cs="Arial"/>
          <w:sz w:val="20"/>
          <w:szCs w:val="20"/>
        </w:rPr>
        <w:t xml:space="preserve"> </w:t>
      </w:r>
      <w:r w:rsidRPr="005F7063" w:rsidR="00417B1E">
        <w:rPr>
          <w:rFonts w:ascii="Arial" w:hAnsi="Arial" w:cs="Arial"/>
          <w:sz w:val="20"/>
          <w:szCs w:val="20"/>
        </w:rPr>
        <w:t>50%</w:t>
      </w:r>
      <w:r w:rsidR="00417B1E">
        <w:rPr>
          <w:rFonts w:ascii="Arial" w:hAnsi="Arial" w:cs="Arial"/>
          <w:sz w:val="20"/>
          <w:szCs w:val="20"/>
        </w:rPr>
        <w:t xml:space="preserve">. </w:t>
      </w:r>
      <w:r w:rsidRPr="005F7063" w:rsidR="00417B1E">
        <w:rPr>
          <w:rFonts w:ascii="Arial" w:hAnsi="Arial" w:cs="Arial"/>
          <w:sz w:val="20"/>
          <w:szCs w:val="20"/>
        </w:rPr>
        <w:t xml:space="preserve">Przeprowadzono ankietę na wybranej grupie respondentów. </w:t>
      </w:r>
      <w:r w:rsidR="00417B1E">
        <w:rPr>
          <w:rFonts w:ascii="Arial" w:hAnsi="Arial" w:cs="Arial"/>
          <w:sz w:val="20"/>
          <w:szCs w:val="20"/>
        </w:rPr>
        <w:t>Wynik ankiety, który wyniósł</w:t>
      </w:r>
      <w:r w:rsidRPr="005F7063" w:rsidR="00417B1E">
        <w:rPr>
          <w:rFonts w:ascii="Arial" w:hAnsi="Arial" w:cs="Arial"/>
          <w:sz w:val="20"/>
          <w:szCs w:val="20"/>
        </w:rPr>
        <w:t xml:space="preserve"> 46,1%</w:t>
      </w:r>
      <w:r w:rsidR="00417B1E">
        <w:rPr>
          <w:rFonts w:ascii="Arial" w:hAnsi="Arial" w:cs="Arial"/>
          <w:sz w:val="20"/>
          <w:szCs w:val="20"/>
        </w:rPr>
        <w:t>, może mieć związek z b</w:t>
      </w:r>
      <w:r w:rsidRPr="005F7063" w:rsidR="00417B1E">
        <w:rPr>
          <w:rFonts w:ascii="Arial" w:hAnsi="Arial" w:cs="Arial"/>
          <w:sz w:val="20"/>
          <w:szCs w:val="20"/>
        </w:rPr>
        <w:t>rak</w:t>
      </w:r>
      <w:r w:rsidR="00417B1E">
        <w:rPr>
          <w:rFonts w:ascii="Arial" w:hAnsi="Arial" w:cs="Arial"/>
          <w:sz w:val="20"/>
          <w:szCs w:val="20"/>
        </w:rPr>
        <w:t>iem</w:t>
      </w:r>
      <w:r w:rsidRPr="005F7063" w:rsidR="00417B1E">
        <w:rPr>
          <w:rFonts w:ascii="Arial" w:hAnsi="Arial" w:cs="Arial"/>
          <w:sz w:val="20"/>
          <w:szCs w:val="20"/>
        </w:rPr>
        <w:t xml:space="preserve"> decyzji </w:t>
      </w:r>
      <w:r w:rsidR="00417B1E">
        <w:rPr>
          <w:rFonts w:ascii="Arial" w:hAnsi="Arial" w:cs="Arial"/>
          <w:sz w:val="20"/>
          <w:szCs w:val="20"/>
        </w:rPr>
        <w:t>kierunkowej w zakresie budowy elektrowni jądrowej w Polsce.</w:t>
      </w:r>
    </w:p>
    <w:p w:rsidR="00790981" w:rsidP="00A12E3B">
      <w:pPr>
        <w:tabs>
          <w:tab w:val="left" w:pos="1985"/>
        </w:tabs>
        <w:spacing w:before="240" w:after="120" w:line="240" w:lineRule="auto"/>
        <w:ind w:left="1985" w:hanging="1985"/>
        <w:rPr>
          <w:rFonts w:ascii="Arial" w:hAnsi="Arial" w:cs="Arial"/>
          <w:sz w:val="20"/>
          <w:szCs w:val="20"/>
        </w:rPr>
      </w:pPr>
      <w:r w:rsidRPr="00030DAB">
        <w:rPr>
          <w:rFonts w:ascii="Arial" w:hAnsi="Arial" w:cs="Arial"/>
          <w:sz w:val="20"/>
          <w:szCs w:val="20"/>
        </w:rPr>
        <w:t xml:space="preserve">W części A pkt </w:t>
      </w:r>
      <w:r>
        <w:rPr>
          <w:rFonts w:ascii="Arial" w:hAnsi="Arial" w:cs="Arial"/>
          <w:sz w:val="20"/>
          <w:szCs w:val="20"/>
        </w:rPr>
        <w:t xml:space="preserve">15 – </w:t>
      </w:r>
      <w:r w:rsidR="00A12E3B">
        <w:rPr>
          <w:rFonts w:ascii="Arial" w:hAnsi="Arial" w:cs="Arial"/>
          <w:sz w:val="20"/>
          <w:szCs w:val="20"/>
        </w:rPr>
        <w:tab/>
        <w:t>P</w:t>
      </w:r>
      <w:r w:rsidRPr="00030DAB">
        <w:rPr>
          <w:rFonts w:ascii="Arial" w:hAnsi="Arial" w:cs="Arial"/>
          <w:sz w:val="20"/>
          <w:szCs w:val="20"/>
        </w:rPr>
        <w:t xml:space="preserve">lanowana do osiągniecia na koniec roku 2019 wartość miernika: </w:t>
      </w:r>
      <w:r w:rsidRPr="00790981"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i/>
          <w:sz w:val="20"/>
          <w:szCs w:val="20"/>
        </w:rPr>
        <w:t>oczne wydobycie węgla brunatnego</w:t>
      </w:r>
      <w:r w:rsidRPr="00790981">
        <w:rPr>
          <w:rFonts w:ascii="Arial" w:hAnsi="Arial" w:cs="Arial"/>
          <w:sz w:val="20"/>
          <w:szCs w:val="20"/>
        </w:rPr>
        <w:t xml:space="preserve"> to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12E3B">
        <w:rPr>
          <w:rFonts w:ascii="Arial" w:hAnsi="Arial" w:cs="Arial"/>
          <w:sz w:val="20"/>
          <w:szCs w:val="20"/>
        </w:rPr>
        <w:t>≥</w:t>
      </w:r>
      <w:r w:rsidR="002547A7">
        <w:rPr>
          <w:rFonts w:ascii="Arial" w:hAnsi="Arial" w:cs="Arial"/>
          <w:sz w:val="20"/>
          <w:szCs w:val="20"/>
        </w:rPr>
        <w:t xml:space="preserve"> </w:t>
      </w:r>
      <w:r w:rsidR="00A12E3B">
        <w:rPr>
          <w:rFonts w:ascii="Arial" w:hAnsi="Arial" w:cs="Arial"/>
          <w:sz w:val="20"/>
          <w:szCs w:val="20"/>
        </w:rPr>
        <w:t>60 mln t</w:t>
      </w:r>
      <w:r w:rsidR="00AF5652">
        <w:rPr>
          <w:rFonts w:ascii="Arial" w:hAnsi="Arial" w:cs="Arial"/>
          <w:sz w:val="20"/>
          <w:szCs w:val="20"/>
        </w:rPr>
        <w:t xml:space="preserve">. </w:t>
      </w:r>
      <w:r w:rsidRPr="00AF5652" w:rsidR="00AF5652">
        <w:rPr>
          <w:rFonts w:ascii="Arial" w:hAnsi="Arial" w:cs="Arial"/>
          <w:sz w:val="20"/>
          <w:szCs w:val="20"/>
        </w:rPr>
        <w:t>Zakładana ilość wydobytego węgla brunatnego nie została osiągnięta, ale wydobycie</w:t>
      </w:r>
      <w:r w:rsidR="00AF5652">
        <w:rPr>
          <w:rFonts w:ascii="Arial" w:hAnsi="Arial" w:cs="Arial"/>
          <w:sz w:val="20"/>
          <w:szCs w:val="20"/>
        </w:rPr>
        <w:t xml:space="preserve"> na poziomie</w:t>
      </w:r>
      <w:r w:rsidRPr="00AF5652" w:rsidR="00AF5652">
        <w:rPr>
          <w:rFonts w:ascii="Arial" w:hAnsi="Arial" w:cs="Arial"/>
          <w:sz w:val="20"/>
          <w:szCs w:val="20"/>
        </w:rPr>
        <w:t xml:space="preserve"> 50,3 mln t pozwoliło pokryć krajowe zapotrzebowanie na ten surowiec.</w:t>
      </w:r>
      <w:r w:rsidR="00AF5652">
        <w:rPr>
          <w:rFonts w:ascii="Arial" w:hAnsi="Arial" w:cs="Arial"/>
          <w:sz w:val="20"/>
          <w:szCs w:val="20"/>
        </w:rPr>
        <w:t xml:space="preserve"> </w:t>
      </w:r>
      <w:r w:rsidRPr="00AF5652" w:rsidR="00AF5652">
        <w:rPr>
          <w:rFonts w:ascii="Arial" w:hAnsi="Arial" w:cs="Arial"/>
          <w:sz w:val="20"/>
          <w:szCs w:val="20"/>
        </w:rPr>
        <w:t xml:space="preserve">Nieosiągnięcie zakładanej ilości wydobycia wynika z mniejszego wydobycia spowodowanego niesprzyjającymi warunkami atmosferycznymi oraz </w:t>
      </w:r>
      <w:r w:rsidR="00AF5652">
        <w:rPr>
          <w:rFonts w:ascii="Arial" w:hAnsi="Arial" w:cs="Arial"/>
          <w:sz w:val="20"/>
          <w:szCs w:val="20"/>
        </w:rPr>
        <w:t xml:space="preserve">sczerpywaniem </w:t>
      </w:r>
      <w:r w:rsidRPr="00AF5652" w:rsidR="00AF5652">
        <w:rPr>
          <w:rFonts w:ascii="Arial" w:hAnsi="Arial" w:cs="Arial"/>
          <w:sz w:val="20"/>
          <w:szCs w:val="20"/>
        </w:rPr>
        <w:t>złóż tego surowca.</w:t>
      </w:r>
    </w:p>
    <w:p w:rsidR="00790981" w:rsidRPr="00790981" w:rsidP="00A12E3B">
      <w:pPr>
        <w:tabs>
          <w:tab w:val="left" w:pos="1985"/>
        </w:tabs>
        <w:spacing w:after="0" w:line="240" w:lineRule="auto"/>
        <w:ind w:left="1985" w:hanging="1985"/>
        <w:rPr>
          <w:rFonts w:ascii="Arial" w:hAnsi="Arial" w:cs="Arial"/>
          <w:color w:val="000000"/>
          <w:sz w:val="20"/>
          <w:szCs w:val="20"/>
        </w:rPr>
      </w:pPr>
      <w:r w:rsidRPr="00030DAB">
        <w:rPr>
          <w:rFonts w:ascii="Arial" w:hAnsi="Arial" w:cs="Arial"/>
          <w:sz w:val="20"/>
          <w:szCs w:val="20"/>
        </w:rPr>
        <w:t xml:space="preserve">W części A pkt </w:t>
      </w:r>
      <w:r>
        <w:rPr>
          <w:rFonts w:ascii="Arial" w:hAnsi="Arial" w:cs="Arial"/>
          <w:sz w:val="20"/>
          <w:szCs w:val="20"/>
        </w:rPr>
        <w:t xml:space="preserve">16 – </w:t>
      </w:r>
      <w:r w:rsidR="00A12E3B">
        <w:rPr>
          <w:rFonts w:ascii="Arial" w:hAnsi="Arial" w:cs="Arial"/>
          <w:sz w:val="20"/>
          <w:szCs w:val="20"/>
        </w:rPr>
        <w:tab/>
        <w:t>P</w:t>
      </w:r>
      <w:r w:rsidRPr="00030DAB">
        <w:rPr>
          <w:rFonts w:ascii="Arial" w:hAnsi="Arial" w:cs="Arial"/>
          <w:sz w:val="20"/>
          <w:szCs w:val="20"/>
        </w:rPr>
        <w:t xml:space="preserve">lanowana do osiągniecia na koniec roku 2019 wartość miernika: </w:t>
      </w:r>
      <w:r w:rsidRPr="00790981">
        <w:rPr>
          <w:rFonts w:ascii="Arial" w:hAnsi="Arial" w:cs="Arial"/>
          <w:i/>
          <w:sz w:val="20"/>
          <w:szCs w:val="20"/>
        </w:rPr>
        <w:t>Średni jednostkowy koszt wydobycia węgla</w:t>
      </w:r>
      <w:r>
        <w:rPr>
          <w:rFonts w:ascii="Arial" w:hAnsi="Arial" w:cs="Arial"/>
          <w:sz w:val="20"/>
          <w:szCs w:val="20"/>
        </w:rPr>
        <w:t xml:space="preserve"> to </w:t>
      </w:r>
      <w:r w:rsidRPr="00790981">
        <w:rPr>
          <w:rFonts w:ascii="Arial" w:hAnsi="Arial" w:cs="Arial"/>
          <w:sz w:val="20"/>
          <w:szCs w:val="20"/>
        </w:rPr>
        <w:t>≤ 290,00 zł/t</w:t>
      </w:r>
      <w:r>
        <w:rPr>
          <w:rFonts w:ascii="Arial" w:hAnsi="Arial" w:cs="Arial"/>
          <w:sz w:val="20"/>
          <w:szCs w:val="20"/>
        </w:rPr>
        <w:t xml:space="preserve">. </w:t>
      </w:r>
      <w:r w:rsidRPr="00790981">
        <w:rPr>
          <w:rFonts w:ascii="Arial" w:hAnsi="Arial" w:cs="Arial"/>
          <w:color w:val="000000"/>
          <w:sz w:val="20"/>
          <w:szCs w:val="20"/>
        </w:rPr>
        <w:t xml:space="preserve">Głównymi czynnikami, które wpłynęły na </w:t>
      </w:r>
      <w:r>
        <w:rPr>
          <w:rFonts w:ascii="Arial" w:hAnsi="Arial" w:cs="Arial"/>
          <w:color w:val="000000"/>
          <w:sz w:val="20"/>
          <w:szCs w:val="20"/>
        </w:rPr>
        <w:t xml:space="preserve">uzyskanie </w:t>
      </w:r>
      <w:r w:rsidRPr="00790981">
        <w:rPr>
          <w:rFonts w:ascii="Arial" w:hAnsi="Arial" w:cs="Arial"/>
          <w:color w:val="000000"/>
          <w:sz w:val="20"/>
          <w:szCs w:val="20"/>
        </w:rPr>
        <w:t xml:space="preserve">wartość miernika </w:t>
      </w:r>
      <w:r>
        <w:rPr>
          <w:rFonts w:ascii="Arial" w:hAnsi="Arial" w:cs="Arial"/>
          <w:color w:val="000000"/>
          <w:sz w:val="20"/>
          <w:szCs w:val="20"/>
        </w:rPr>
        <w:t xml:space="preserve">na poziomie </w:t>
      </w:r>
      <w:r w:rsidRPr="00790981">
        <w:rPr>
          <w:rFonts w:ascii="Arial" w:hAnsi="Arial" w:cs="Arial"/>
          <w:sz w:val="20"/>
          <w:szCs w:val="20"/>
        </w:rPr>
        <w:t>339,99 zł/t</w:t>
      </w:r>
      <w:r w:rsidRPr="00790981">
        <w:rPr>
          <w:rFonts w:ascii="Arial" w:hAnsi="Arial" w:cs="Arial"/>
          <w:color w:val="000000"/>
          <w:sz w:val="20"/>
          <w:szCs w:val="20"/>
        </w:rPr>
        <w:t xml:space="preserve"> były: </w:t>
      </w:r>
    </w:p>
    <w:p w:rsidR="00790981" w:rsidRPr="00030DAB" w:rsidP="00290BA8">
      <w:pPr>
        <w:pStyle w:val="ListParagraph"/>
        <w:numPr>
          <w:ilvl w:val="0"/>
          <w:numId w:val="13"/>
        </w:numPr>
        <w:tabs>
          <w:tab w:val="left" w:pos="1985"/>
        </w:tabs>
        <w:spacing w:after="0" w:line="240" w:lineRule="auto"/>
        <w:ind w:left="2268" w:hanging="283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30DAB">
        <w:rPr>
          <w:rFonts w:ascii="Arial" w:hAnsi="Arial" w:cs="Arial"/>
          <w:color w:val="000000"/>
          <w:sz w:val="20"/>
          <w:szCs w:val="20"/>
        </w:rPr>
        <w:t xml:space="preserve">presja płacowa; </w:t>
      </w:r>
    </w:p>
    <w:p w:rsidR="00790981" w:rsidRPr="00030DAB" w:rsidP="00290BA8">
      <w:pPr>
        <w:pStyle w:val="ListParagraph"/>
        <w:numPr>
          <w:ilvl w:val="0"/>
          <w:numId w:val="13"/>
        </w:numPr>
        <w:tabs>
          <w:tab w:val="left" w:pos="1985"/>
        </w:tabs>
        <w:spacing w:after="0" w:line="240" w:lineRule="auto"/>
        <w:ind w:left="2268" w:hanging="283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30DAB">
        <w:rPr>
          <w:rFonts w:ascii="Arial" w:hAnsi="Arial" w:cs="Arial"/>
          <w:color w:val="000000"/>
          <w:sz w:val="20"/>
          <w:szCs w:val="20"/>
        </w:rPr>
        <w:t>spadek wydajności;</w:t>
      </w:r>
    </w:p>
    <w:p w:rsidR="00790981" w:rsidRPr="00030DAB" w:rsidP="00290BA8">
      <w:pPr>
        <w:pStyle w:val="ListParagraph"/>
        <w:numPr>
          <w:ilvl w:val="0"/>
          <w:numId w:val="13"/>
        </w:numPr>
        <w:tabs>
          <w:tab w:val="left" w:pos="1985"/>
        </w:tabs>
        <w:spacing w:after="0" w:line="240" w:lineRule="auto"/>
        <w:ind w:left="2268" w:hanging="283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30DAB">
        <w:rPr>
          <w:rFonts w:ascii="Arial" w:hAnsi="Arial" w:cs="Arial"/>
          <w:color w:val="000000"/>
          <w:sz w:val="20"/>
          <w:szCs w:val="20"/>
        </w:rPr>
        <w:t>pogorszenie warunków geologiczno-górniczych;</w:t>
      </w:r>
    </w:p>
    <w:p w:rsidR="00790981" w:rsidP="00290BA8">
      <w:pPr>
        <w:pStyle w:val="ListParagraph"/>
        <w:numPr>
          <w:ilvl w:val="0"/>
          <w:numId w:val="13"/>
        </w:numPr>
        <w:tabs>
          <w:tab w:val="left" w:pos="1985"/>
        </w:tabs>
        <w:spacing w:after="0" w:line="240" w:lineRule="auto"/>
        <w:ind w:left="2268" w:hanging="283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30DAB">
        <w:rPr>
          <w:rFonts w:ascii="Arial" w:hAnsi="Arial" w:cs="Arial"/>
          <w:color w:val="000000"/>
          <w:sz w:val="20"/>
          <w:szCs w:val="20"/>
        </w:rPr>
        <w:t>dynamiczny wzrost kosztów, m.in. kosz</w:t>
      </w:r>
      <w:r w:rsidR="009B0C5A">
        <w:rPr>
          <w:rFonts w:ascii="Arial" w:hAnsi="Arial" w:cs="Arial"/>
          <w:color w:val="000000"/>
          <w:sz w:val="20"/>
          <w:szCs w:val="20"/>
        </w:rPr>
        <w:t xml:space="preserve">tów energii, zużycia materiałów </w:t>
      </w:r>
      <w:r w:rsidR="009B0C5A">
        <w:rPr>
          <w:rFonts w:ascii="Helv" w:hAnsi="Helv" w:cs="Helv"/>
          <w:color w:val="000000"/>
          <w:sz w:val="20"/>
          <w:szCs w:val="20"/>
        </w:rPr>
        <w:t>związanych z coraz głębszą eksploatacją węgla w tym pojawieniem się zagrożeń naturalnych o większym natężeniu niż dotychczas;</w:t>
      </w:r>
    </w:p>
    <w:p w:rsidR="00030DAB" w:rsidRPr="00A12E3B" w:rsidP="00290BA8">
      <w:pPr>
        <w:pStyle w:val="ListParagraph"/>
        <w:numPr>
          <w:ilvl w:val="0"/>
          <w:numId w:val="13"/>
        </w:numPr>
        <w:tabs>
          <w:tab w:val="left" w:pos="1985"/>
        </w:tabs>
        <w:spacing w:after="120" w:line="240" w:lineRule="auto"/>
        <w:ind w:left="2268" w:hanging="283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790981">
        <w:rPr>
          <w:rFonts w:ascii="Arial" w:hAnsi="Arial" w:cs="Arial"/>
          <w:color w:val="000000"/>
          <w:sz w:val="20"/>
          <w:szCs w:val="20"/>
        </w:rPr>
        <w:t>odpisy z tytułu utraty wartości.</w:t>
      </w:r>
    </w:p>
    <w:p w:rsidR="00771CE0" w:rsidRPr="00A12E3B" w:rsidP="00A12E3B">
      <w:pPr>
        <w:tabs>
          <w:tab w:val="left" w:pos="1985"/>
        </w:tabs>
        <w:spacing w:before="240" w:after="120" w:line="240" w:lineRule="auto"/>
        <w:ind w:left="1985" w:hanging="1985"/>
        <w:rPr>
          <w:rFonts w:ascii="Arial" w:hAnsi="Arial" w:cs="Arial"/>
          <w:color w:val="000000"/>
          <w:sz w:val="20"/>
          <w:szCs w:val="20"/>
        </w:rPr>
      </w:pPr>
      <w:r w:rsidRPr="00030DAB">
        <w:rPr>
          <w:rFonts w:ascii="Arial" w:hAnsi="Arial" w:cs="Arial"/>
          <w:sz w:val="20"/>
          <w:szCs w:val="20"/>
        </w:rPr>
        <w:t>W części A pkt 20</w:t>
      </w:r>
      <w:r w:rsidRPr="00030DAB">
        <w:rPr>
          <w:rFonts w:ascii="Arial" w:hAnsi="Arial" w:cs="Arial"/>
          <w:b/>
          <w:sz w:val="20"/>
          <w:szCs w:val="20"/>
        </w:rPr>
        <w:t xml:space="preserve"> </w:t>
      </w:r>
      <w:r w:rsidRPr="00030DAB">
        <w:rPr>
          <w:rFonts w:ascii="Arial" w:hAnsi="Arial" w:cs="Arial"/>
          <w:sz w:val="20"/>
          <w:szCs w:val="20"/>
        </w:rPr>
        <w:t xml:space="preserve">– </w:t>
      </w:r>
      <w:r w:rsidR="00A12E3B">
        <w:rPr>
          <w:rFonts w:ascii="Arial" w:hAnsi="Arial" w:cs="Arial"/>
          <w:sz w:val="20"/>
          <w:szCs w:val="20"/>
        </w:rPr>
        <w:tab/>
      </w:r>
      <w:r w:rsidRPr="00030DAB">
        <w:rPr>
          <w:rFonts w:ascii="Arial" w:hAnsi="Arial" w:cs="Arial"/>
          <w:i/>
          <w:sz w:val="20"/>
          <w:szCs w:val="20"/>
        </w:rPr>
        <w:t xml:space="preserve">Opracowanie założeń nowego modelu rynku ciepła – </w:t>
      </w:r>
      <w:r w:rsidRPr="00030DAB">
        <w:rPr>
          <w:rFonts w:ascii="Arial" w:hAnsi="Arial" w:cs="Arial"/>
          <w:color w:val="000000"/>
          <w:sz w:val="20"/>
          <w:szCs w:val="20"/>
        </w:rPr>
        <w:t xml:space="preserve">Opracowano diagnozę funkcjonowania rynku ciepła w Polsce oraz wstępną koncepcję transformacji ciepłownictwa. Aktualnie trwają prace nad raportem nt. strategii rozwoju ciepłownictwa, który posłuży do </w:t>
      </w:r>
      <w:r w:rsidRPr="00030DAB">
        <w:rPr>
          <w:rFonts w:ascii="Arial" w:hAnsi="Arial" w:cs="Arial"/>
          <w:iCs/>
          <w:sz w:val="20"/>
          <w:szCs w:val="20"/>
        </w:rPr>
        <w:t>opracowania propozycji zmian w przepisach bądź ich kierunków, umożliwiających realizację wyznaczonych celów.</w:t>
      </w:r>
    </w:p>
    <w:p w:rsidR="00771CE0" w:rsidRPr="00A12E3B" w:rsidP="00A12E3B">
      <w:pPr>
        <w:tabs>
          <w:tab w:val="left" w:pos="1985"/>
        </w:tabs>
        <w:spacing w:before="240" w:after="120" w:line="240" w:lineRule="auto"/>
        <w:ind w:left="1985" w:hanging="1985"/>
        <w:rPr>
          <w:rFonts w:ascii="Arial" w:hAnsi="Arial" w:cs="Arial"/>
          <w:color w:val="000000"/>
          <w:sz w:val="20"/>
          <w:szCs w:val="20"/>
        </w:rPr>
      </w:pPr>
      <w:r w:rsidRPr="00030DAB">
        <w:rPr>
          <w:rFonts w:ascii="Arial" w:hAnsi="Arial" w:cs="Arial"/>
          <w:sz w:val="20"/>
          <w:szCs w:val="20"/>
        </w:rPr>
        <w:t>W części A pkt 26</w:t>
      </w:r>
      <w:r w:rsidRPr="00030DAB">
        <w:rPr>
          <w:rFonts w:ascii="Arial" w:hAnsi="Arial" w:cs="Arial"/>
          <w:b/>
          <w:sz w:val="20"/>
          <w:szCs w:val="20"/>
        </w:rPr>
        <w:t xml:space="preserve"> </w:t>
      </w:r>
      <w:r w:rsidRPr="00030DAB">
        <w:rPr>
          <w:rFonts w:ascii="Arial" w:hAnsi="Arial" w:cs="Arial"/>
          <w:sz w:val="20"/>
          <w:szCs w:val="20"/>
        </w:rPr>
        <w:t xml:space="preserve">– </w:t>
      </w:r>
      <w:r w:rsidR="00A12E3B">
        <w:rPr>
          <w:rFonts w:ascii="Arial" w:hAnsi="Arial" w:cs="Arial"/>
          <w:sz w:val="20"/>
          <w:szCs w:val="20"/>
        </w:rPr>
        <w:tab/>
        <w:t>P</w:t>
      </w:r>
      <w:r w:rsidRPr="00030DAB">
        <w:rPr>
          <w:rFonts w:ascii="Arial" w:hAnsi="Arial" w:cs="Arial"/>
          <w:sz w:val="20"/>
          <w:szCs w:val="20"/>
        </w:rPr>
        <w:t xml:space="preserve">lanowana do osiągniecia na koniec roku 2019 wartość miernika: </w:t>
      </w:r>
      <w:r w:rsidRPr="00030DAB">
        <w:rPr>
          <w:rFonts w:ascii="Arial" w:hAnsi="Arial" w:cs="Arial"/>
          <w:i/>
          <w:sz w:val="20"/>
          <w:szCs w:val="20"/>
        </w:rPr>
        <w:t>Wzrost liczby stacji gazu ziemnego</w:t>
      </w:r>
      <w:r w:rsidRPr="00030DAB">
        <w:rPr>
          <w:rFonts w:ascii="Arial" w:hAnsi="Arial" w:cs="Arial"/>
          <w:sz w:val="20"/>
          <w:szCs w:val="20"/>
        </w:rPr>
        <w:t xml:space="preserve"> to ≥ 37. Nie osiągnięto założonej wartości miernika</w:t>
      </w:r>
      <w:r w:rsidR="00A12E3B">
        <w:rPr>
          <w:rFonts w:ascii="Arial" w:hAnsi="Arial" w:cs="Arial"/>
          <w:color w:val="000000"/>
          <w:sz w:val="20"/>
          <w:szCs w:val="20"/>
        </w:rPr>
        <w:t xml:space="preserve"> z </w:t>
      </w:r>
      <w:r w:rsidRPr="00030DAB">
        <w:rPr>
          <w:rFonts w:ascii="Arial" w:hAnsi="Arial" w:cs="Arial"/>
          <w:color w:val="000000"/>
          <w:sz w:val="20"/>
          <w:szCs w:val="20"/>
        </w:rPr>
        <w:t>uwagi na mniejsze niż zakładano zainteresowanie technologią spowodowane wydłużającymi się procedurami administracyjnymi dotyczącymi budowy stacji tankowania, dużymi kosztami inwestycyjnymi oraz zbyt małą liczbą poja</w:t>
      </w:r>
      <w:r w:rsidR="00A12E3B">
        <w:rPr>
          <w:rFonts w:ascii="Arial" w:hAnsi="Arial" w:cs="Arial"/>
          <w:color w:val="000000"/>
          <w:sz w:val="20"/>
          <w:szCs w:val="20"/>
        </w:rPr>
        <w:t>zdów napędzanych gazem ziemnym.</w:t>
      </w:r>
    </w:p>
    <w:p w:rsidR="003B6556" w:rsidRPr="00030DAB" w:rsidP="00A12E3B">
      <w:pPr>
        <w:tabs>
          <w:tab w:val="left" w:pos="1985"/>
        </w:tabs>
        <w:spacing w:before="240" w:after="120" w:line="240" w:lineRule="auto"/>
        <w:ind w:left="1985" w:hanging="1985"/>
        <w:rPr>
          <w:rFonts w:ascii="Arial" w:hAnsi="Arial" w:cs="Arial"/>
          <w:sz w:val="20"/>
          <w:szCs w:val="20"/>
        </w:rPr>
      </w:pPr>
      <w:r w:rsidRPr="00030DAB">
        <w:rPr>
          <w:rFonts w:ascii="Arial" w:hAnsi="Arial" w:cs="Arial"/>
          <w:sz w:val="20"/>
          <w:szCs w:val="20"/>
        </w:rPr>
        <w:t>W części</w:t>
      </w:r>
      <w:r w:rsidRPr="00030DAB">
        <w:rPr>
          <w:rFonts w:ascii="Arial" w:hAnsi="Arial" w:cs="Arial"/>
          <w:sz w:val="20"/>
          <w:szCs w:val="20"/>
        </w:rPr>
        <w:t xml:space="preserve"> C pkt 2</w:t>
      </w:r>
      <w:r w:rsidRPr="00030DAB">
        <w:rPr>
          <w:rFonts w:ascii="Arial" w:hAnsi="Arial" w:cs="Arial"/>
          <w:b/>
          <w:sz w:val="20"/>
          <w:szCs w:val="20"/>
        </w:rPr>
        <w:t xml:space="preserve"> </w:t>
      </w:r>
      <w:r w:rsidRPr="00030DAB">
        <w:rPr>
          <w:rFonts w:ascii="Arial" w:hAnsi="Arial" w:cs="Arial"/>
          <w:sz w:val="20"/>
          <w:szCs w:val="20"/>
        </w:rPr>
        <w:t xml:space="preserve">– </w:t>
      </w:r>
      <w:r w:rsidR="00A12E3B">
        <w:rPr>
          <w:rFonts w:ascii="Arial" w:hAnsi="Arial" w:cs="Arial"/>
          <w:sz w:val="20"/>
          <w:szCs w:val="20"/>
        </w:rPr>
        <w:tab/>
        <w:t>P</w:t>
      </w:r>
      <w:r w:rsidRPr="00030DAB">
        <w:rPr>
          <w:rFonts w:ascii="Arial" w:hAnsi="Arial" w:cs="Arial"/>
          <w:sz w:val="20"/>
          <w:szCs w:val="20"/>
        </w:rPr>
        <w:t xml:space="preserve">lanowana do osiągniecia na koniec roku 2019 wartość miernika: </w:t>
      </w:r>
      <w:r w:rsidRPr="00030DAB">
        <w:rPr>
          <w:rFonts w:ascii="Arial" w:hAnsi="Arial" w:cs="Arial"/>
          <w:i/>
          <w:sz w:val="20"/>
          <w:szCs w:val="20"/>
        </w:rPr>
        <w:t xml:space="preserve">Średnia rentowność sprzedaży przedsiębiorstw (kopalń soli) </w:t>
      </w:r>
      <w:r w:rsidRPr="00030DAB">
        <w:rPr>
          <w:rFonts w:ascii="Arial" w:hAnsi="Arial" w:cs="Arial"/>
          <w:sz w:val="20"/>
          <w:szCs w:val="20"/>
        </w:rPr>
        <w:t>to</w:t>
      </w:r>
      <w:r w:rsidRPr="00030DAB">
        <w:rPr>
          <w:rFonts w:ascii="Arial" w:hAnsi="Arial" w:cs="Arial"/>
          <w:b/>
          <w:sz w:val="20"/>
          <w:szCs w:val="20"/>
        </w:rPr>
        <w:t xml:space="preserve"> </w:t>
      </w:r>
      <w:r w:rsidRPr="00030DAB">
        <w:rPr>
          <w:rFonts w:ascii="Arial" w:hAnsi="Arial" w:cs="Arial"/>
          <w:sz w:val="20"/>
          <w:szCs w:val="20"/>
        </w:rPr>
        <w:t>≥ 14,6%</w:t>
      </w:r>
      <w:r w:rsidRPr="00030DAB">
        <w:rPr>
          <w:rFonts w:ascii="Arial" w:hAnsi="Arial" w:cs="Arial"/>
          <w:sz w:val="20"/>
          <w:szCs w:val="20"/>
        </w:rPr>
        <w:t>.</w:t>
      </w:r>
      <w:r w:rsidRPr="00030DAB">
        <w:rPr>
          <w:rFonts w:ascii="Arial" w:hAnsi="Arial" w:cs="Arial"/>
          <w:b/>
          <w:sz w:val="20"/>
          <w:szCs w:val="20"/>
        </w:rPr>
        <w:t xml:space="preserve"> </w:t>
      </w:r>
      <w:r w:rsidRPr="00030DAB">
        <w:rPr>
          <w:rFonts w:ascii="Arial" w:hAnsi="Arial" w:cs="Arial"/>
          <w:sz w:val="20"/>
          <w:szCs w:val="20"/>
        </w:rPr>
        <w:t>Z uwagi na blokadę środków budżetowych dla K</w:t>
      </w:r>
      <w:r w:rsidRPr="00030DAB">
        <w:rPr>
          <w:rFonts w:ascii="Arial" w:hAnsi="Arial" w:cs="Arial"/>
          <w:sz w:val="20"/>
          <w:szCs w:val="20"/>
        </w:rPr>
        <w:t xml:space="preserve">opalni Soli </w:t>
      </w:r>
      <w:r w:rsidRPr="00030DAB">
        <w:rPr>
          <w:rFonts w:ascii="Arial" w:hAnsi="Arial" w:cs="Arial"/>
          <w:sz w:val="20"/>
          <w:szCs w:val="20"/>
        </w:rPr>
        <w:t>Wieliczka w wysokości 30 mln zł (dotacja jest elementem wyniku finansowego) w 2019 roku nie wykonano wszystkich zaplanowanych prac oraz nie osiągnięto założonej wartości miernika.</w:t>
      </w:r>
    </w:p>
    <w:p w:rsidR="003B6556" w:rsidP="00030DAB">
      <w:pPr>
        <w:spacing w:before="120" w:after="120" w:line="240" w:lineRule="auto"/>
        <w:jc w:val="left"/>
        <w:rPr>
          <w:rFonts w:ascii="Arial" w:hAnsi="Arial" w:cs="Arial"/>
          <w:iCs/>
          <w:color w:val="000000"/>
          <w:sz w:val="20"/>
          <w:szCs w:val="20"/>
        </w:rPr>
      </w:pPr>
    </w:p>
    <w:p w:rsidR="00103529" w:rsidP="00030DAB">
      <w:pPr>
        <w:spacing w:before="120" w:after="120" w:line="240" w:lineRule="auto"/>
        <w:jc w:val="left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322" w:type="dxa"/>
        <w:tblInd w:w="6563" w:type="dxa"/>
        <w:tblLook w:val="04A0"/>
      </w:tblPr>
      <w:tblGrid>
        <w:gridCol w:w="3369"/>
        <w:gridCol w:w="5953"/>
      </w:tblGrid>
      <w:tr w:rsidTr="004375CF">
        <w:tblPrEx>
          <w:tblW w:w="9322" w:type="dxa"/>
          <w:tblInd w:w="6563" w:type="dxa"/>
          <w:tblLook w:val="04A0"/>
        </w:tblPrEx>
        <w:trPr>
          <w:trHeight w:val="351"/>
        </w:trPr>
        <w:tc>
          <w:tcPr>
            <w:tcW w:w="3369" w:type="dxa"/>
            <w:vMerge w:val="restart"/>
          </w:tcPr>
          <w:p w:rsidR="004375CF" w:rsidRPr="00D91016" w:rsidP="002D7BE5">
            <w:pPr>
              <w:pStyle w:val="trescpisma"/>
              <w:tabs>
                <w:tab w:val="center" w:pos="6237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5953" w:type="dxa"/>
          </w:tcPr>
          <w:p w:rsidR="004375CF" w:rsidRPr="00D91016" w:rsidP="002D7BE5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b/>
                <w:szCs w:val="20"/>
              </w:rPr>
            </w:pPr>
          </w:p>
        </w:tc>
      </w:tr>
      <w:tr w:rsidTr="004375CF">
        <w:tblPrEx>
          <w:tblW w:w="9322" w:type="dxa"/>
          <w:tblInd w:w="6563" w:type="dxa"/>
          <w:tblLook w:val="04A0"/>
        </w:tblPrEx>
        <w:trPr>
          <w:trHeight w:val="351"/>
        </w:trPr>
        <w:tc>
          <w:tcPr>
            <w:tcW w:w="3369" w:type="dxa"/>
            <w:vMerge/>
          </w:tcPr>
          <w:p w:rsidR="004375CF" w:rsidRPr="00D91016" w:rsidP="002D7BE5">
            <w:pPr>
              <w:pStyle w:val="trescpisma"/>
              <w:tabs>
                <w:tab w:val="center" w:pos="6237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5953" w:type="dxa"/>
          </w:tcPr>
          <w:p w:rsidR="004375CF" w:rsidRPr="0098343F" w:rsidP="002D7BE5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cs="Arial"/>
                <w:b/>
                <w:szCs w:val="20"/>
              </w:rPr>
            </w:pPr>
            <w:bookmarkStart w:id="1" w:name="ezdPracownikNazwa"/>
            <w:r w:rsidRPr="0098343F">
              <w:rPr>
                <w:rFonts w:cs="Arial"/>
                <w:b/>
                <w:szCs w:val="20"/>
              </w:rPr>
              <w:t>Jacek Sasin</w:t>
            </w:r>
            <w:bookmarkEnd w:id="1"/>
          </w:p>
        </w:tc>
      </w:tr>
      <w:tr w:rsidTr="004375CF">
        <w:tblPrEx>
          <w:tblW w:w="9322" w:type="dxa"/>
          <w:tblInd w:w="6563" w:type="dxa"/>
          <w:tblLook w:val="04A0"/>
        </w:tblPrEx>
        <w:trPr>
          <w:trHeight w:val="351"/>
        </w:trPr>
        <w:tc>
          <w:tcPr>
            <w:tcW w:w="0" w:type="auto"/>
            <w:vMerge/>
            <w:vAlign w:val="center"/>
            <w:hideMark/>
          </w:tcPr>
          <w:p w:rsidR="004375CF" w:rsidRPr="00D91016" w:rsidP="002D7BE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953" w:type="dxa"/>
          </w:tcPr>
          <w:p w:rsidR="004375CF" w:rsidRPr="0098343F" w:rsidP="002D7BE5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cs="Arial"/>
                <w:szCs w:val="20"/>
              </w:rPr>
            </w:pPr>
            <w:bookmarkStart w:id="2" w:name="ezdPracownikStanowisko"/>
            <w:r w:rsidRPr="0098343F">
              <w:rPr>
                <w:rFonts w:cs="Arial"/>
                <w:szCs w:val="20"/>
              </w:rPr>
              <w:t>wicepremier</w:t>
            </w:r>
            <w:bookmarkEnd w:id="2"/>
          </w:p>
        </w:tc>
      </w:tr>
      <w:tr w:rsidTr="004375CF">
        <w:tblPrEx>
          <w:tblW w:w="9322" w:type="dxa"/>
          <w:tblInd w:w="6563" w:type="dxa"/>
          <w:tblLook w:val="04A0"/>
        </w:tblPrEx>
        <w:trPr>
          <w:trHeight w:val="351"/>
        </w:trPr>
        <w:tc>
          <w:tcPr>
            <w:tcW w:w="0" w:type="auto"/>
            <w:vMerge/>
            <w:vAlign w:val="center"/>
            <w:hideMark/>
          </w:tcPr>
          <w:p w:rsidR="004375CF" w:rsidRPr="00D91016" w:rsidP="002D7BE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953" w:type="dxa"/>
          </w:tcPr>
          <w:p w:rsidR="004375CF" w:rsidRPr="0098343F" w:rsidP="002D7BE5">
            <w:pPr>
              <w:pStyle w:val="trescpisma"/>
              <w:tabs>
                <w:tab w:val="center" w:pos="6237"/>
              </w:tabs>
              <w:spacing w:before="60" w:line="276" w:lineRule="auto"/>
              <w:jc w:val="center"/>
              <w:rPr>
                <w:rFonts w:cs="Arial"/>
                <w:i/>
                <w:szCs w:val="20"/>
              </w:rPr>
            </w:pPr>
            <w:bookmarkStart w:id="3" w:name="ezdPracownikWydzialAtrybut1"/>
            <w:r w:rsidRPr="0098343F">
              <w:rPr>
                <w:rFonts w:cs="Arial"/>
                <w:i/>
                <w:szCs w:val="20"/>
              </w:rPr>
              <w:t>dokument podpisany elektronicznie</w:t>
            </w:r>
            <w:bookmarkEnd w:id="3"/>
          </w:p>
        </w:tc>
      </w:tr>
      <w:tr w:rsidTr="004375CF">
        <w:tblPrEx>
          <w:tblW w:w="9322" w:type="dxa"/>
          <w:tblInd w:w="6563" w:type="dxa"/>
          <w:tblLook w:val="04A0"/>
        </w:tblPrEx>
        <w:trPr>
          <w:trHeight w:val="351"/>
        </w:trPr>
        <w:tc>
          <w:tcPr>
            <w:tcW w:w="0" w:type="auto"/>
            <w:vMerge/>
            <w:vAlign w:val="center"/>
            <w:hideMark/>
          </w:tcPr>
          <w:p w:rsidR="004375CF" w:rsidRPr="00D91016" w:rsidP="002D7BE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953" w:type="dxa"/>
          </w:tcPr>
          <w:p w:rsidR="004375CF" w:rsidRPr="0098343F" w:rsidP="002D7BE5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cs="Arial"/>
                <w:szCs w:val="20"/>
              </w:rPr>
            </w:pPr>
            <w:bookmarkStart w:id="4" w:name="ezdIdentyfikatorDokumentuPDF"/>
            <w:bookmarkEnd w:id="4"/>
          </w:p>
        </w:tc>
      </w:tr>
    </w:tbl>
    <w:p w:rsidR="004375CF" w:rsidRPr="00030DAB" w:rsidP="00030DAB">
      <w:pPr>
        <w:spacing w:before="120" w:after="120" w:line="240" w:lineRule="auto"/>
        <w:jc w:val="left"/>
        <w:rPr>
          <w:rFonts w:ascii="Arial" w:hAnsi="Arial" w:cs="Arial"/>
          <w:i/>
          <w:iCs/>
          <w:color w:val="000000"/>
          <w:sz w:val="20"/>
          <w:szCs w:val="20"/>
        </w:rPr>
      </w:pPr>
      <w:bookmarkStart w:id="5" w:name="ezdDataPodpisu"/>
      <w:r w:rsidRPr="00030DAB">
        <w:rPr>
          <w:rFonts w:ascii="Arial" w:hAnsi="Arial" w:cs="Arial"/>
          <w:i/>
          <w:iCs/>
          <w:color w:val="000000"/>
          <w:sz w:val="20"/>
          <w:szCs w:val="20"/>
        </w:rPr>
        <w:t>06 kwietnia 2020</w:t>
      </w:r>
      <w:bookmarkEnd w:id="5"/>
    </w:p>
    <w:p w:rsidR="00103529" w:rsidRPr="00030DAB" w:rsidP="004375CF">
      <w:pPr>
        <w:tabs>
          <w:tab w:val="left" w:pos="11766"/>
        </w:tabs>
        <w:spacing w:before="120" w:after="120" w:line="240" w:lineRule="auto"/>
        <w:jc w:val="left"/>
        <w:rPr>
          <w:rFonts w:ascii="Arial" w:hAnsi="Arial" w:cs="Arial"/>
          <w:i/>
          <w:sz w:val="20"/>
          <w:szCs w:val="20"/>
        </w:rPr>
      </w:pPr>
      <w:r w:rsidRPr="00030DAB">
        <w:rPr>
          <w:rFonts w:ascii="Arial" w:hAnsi="Arial" w:cs="Arial"/>
          <w:i/>
          <w:sz w:val="20"/>
          <w:szCs w:val="20"/>
        </w:rPr>
        <w:t xml:space="preserve">………………………………. </w:t>
      </w:r>
      <w:r w:rsidRPr="00030DAB" w:rsidR="00D242B9">
        <w:rPr>
          <w:rFonts w:ascii="Arial" w:hAnsi="Arial" w:cs="Arial"/>
          <w:i/>
          <w:sz w:val="20"/>
          <w:szCs w:val="20"/>
        </w:rPr>
        <w:tab/>
      </w:r>
      <w:r w:rsidRPr="00030DAB">
        <w:rPr>
          <w:rFonts w:ascii="Arial" w:hAnsi="Arial" w:cs="Arial"/>
          <w:i/>
          <w:sz w:val="20"/>
          <w:szCs w:val="20"/>
        </w:rPr>
        <w:t>……………………………….</w:t>
      </w:r>
    </w:p>
    <w:p w:rsidR="00103529" w:rsidRPr="00A12E3B" w:rsidP="004375CF">
      <w:pPr>
        <w:tabs>
          <w:tab w:val="left" w:pos="11766"/>
        </w:tabs>
        <w:spacing w:before="120" w:after="120" w:line="240" w:lineRule="auto"/>
        <w:jc w:val="left"/>
        <w:rPr>
          <w:rFonts w:ascii="Arial" w:hAnsi="Arial" w:cs="Arial"/>
          <w:i/>
          <w:sz w:val="20"/>
          <w:szCs w:val="20"/>
        </w:rPr>
      </w:pPr>
      <w:r w:rsidRPr="00030DAB">
        <w:rPr>
          <w:rFonts w:ascii="Arial" w:hAnsi="Arial" w:cs="Arial"/>
          <w:i/>
          <w:sz w:val="20"/>
          <w:szCs w:val="20"/>
        </w:rPr>
        <w:t>(data)</w:t>
      </w:r>
      <w:r w:rsidRPr="00030DAB">
        <w:rPr>
          <w:rFonts w:ascii="Arial" w:hAnsi="Arial" w:cs="Arial"/>
          <w:i/>
          <w:sz w:val="20"/>
          <w:szCs w:val="20"/>
        </w:rPr>
        <w:tab/>
        <w:t>(podpis ministra)</w:t>
      </w:r>
    </w:p>
    <w:sectPr w:rsidSect="008477D5">
      <w:pgSz w:w="16838" w:h="11906" w:orient="landscape" w:code="9"/>
      <w:pgMar w:top="568" w:right="536" w:bottom="1276" w:left="426" w:header="57" w:footer="55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545C0" w:rsidP="003E1493">
      <w:pPr>
        <w:spacing w:after="0" w:line="240" w:lineRule="auto"/>
      </w:pPr>
      <w:r>
        <w:separator/>
      </w:r>
    </w:p>
  </w:footnote>
  <w:footnote w:type="continuationSeparator" w:id="1">
    <w:p w:rsidR="00A545C0" w:rsidP="003E1493">
      <w:pPr>
        <w:spacing w:after="0" w:line="240" w:lineRule="auto"/>
      </w:pPr>
      <w:r>
        <w:continuationSeparator/>
      </w:r>
    </w:p>
  </w:footnote>
  <w:footnote w:id="2">
    <w:p w:rsidR="007B0DD0" w:rsidRPr="007E7EC9" w:rsidP="007E7EC9">
      <w:pPr>
        <w:pStyle w:val="FootnoteText"/>
        <w:rPr>
          <w:rFonts w:ascii="Arial" w:hAnsi="Arial" w:cs="Arial"/>
          <w:sz w:val="18"/>
          <w:szCs w:val="18"/>
        </w:rPr>
      </w:pPr>
      <w:r w:rsidRPr="007E7EC9">
        <w:rPr>
          <w:rStyle w:val="FootnoteReference"/>
          <w:rFonts w:ascii="Arial" w:hAnsi="Arial" w:cs="Arial"/>
          <w:sz w:val="18"/>
          <w:szCs w:val="18"/>
        </w:rPr>
        <w:footnoteRef/>
      </w:r>
      <w:r w:rsidRPr="007E7E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Na podstawie badań statystycznych prowadzonych przez ministra właściwego ds. energii</w:t>
      </w:r>
      <w:r w:rsidRPr="007E7EC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d</w:t>
      </w:r>
      <w:r w:rsidRPr="007E7EC9">
        <w:rPr>
          <w:rFonts w:ascii="Arial" w:hAnsi="Arial" w:cs="Arial"/>
          <w:i/>
          <w:sz w:val="18"/>
          <w:szCs w:val="18"/>
        </w:rPr>
        <w:t>ane roczne za</w:t>
      </w:r>
      <w:r>
        <w:rPr>
          <w:rFonts w:ascii="Arial" w:hAnsi="Arial" w:cs="Arial"/>
          <w:i/>
          <w:sz w:val="18"/>
          <w:szCs w:val="18"/>
        </w:rPr>
        <w:t xml:space="preserve"> 2019 rok </w:t>
      </w:r>
      <w:r w:rsidRPr="007E7EC9">
        <w:rPr>
          <w:rFonts w:ascii="Arial" w:hAnsi="Arial" w:cs="Arial"/>
          <w:i/>
          <w:sz w:val="18"/>
          <w:szCs w:val="18"/>
        </w:rPr>
        <w:t>dostępne</w:t>
      </w:r>
      <w:r>
        <w:rPr>
          <w:rFonts w:ascii="Arial" w:hAnsi="Arial" w:cs="Arial"/>
          <w:i/>
          <w:sz w:val="18"/>
          <w:szCs w:val="18"/>
        </w:rPr>
        <w:t xml:space="preserve"> będą w czerwcu 2020 roku.</w:t>
      </w:r>
    </w:p>
  </w:footnote>
  <w:footnote w:id="3">
    <w:p w:rsidR="007B0DD0" w:rsidRPr="007E7EC9" w:rsidP="008873D9">
      <w:pPr>
        <w:pStyle w:val="FootnoteText"/>
        <w:rPr>
          <w:rFonts w:ascii="Arial" w:hAnsi="Arial" w:cs="Arial"/>
          <w:sz w:val="18"/>
          <w:szCs w:val="18"/>
        </w:rPr>
      </w:pPr>
      <w:r w:rsidRPr="007E7EC9">
        <w:rPr>
          <w:rStyle w:val="FootnoteReference"/>
          <w:rFonts w:ascii="Arial" w:hAnsi="Arial" w:cs="Arial"/>
          <w:sz w:val="18"/>
          <w:szCs w:val="18"/>
        </w:rPr>
        <w:footnoteRef/>
      </w:r>
      <w:r w:rsidRPr="007E7E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Na podstawie badań statystycznych prowadzonych przez ministra właściwego ds. energii</w:t>
      </w:r>
      <w:r w:rsidRPr="007E7EC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d</w:t>
      </w:r>
      <w:r w:rsidRPr="007E7EC9">
        <w:rPr>
          <w:rFonts w:ascii="Arial" w:hAnsi="Arial" w:cs="Arial"/>
          <w:i/>
          <w:sz w:val="18"/>
          <w:szCs w:val="18"/>
        </w:rPr>
        <w:t>ane roczne za</w:t>
      </w:r>
      <w:r>
        <w:rPr>
          <w:rFonts w:ascii="Arial" w:hAnsi="Arial" w:cs="Arial"/>
          <w:i/>
          <w:sz w:val="18"/>
          <w:szCs w:val="18"/>
        </w:rPr>
        <w:t xml:space="preserve"> 2019 rok </w:t>
      </w:r>
      <w:r w:rsidRPr="007E7EC9">
        <w:rPr>
          <w:rFonts w:ascii="Arial" w:hAnsi="Arial" w:cs="Arial"/>
          <w:i/>
          <w:sz w:val="18"/>
          <w:szCs w:val="18"/>
        </w:rPr>
        <w:t>dostępne</w:t>
      </w:r>
      <w:r>
        <w:rPr>
          <w:rFonts w:ascii="Arial" w:hAnsi="Arial" w:cs="Arial"/>
          <w:i/>
          <w:sz w:val="18"/>
          <w:szCs w:val="18"/>
        </w:rPr>
        <w:t xml:space="preserve"> będą w czerwcu 2020 roku.</w:t>
      </w:r>
    </w:p>
  </w:footnote>
  <w:footnote w:id="4">
    <w:p w:rsidR="007B0DD0" w:rsidRPr="007E7EC9">
      <w:pPr>
        <w:pStyle w:val="FootnoteText"/>
        <w:rPr>
          <w:rFonts w:ascii="Arial" w:hAnsi="Arial" w:cs="Arial"/>
          <w:sz w:val="18"/>
          <w:szCs w:val="18"/>
        </w:rPr>
      </w:pPr>
      <w:r w:rsidRPr="007E7EC9">
        <w:rPr>
          <w:rStyle w:val="FootnoteReference"/>
          <w:rFonts w:ascii="Arial" w:hAnsi="Arial" w:cs="Arial"/>
          <w:sz w:val="18"/>
          <w:szCs w:val="18"/>
        </w:rPr>
        <w:footnoteRef/>
      </w:r>
      <w:r w:rsidRPr="007E7EC9">
        <w:rPr>
          <w:rFonts w:ascii="Arial" w:hAnsi="Arial" w:cs="Arial"/>
          <w:sz w:val="18"/>
          <w:szCs w:val="18"/>
        </w:rPr>
        <w:t xml:space="preserve"> Wyjaśnienia najważniejszych przyczyn, które wpłynęły na wystąpienie różnic w planowanej i osiągniętej wartości miernika zawarto w </w:t>
      </w:r>
      <w:r w:rsidRPr="007E7EC9">
        <w:rPr>
          <w:rFonts w:ascii="Arial" w:hAnsi="Arial" w:cs="Arial"/>
          <w:i/>
          <w:sz w:val="18"/>
          <w:szCs w:val="18"/>
        </w:rPr>
        <w:t>Części D</w:t>
      </w:r>
      <w:r w:rsidRPr="007E7EC9">
        <w:rPr>
          <w:rFonts w:ascii="Arial" w:hAnsi="Arial" w:cs="Arial"/>
          <w:sz w:val="18"/>
          <w:szCs w:val="18"/>
        </w:rPr>
        <w:t>.</w:t>
      </w:r>
    </w:p>
  </w:footnote>
  <w:footnote w:id="5">
    <w:p w:rsidR="007B0DD0" w:rsidRPr="007E7EC9">
      <w:pPr>
        <w:pStyle w:val="FootnoteText"/>
        <w:rPr>
          <w:rFonts w:ascii="Arial" w:hAnsi="Arial" w:cs="Arial"/>
          <w:sz w:val="18"/>
          <w:szCs w:val="18"/>
        </w:rPr>
      </w:pPr>
      <w:r w:rsidRPr="007E7EC9">
        <w:rPr>
          <w:rStyle w:val="FootnoteReference"/>
          <w:rFonts w:ascii="Arial" w:hAnsi="Arial" w:cs="Arial"/>
          <w:sz w:val="18"/>
          <w:szCs w:val="18"/>
        </w:rPr>
        <w:footnoteRef/>
      </w:r>
      <w:r w:rsidRPr="007E7EC9">
        <w:rPr>
          <w:rFonts w:ascii="Arial" w:hAnsi="Arial" w:cs="Arial"/>
          <w:sz w:val="18"/>
          <w:szCs w:val="18"/>
        </w:rPr>
        <w:t xml:space="preserve"> Wyjaśnienia najważniejszych przyczyn, które wpłynęły na wystąpienie różnic w planowanej i osiągniętej wartości miernika zawarto w </w:t>
      </w:r>
      <w:r w:rsidRPr="007E7EC9">
        <w:rPr>
          <w:rFonts w:ascii="Arial" w:hAnsi="Arial" w:cs="Arial"/>
          <w:i/>
          <w:sz w:val="18"/>
          <w:szCs w:val="18"/>
        </w:rPr>
        <w:t>Części D</w:t>
      </w:r>
      <w:r w:rsidRPr="007E7EC9">
        <w:rPr>
          <w:rFonts w:ascii="Arial" w:hAnsi="Arial" w:cs="Arial"/>
          <w:sz w:val="18"/>
          <w:szCs w:val="18"/>
        </w:rPr>
        <w:t>.</w:t>
      </w:r>
    </w:p>
  </w:footnote>
  <w:footnote w:id="6">
    <w:p w:rsidR="007B0DD0" w:rsidRPr="005F7063">
      <w:pPr>
        <w:pStyle w:val="FootnoteText"/>
        <w:rPr>
          <w:rFonts w:ascii="Arial" w:hAnsi="Arial" w:cs="Arial"/>
          <w:sz w:val="18"/>
          <w:szCs w:val="18"/>
        </w:rPr>
      </w:pPr>
      <w:r w:rsidRPr="005F7063">
        <w:rPr>
          <w:rStyle w:val="FootnoteReference"/>
          <w:rFonts w:ascii="Arial" w:hAnsi="Arial" w:cs="Arial"/>
          <w:sz w:val="18"/>
          <w:szCs w:val="18"/>
        </w:rPr>
        <w:footnoteRef/>
      </w:r>
      <w:r w:rsidRPr="005F7063">
        <w:rPr>
          <w:rFonts w:ascii="Arial" w:hAnsi="Arial" w:cs="Arial"/>
          <w:sz w:val="18"/>
          <w:szCs w:val="18"/>
        </w:rPr>
        <w:t xml:space="preserve"> Wyjaśnienia najważniejszych przyczyn, które wpłynęły na wystąpienie różnic w planowanej i osiągniętej wartości miernika zawarto w </w:t>
      </w:r>
      <w:r w:rsidRPr="005F7063">
        <w:rPr>
          <w:rFonts w:ascii="Arial" w:hAnsi="Arial" w:cs="Arial"/>
          <w:i/>
          <w:sz w:val="18"/>
          <w:szCs w:val="18"/>
        </w:rPr>
        <w:t>Części D</w:t>
      </w:r>
      <w:r w:rsidRPr="005F7063">
        <w:rPr>
          <w:rFonts w:ascii="Arial" w:hAnsi="Arial" w:cs="Arial"/>
          <w:sz w:val="18"/>
          <w:szCs w:val="18"/>
        </w:rPr>
        <w:t>.</w:t>
      </w:r>
    </w:p>
  </w:footnote>
  <w:footnote w:id="7">
    <w:p w:rsidR="00C50077" w:rsidRPr="001A2737" w:rsidP="003E1493">
      <w:pPr>
        <w:pStyle w:val="FootnoteText"/>
        <w:rPr>
          <w:sz w:val="14"/>
          <w:szCs w:val="14"/>
        </w:rPr>
      </w:pPr>
      <w:r w:rsidRPr="005F7063">
        <w:rPr>
          <w:rStyle w:val="FootnoteReference"/>
          <w:rFonts w:ascii="Arial" w:hAnsi="Arial" w:cs="Arial"/>
          <w:sz w:val="18"/>
          <w:szCs w:val="18"/>
        </w:rPr>
        <w:footnoteRef/>
      </w:r>
      <w:r w:rsidRPr="005F70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Pr="005F7063">
        <w:rPr>
          <w:rFonts w:ascii="Arial" w:eastAsia="Calibri" w:hAnsi="Arial" w:cs="Arial"/>
          <w:sz w:val="18"/>
          <w:szCs w:val="18"/>
          <w:lang w:eastAsia="en-US"/>
        </w:rPr>
        <w:t>artość planowana odnosi się jedynie do liczby wydanych świadectw efektywności energetycznej</w:t>
      </w:r>
      <w:r>
        <w:rPr>
          <w:rFonts w:ascii="Arial" w:eastAsia="Calibri" w:hAnsi="Arial" w:cs="Arial"/>
          <w:sz w:val="18"/>
          <w:szCs w:val="18"/>
          <w:lang w:eastAsia="en-US"/>
        </w:rPr>
        <w:t>.</w:t>
      </w:r>
    </w:p>
  </w:footnote>
  <w:footnote w:id="8">
    <w:p w:rsidR="00C500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2078">
        <w:rPr>
          <w:rFonts w:ascii="Arial" w:hAnsi="Arial" w:cs="Arial"/>
          <w:sz w:val="18"/>
          <w:szCs w:val="18"/>
        </w:rPr>
        <w:t>Wyjaśnienia najważniejsz</w:t>
      </w:r>
      <w:r>
        <w:rPr>
          <w:rFonts w:ascii="Arial" w:hAnsi="Arial" w:cs="Arial"/>
          <w:sz w:val="18"/>
          <w:szCs w:val="18"/>
        </w:rPr>
        <w:t>ych</w:t>
      </w:r>
      <w:r w:rsidRPr="000C2078">
        <w:rPr>
          <w:rFonts w:ascii="Arial" w:hAnsi="Arial" w:cs="Arial"/>
          <w:sz w:val="18"/>
          <w:szCs w:val="18"/>
        </w:rPr>
        <w:t xml:space="preserve"> przyczyn, które wpłynęły na wystąpienie różnic w planowan</w:t>
      </w:r>
      <w:r>
        <w:rPr>
          <w:rFonts w:ascii="Arial" w:hAnsi="Arial" w:cs="Arial"/>
          <w:sz w:val="18"/>
          <w:szCs w:val="18"/>
        </w:rPr>
        <w:t>ej</w:t>
      </w:r>
      <w:r w:rsidRPr="000C2078">
        <w:rPr>
          <w:rFonts w:ascii="Arial" w:hAnsi="Arial" w:cs="Arial"/>
          <w:sz w:val="18"/>
          <w:szCs w:val="18"/>
        </w:rPr>
        <w:t xml:space="preserve"> i osiągnięt</w:t>
      </w:r>
      <w:r>
        <w:rPr>
          <w:rFonts w:ascii="Arial" w:hAnsi="Arial" w:cs="Arial"/>
          <w:sz w:val="18"/>
          <w:szCs w:val="18"/>
        </w:rPr>
        <w:t>ej wartości miernika</w:t>
      </w:r>
      <w:r w:rsidRPr="000C20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zawarto </w:t>
      </w:r>
      <w:r w:rsidRPr="000C2078">
        <w:rPr>
          <w:rFonts w:ascii="Arial" w:hAnsi="Arial" w:cs="Arial"/>
          <w:sz w:val="18"/>
          <w:szCs w:val="18"/>
        </w:rPr>
        <w:t xml:space="preserve">w </w:t>
      </w:r>
      <w:r w:rsidRPr="000C2078">
        <w:rPr>
          <w:rFonts w:ascii="Arial" w:hAnsi="Arial" w:cs="Arial"/>
          <w:i/>
          <w:sz w:val="18"/>
          <w:szCs w:val="18"/>
        </w:rPr>
        <w:t>Części D</w:t>
      </w:r>
      <w:r>
        <w:rPr>
          <w:rFonts w:ascii="Arial" w:hAnsi="Arial" w:cs="Arial"/>
          <w:sz w:val="18"/>
          <w:szCs w:val="18"/>
        </w:rPr>
        <w:t>.</w:t>
      </w:r>
    </w:p>
  </w:footnote>
  <w:footnote w:id="9">
    <w:p w:rsidR="00C500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2078">
        <w:rPr>
          <w:rFonts w:ascii="Arial" w:hAnsi="Arial" w:cs="Arial"/>
          <w:sz w:val="18"/>
          <w:szCs w:val="18"/>
        </w:rPr>
        <w:t>Wyjaśnienia najważniejsz</w:t>
      </w:r>
      <w:r>
        <w:rPr>
          <w:rFonts w:ascii="Arial" w:hAnsi="Arial" w:cs="Arial"/>
          <w:sz w:val="18"/>
          <w:szCs w:val="18"/>
        </w:rPr>
        <w:t>ych</w:t>
      </w:r>
      <w:r w:rsidRPr="000C2078">
        <w:rPr>
          <w:rFonts w:ascii="Arial" w:hAnsi="Arial" w:cs="Arial"/>
          <w:sz w:val="18"/>
          <w:szCs w:val="18"/>
        </w:rPr>
        <w:t xml:space="preserve"> przyczyn, które wpłynęły na wystąpienie różnic w planowan</w:t>
      </w:r>
      <w:r>
        <w:rPr>
          <w:rFonts w:ascii="Arial" w:hAnsi="Arial" w:cs="Arial"/>
          <w:sz w:val="18"/>
          <w:szCs w:val="18"/>
        </w:rPr>
        <w:t>ej</w:t>
      </w:r>
      <w:r w:rsidRPr="000C2078">
        <w:rPr>
          <w:rFonts w:ascii="Arial" w:hAnsi="Arial" w:cs="Arial"/>
          <w:sz w:val="18"/>
          <w:szCs w:val="18"/>
        </w:rPr>
        <w:t xml:space="preserve"> i osiągnięt</w:t>
      </w:r>
      <w:r>
        <w:rPr>
          <w:rFonts w:ascii="Arial" w:hAnsi="Arial" w:cs="Arial"/>
          <w:sz w:val="18"/>
          <w:szCs w:val="18"/>
        </w:rPr>
        <w:t>ej wartości miernika</w:t>
      </w:r>
      <w:r w:rsidRPr="000C20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zawarto </w:t>
      </w:r>
      <w:r w:rsidRPr="000C2078">
        <w:rPr>
          <w:rFonts w:ascii="Arial" w:hAnsi="Arial" w:cs="Arial"/>
          <w:sz w:val="18"/>
          <w:szCs w:val="18"/>
        </w:rPr>
        <w:t xml:space="preserve">w </w:t>
      </w:r>
      <w:r w:rsidRPr="000C2078">
        <w:rPr>
          <w:rFonts w:ascii="Arial" w:hAnsi="Arial" w:cs="Arial"/>
          <w:i/>
          <w:sz w:val="18"/>
          <w:szCs w:val="18"/>
        </w:rPr>
        <w:t>Części D</w:t>
      </w:r>
      <w:r>
        <w:rPr>
          <w:rFonts w:ascii="Arial" w:hAnsi="Arial" w:cs="Arial"/>
          <w:sz w:val="18"/>
          <w:szCs w:val="18"/>
        </w:rPr>
        <w:t>.</w:t>
      </w:r>
    </w:p>
  </w:footnote>
  <w:footnote w:id="10">
    <w:p w:rsidR="00C500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2078">
        <w:rPr>
          <w:rFonts w:ascii="Arial" w:hAnsi="Arial" w:cs="Arial"/>
          <w:sz w:val="18"/>
          <w:szCs w:val="18"/>
        </w:rPr>
        <w:t>Wyjaśnienia najważniejsz</w:t>
      </w:r>
      <w:r>
        <w:rPr>
          <w:rFonts w:ascii="Arial" w:hAnsi="Arial" w:cs="Arial"/>
          <w:sz w:val="18"/>
          <w:szCs w:val="18"/>
        </w:rPr>
        <w:t>ych</w:t>
      </w:r>
      <w:r w:rsidRPr="000C2078">
        <w:rPr>
          <w:rFonts w:ascii="Arial" w:hAnsi="Arial" w:cs="Arial"/>
          <w:sz w:val="18"/>
          <w:szCs w:val="18"/>
        </w:rPr>
        <w:t xml:space="preserve"> przyczyn, które wpłynęły na wystąpienie różnic w planowan</w:t>
      </w:r>
      <w:r>
        <w:rPr>
          <w:rFonts w:ascii="Arial" w:hAnsi="Arial" w:cs="Arial"/>
          <w:sz w:val="18"/>
          <w:szCs w:val="18"/>
        </w:rPr>
        <w:t>ej</w:t>
      </w:r>
      <w:r w:rsidRPr="000C2078">
        <w:rPr>
          <w:rFonts w:ascii="Arial" w:hAnsi="Arial" w:cs="Arial"/>
          <w:sz w:val="18"/>
          <w:szCs w:val="18"/>
        </w:rPr>
        <w:t xml:space="preserve"> i osiągnięt</w:t>
      </w:r>
      <w:r>
        <w:rPr>
          <w:rFonts w:ascii="Arial" w:hAnsi="Arial" w:cs="Arial"/>
          <w:sz w:val="18"/>
          <w:szCs w:val="18"/>
        </w:rPr>
        <w:t>ej wartości miernika</w:t>
      </w:r>
      <w:r w:rsidRPr="000C20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zawarto </w:t>
      </w:r>
      <w:r w:rsidRPr="000C2078">
        <w:rPr>
          <w:rFonts w:ascii="Arial" w:hAnsi="Arial" w:cs="Arial"/>
          <w:sz w:val="18"/>
          <w:szCs w:val="18"/>
        </w:rPr>
        <w:t xml:space="preserve">w </w:t>
      </w:r>
      <w:r w:rsidRPr="000C2078">
        <w:rPr>
          <w:rFonts w:ascii="Arial" w:hAnsi="Arial" w:cs="Arial"/>
          <w:i/>
          <w:sz w:val="18"/>
          <w:szCs w:val="18"/>
        </w:rPr>
        <w:t>Części D</w:t>
      </w:r>
      <w:r>
        <w:rPr>
          <w:rFonts w:ascii="Arial" w:hAnsi="Arial" w:cs="Arial"/>
          <w:sz w:val="18"/>
          <w:szCs w:val="18"/>
        </w:rPr>
        <w:t>.</w:t>
      </w:r>
    </w:p>
  </w:footnote>
  <w:footnote w:id="11">
    <w:p w:rsidR="00C50077" w:rsidP="0066204A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66204A">
        <w:rPr>
          <w:rFonts w:ascii="Arial" w:hAnsi="Arial" w:cs="Arial"/>
          <w:sz w:val="18"/>
          <w:szCs w:val="18"/>
        </w:rPr>
        <w:t xml:space="preserve">nformacja dotycząca udziału energii ze źródeł odnawialnych w krajowym zużyciu energii brutto jest przygotowywana przez Główny Urząd Statystyczny na podstawie danych statystycznych i będzie dostępna </w:t>
      </w:r>
      <w:r>
        <w:rPr>
          <w:rFonts w:ascii="Arial" w:hAnsi="Arial" w:cs="Arial"/>
          <w:sz w:val="18"/>
          <w:szCs w:val="18"/>
        </w:rPr>
        <w:t>w styczniu 2021 r.</w:t>
      </w:r>
    </w:p>
  </w:footnote>
  <w:footnote w:id="12">
    <w:p w:rsidR="00C500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2078">
        <w:rPr>
          <w:rFonts w:ascii="Arial" w:hAnsi="Arial" w:cs="Arial"/>
          <w:sz w:val="18"/>
          <w:szCs w:val="18"/>
        </w:rPr>
        <w:t>Wyjaśnienia najważniejsz</w:t>
      </w:r>
      <w:r>
        <w:rPr>
          <w:rFonts w:ascii="Arial" w:hAnsi="Arial" w:cs="Arial"/>
          <w:sz w:val="18"/>
          <w:szCs w:val="18"/>
        </w:rPr>
        <w:t>ych</w:t>
      </w:r>
      <w:r w:rsidRPr="000C2078">
        <w:rPr>
          <w:rFonts w:ascii="Arial" w:hAnsi="Arial" w:cs="Arial"/>
          <w:sz w:val="18"/>
          <w:szCs w:val="18"/>
        </w:rPr>
        <w:t xml:space="preserve"> przyczyn, które wpłynęły na wystąpienie różnic w planowan</w:t>
      </w:r>
      <w:r>
        <w:rPr>
          <w:rFonts w:ascii="Arial" w:hAnsi="Arial" w:cs="Arial"/>
          <w:sz w:val="18"/>
          <w:szCs w:val="18"/>
        </w:rPr>
        <w:t>ej</w:t>
      </w:r>
      <w:r w:rsidRPr="000C2078">
        <w:rPr>
          <w:rFonts w:ascii="Arial" w:hAnsi="Arial" w:cs="Arial"/>
          <w:sz w:val="18"/>
          <w:szCs w:val="18"/>
        </w:rPr>
        <w:t xml:space="preserve"> i osiągnięt</w:t>
      </w:r>
      <w:r>
        <w:rPr>
          <w:rFonts w:ascii="Arial" w:hAnsi="Arial" w:cs="Arial"/>
          <w:sz w:val="18"/>
          <w:szCs w:val="18"/>
        </w:rPr>
        <w:t>ej wartości miernika</w:t>
      </w:r>
      <w:r w:rsidRPr="000C20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zawarto </w:t>
      </w:r>
      <w:r w:rsidRPr="000C2078">
        <w:rPr>
          <w:rFonts w:ascii="Arial" w:hAnsi="Arial" w:cs="Arial"/>
          <w:sz w:val="18"/>
          <w:szCs w:val="18"/>
        </w:rPr>
        <w:t xml:space="preserve">w </w:t>
      </w:r>
      <w:r w:rsidRPr="000C2078">
        <w:rPr>
          <w:rFonts w:ascii="Arial" w:hAnsi="Arial" w:cs="Arial"/>
          <w:i/>
          <w:sz w:val="18"/>
          <w:szCs w:val="18"/>
        </w:rPr>
        <w:t>Części D</w:t>
      </w:r>
      <w:r>
        <w:rPr>
          <w:rFonts w:ascii="Arial" w:hAnsi="Arial" w:cs="Arial"/>
          <w:sz w:val="18"/>
          <w:szCs w:val="18"/>
        </w:rPr>
        <w:t>.</w:t>
      </w:r>
    </w:p>
  </w:footnote>
  <w:footnote w:id="13">
    <w:p w:rsidR="007B0DD0" w:rsidRPr="000C2078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0C2078">
        <w:rPr>
          <w:rFonts w:ascii="Arial" w:hAnsi="Arial" w:cs="Arial"/>
          <w:sz w:val="18"/>
          <w:szCs w:val="18"/>
        </w:rPr>
        <w:t>Wyjaśnienia najważniejsz</w:t>
      </w:r>
      <w:r>
        <w:rPr>
          <w:rFonts w:ascii="Arial" w:hAnsi="Arial" w:cs="Arial"/>
          <w:sz w:val="18"/>
          <w:szCs w:val="18"/>
        </w:rPr>
        <w:t>ych</w:t>
      </w:r>
      <w:r w:rsidRPr="000C2078">
        <w:rPr>
          <w:rFonts w:ascii="Arial" w:hAnsi="Arial" w:cs="Arial"/>
          <w:sz w:val="18"/>
          <w:szCs w:val="18"/>
        </w:rPr>
        <w:t xml:space="preserve"> przyczyn, które wpłynęły na wystąpienie różnic w planowan</w:t>
      </w:r>
      <w:r>
        <w:rPr>
          <w:rFonts w:ascii="Arial" w:hAnsi="Arial" w:cs="Arial"/>
          <w:sz w:val="18"/>
          <w:szCs w:val="18"/>
        </w:rPr>
        <w:t>ej</w:t>
      </w:r>
      <w:r w:rsidRPr="000C2078">
        <w:rPr>
          <w:rFonts w:ascii="Arial" w:hAnsi="Arial" w:cs="Arial"/>
          <w:sz w:val="18"/>
          <w:szCs w:val="18"/>
        </w:rPr>
        <w:t xml:space="preserve"> i osiągnięt</w:t>
      </w:r>
      <w:r>
        <w:rPr>
          <w:rFonts w:ascii="Arial" w:hAnsi="Arial" w:cs="Arial"/>
          <w:sz w:val="18"/>
          <w:szCs w:val="18"/>
        </w:rPr>
        <w:t>ej wartości miernika</w:t>
      </w:r>
      <w:r w:rsidRPr="000C20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zawarto </w:t>
      </w:r>
      <w:r w:rsidRPr="000C2078">
        <w:rPr>
          <w:rFonts w:ascii="Arial" w:hAnsi="Arial" w:cs="Arial"/>
          <w:sz w:val="18"/>
          <w:szCs w:val="18"/>
        </w:rPr>
        <w:t xml:space="preserve">w </w:t>
      </w:r>
      <w:r w:rsidRPr="000C2078">
        <w:rPr>
          <w:rFonts w:ascii="Arial" w:hAnsi="Arial" w:cs="Arial"/>
          <w:i/>
          <w:sz w:val="18"/>
          <w:szCs w:val="18"/>
        </w:rPr>
        <w:t>Części D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D49D1"/>
    <w:multiLevelType w:val="hybridMultilevel"/>
    <w:tmpl w:val="038A2F5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5FEC"/>
    <w:multiLevelType w:val="hybridMultilevel"/>
    <w:tmpl w:val="86A00C06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E279C"/>
    <w:multiLevelType w:val="hybridMultilevel"/>
    <w:tmpl w:val="76D8C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3328D"/>
    <w:multiLevelType w:val="hybridMultilevel"/>
    <w:tmpl w:val="0B18F4B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6027A"/>
    <w:multiLevelType w:val="hybridMultilevel"/>
    <w:tmpl w:val="86A00C0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F0D12"/>
    <w:multiLevelType w:val="hybridMultilevel"/>
    <w:tmpl w:val="C380A8C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B563FB"/>
    <w:multiLevelType w:val="hybridMultilevel"/>
    <w:tmpl w:val="C272222C"/>
    <w:lvl w:ilvl="0">
      <w:start w:val="1"/>
      <w:numFmt w:val="decimal"/>
      <w:lvlText w:val="%1)"/>
      <w:lvlJc w:val="left"/>
      <w:pPr>
        <w:ind w:left="2760" w:hanging="360"/>
      </w:pPr>
    </w:lvl>
    <w:lvl w:ilvl="1" w:tentative="1">
      <w:start w:val="1"/>
      <w:numFmt w:val="lowerLetter"/>
      <w:lvlText w:val="%2."/>
      <w:lvlJc w:val="left"/>
      <w:pPr>
        <w:ind w:left="3480" w:hanging="360"/>
      </w:pPr>
    </w:lvl>
    <w:lvl w:ilvl="2" w:tentative="1">
      <w:start w:val="1"/>
      <w:numFmt w:val="lowerRoman"/>
      <w:lvlText w:val="%3."/>
      <w:lvlJc w:val="right"/>
      <w:pPr>
        <w:ind w:left="4200" w:hanging="180"/>
      </w:pPr>
    </w:lvl>
    <w:lvl w:ilvl="3" w:tentative="1">
      <w:start w:val="1"/>
      <w:numFmt w:val="decimal"/>
      <w:lvlText w:val="%4."/>
      <w:lvlJc w:val="left"/>
      <w:pPr>
        <w:ind w:left="4920" w:hanging="360"/>
      </w:pPr>
    </w:lvl>
    <w:lvl w:ilvl="4" w:tentative="1">
      <w:start w:val="1"/>
      <w:numFmt w:val="lowerLetter"/>
      <w:lvlText w:val="%5."/>
      <w:lvlJc w:val="left"/>
      <w:pPr>
        <w:ind w:left="5640" w:hanging="360"/>
      </w:pPr>
    </w:lvl>
    <w:lvl w:ilvl="5" w:tentative="1">
      <w:start w:val="1"/>
      <w:numFmt w:val="lowerRoman"/>
      <w:lvlText w:val="%6."/>
      <w:lvlJc w:val="right"/>
      <w:pPr>
        <w:ind w:left="6360" w:hanging="180"/>
      </w:pPr>
    </w:lvl>
    <w:lvl w:ilvl="6" w:tentative="1">
      <w:start w:val="1"/>
      <w:numFmt w:val="decimal"/>
      <w:lvlText w:val="%7."/>
      <w:lvlJc w:val="left"/>
      <w:pPr>
        <w:ind w:left="7080" w:hanging="360"/>
      </w:pPr>
    </w:lvl>
    <w:lvl w:ilvl="7" w:tentative="1">
      <w:start w:val="1"/>
      <w:numFmt w:val="lowerLetter"/>
      <w:lvlText w:val="%8."/>
      <w:lvlJc w:val="left"/>
      <w:pPr>
        <w:ind w:left="7800" w:hanging="360"/>
      </w:pPr>
    </w:lvl>
    <w:lvl w:ilvl="8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7">
    <w:nsid w:val="22AC633E"/>
    <w:multiLevelType w:val="hybridMultilevel"/>
    <w:tmpl w:val="3AFE8E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941B9"/>
    <w:multiLevelType w:val="hybridMultilevel"/>
    <w:tmpl w:val="F954B2B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87191"/>
    <w:multiLevelType w:val="hybridMultilevel"/>
    <w:tmpl w:val="86A00C0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4560F"/>
    <w:multiLevelType w:val="hybridMultilevel"/>
    <w:tmpl w:val="038A2F5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91BD7"/>
    <w:multiLevelType w:val="hybridMultilevel"/>
    <w:tmpl w:val="FB80E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114A7"/>
    <w:multiLevelType w:val="hybridMultilevel"/>
    <w:tmpl w:val="038A2F5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82F52"/>
    <w:multiLevelType w:val="hybridMultilevel"/>
    <w:tmpl w:val="476AF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12A6C"/>
    <w:multiLevelType w:val="hybridMultilevel"/>
    <w:tmpl w:val="7C44B7F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E08EA"/>
    <w:multiLevelType w:val="hybridMultilevel"/>
    <w:tmpl w:val="C0ECCFE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D6F1F"/>
    <w:multiLevelType w:val="hybridMultilevel"/>
    <w:tmpl w:val="9B42A5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D2084"/>
    <w:multiLevelType w:val="hybridMultilevel"/>
    <w:tmpl w:val="038A2F5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E7C32"/>
    <w:multiLevelType w:val="hybridMultilevel"/>
    <w:tmpl w:val="038A2F5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D3BF2"/>
    <w:multiLevelType w:val="hybridMultilevel"/>
    <w:tmpl w:val="CA4436FA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64B953AE"/>
    <w:multiLevelType w:val="hybridMultilevel"/>
    <w:tmpl w:val="E5548D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8D3719"/>
    <w:multiLevelType w:val="hybridMultilevel"/>
    <w:tmpl w:val="038A2F5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E01A4"/>
    <w:multiLevelType w:val="hybridMultilevel"/>
    <w:tmpl w:val="49BE6F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66B20"/>
    <w:multiLevelType w:val="hybridMultilevel"/>
    <w:tmpl w:val="14CC142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64047B"/>
    <w:multiLevelType w:val="hybridMultilevel"/>
    <w:tmpl w:val="0CA69B6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E6605"/>
    <w:multiLevelType w:val="hybridMultilevel"/>
    <w:tmpl w:val="56E4C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3766C"/>
    <w:multiLevelType w:val="hybridMultilevel"/>
    <w:tmpl w:val="C87CB4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06C1D"/>
    <w:multiLevelType w:val="hybridMultilevel"/>
    <w:tmpl w:val="86A00C0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80016"/>
    <w:multiLevelType w:val="hybridMultilevel"/>
    <w:tmpl w:val="038A2F5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F6887"/>
    <w:multiLevelType w:val="hybridMultilevel"/>
    <w:tmpl w:val="86A00C0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51B42"/>
    <w:multiLevelType w:val="hybridMultilevel"/>
    <w:tmpl w:val="DE2AB4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23"/>
  </w:num>
  <w:num w:numId="5">
    <w:abstractNumId w:val="5"/>
  </w:num>
  <w:num w:numId="6">
    <w:abstractNumId w:val="14"/>
  </w:num>
  <w:num w:numId="7">
    <w:abstractNumId w:val="16"/>
  </w:num>
  <w:num w:numId="8">
    <w:abstractNumId w:val="22"/>
  </w:num>
  <w:num w:numId="9">
    <w:abstractNumId w:val="11"/>
  </w:num>
  <w:num w:numId="10">
    <w:abstractNumId w:val="2"/>
  </w:num>
  <w:num w:numId="11">
    <w:abstractNumId w:val="7"/>
  </w:num>
  <w:num w:numId="12">
    <w:abstractNumId w:val="13"/>
  </w:num>
  <w:num w:numId="13">
    <w:abstractNumId w:val="6"/>
  </w:num>
  <w:num w:numId="14">
    <w:abstractNumId w:val="25"/>
  </w:num>
  <w:num w:numId="15">
    <w:abstractNumId w:val="3"/>
  </w:num>
  <w:num w:numId="16">
    <w:abstractNumId w:val="4"/>
  </w:num>
  <w:num w:numId="17">
    <w:abstractNumId w:val="20"/>
  </w:num>
  <w:num w:numId="18">
    <w:abstractNumId w:val="29"/>
  </w:num>
  <w:num w:numId="19">
    <w:abstractNumId w:val="1"/>
  </w:num>
  <w:num w:numId="20">
    <w:abstractNumId w:val="9"/>
  </w:num>
  <w:num w:numId="21">
    <w:abstractNumId w:val="27"/>
  </w:num>
  <w:num w:numId="22">
    <w:abstractNumId w:val="21"/>
  </w:num>
  <w:num w:numId="23">
    <w:abstractNumId w:val="0"/>
  </w:num>
  <w:num w:numId="24">
    <w:abstractNumId w:val="18"/>
  </w:num>
  <w:num w:numId="25">
    <w:abstractNumId w:val="24"/>
  </w:num>
  <w:num w:numId="26">
    <w:abstractNumId w:val="17"/>
  </w:num>
  <w:num w:numId="27">
    <w:abstractNumId w:val="10"/>
  </w:num>
  <w:num w:numId="28">
    <w:abstractNumId w:val="28"/>
  </w:num>
  <w:num w:numId="29">
    <w:abstractNumId w:val="12"/>
  </w:num>
  <w:num w:numId="30">
    <w:abstractNumId w:val="1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62B1"/>
    <w:pPr>
      <w:spacing w:after="200" w:line="276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Nagwek1Znak"/>
    <w:uiPriority w:val="9"/>
    <w:qFormat/>
    <w:rsid w:val="004662B1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uiPriority w:val="9"/>
    <w:rsid w:val="004662B1"/>
    <w:rPr>
      <w:rFonts w:ascii="Times New Roman" w:hAnsi="Times New Roman" w:eastAsiaTheme="majorEastAsia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7F4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A6F"/>
    <w:pPr>
      <w:ind w:left="720"/>
      <w:contextualSpacing/>
    </w:pPr>
  </w:style>
  <w:style w:type="paragraph" w:customStyle="1" w:styleId="trescpisma">
    <w:name w:val="tresc.pisma"/>
    <w:basedOn w:val="Normal"/>
    <w:link w:val="trescpismaZnak"/>
    <w:autoRedefine/>
    <w:qFormat/>
    <w:rsid w:val="000C1F7A"/>
    <w:pPr>
      <w:spacing w:after="0" w:line="240" w:lineRule="auto"/>
      <w:jc w:val="left"/>
    </w:pPr>
    <w:rPr>
      <w:sz w:val="22"/>
      <w:szCs w:val="22"/>
    </w:rPr>
  </w:style>
  <w:style w:type="character" w:customStyle="1" w:styleId="trescpismaZnak">
    <w:name w:val="tresc.pisma Znak"/>
    <w:link w:val="trescpisma"/>
    <w:rsid w:val="000C1F7A"/>
    <w:rPr>
      <w:rFonts w:ascii="Times New Roman" w:hAnsi="Times New Roman" w:cs="Times New Roman"/>
      <w:lang w:eastAsia="pl-PL"/>
    </w:rPr>
  </w:style>
  <w:style w:type="paragraph" w:customStyle="1" w:styleId="ZnakZnak4">
    <w:name w:val="Znak Znak4"/>
    <w:basedOn w:val="Normal"/>
    <w:rsid w:val="003E1493"/>
    <w:pPr>
      <w:spacing w:after="0" w:line="360" w:lineRule="auto"/>
    </w:pPr>
    <w:rPr>
      <w:rFonts w:ascii="Verdana" w:eastAsia="Times New Roman" w:hAnsi="Verdana"/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rsid w:val="003E1493"/>
    <w:pPr>
      <w:spacing w:after="0" w:line="240" w:lineRule="auto"/>
      <w:jc w:val="left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rsid w:val="003E1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semiHidden/>
    <w:rsid w:val="003E149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1367D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5136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51367D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51367D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51367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51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51367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D1A80-BAF3-44E6-80B7-AE2FF8A4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3694</Words>
  <Characters>22169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Bielasińska</dc:creator>
  <cp:lastModifiedBy>Agnieszka Bielasińska</cp:lastModifiedBy>
  <cp:revision>12</cp:revision>
  <dcterms:created xsi:type="dcterms:W3CDTF">2020-03-20T15:15:00Z</dcterms:created>
  <dcterms:modified xsi:type="dcterms:W3CDTF">2020-04-02T06:42:00Z</dcterms:modified>
</cp:coreProperties>
</file>