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57AE" w:rsidRPr="009E57AE" w:rsidRDefault="009E57AE" w:rsidP="009E57AE">
      <w:pPr>
        <w:spacing w:line="254" w:lineRule="auto"/>
        <w:jc w:val="right"/>
        <w:rPr>
          <w:rFonts w:ascii="Calibri" w:hAnsi="Calibri" w:cs="Calibri"/>
          <w:b/>
          <w:bCs/>
          <w:i w:val="0"/>
          <w:sz w:val="20"/>
        </w:rPr>
      </w:pPr>
      <w:bookmarkStart w:id="0" w:name="_GoBack"/>
      <w:bookmarkEnd w:id="0"/>
      <w:r w:rsidRPr="009E57AE">
        <w:rPr>
          <w:rFonts w:ascii="Calibri" w:hAnsi="Calibri"/>
          <w:b/>
          <w:bCs/>
          <w:i w:val="0"/>
          <w:sz w:val="20"/>
        </w:rPr>
        <w:t xml:space="preserve">Załącznik nr </w:t>
      </w:r>
      <w:r w:rsidRPr="009E57AE">
        <w:rPr>
          <w:b/>
          <w:bCs/>
          <w:i w:val="0"/>
          <w:sz w:val="20"/>
        </w:rPr>
        <w:t>1</w:t>
      </w:r>
      <w:r>
        <w:rPr>
          <w:b/>
          <w:bCs/>
          <w:i w:val="0"/>
          <w:sz w:val="20"/>
        </w:rPr>
        <w:t>5</w:t>
      </w:r>
    </w:p>
    <w:p w:rsidR="009E57AE" w:rsidRPr="009E57AE" w:rsidRDefault="009E57AE" w:rsidP="009E57AE">
      <w:pPr>
        <w:jc w:val="right"/>
        <w:rPr>
          <w:rFonts w:ascii="Calibri" w:hAnsi="Calibri" w:cs="Calibri"/>
          <w:i w:val="0"/>
          <w:sz w:val="20"/>
        </w:rPr>
      </w:pPr>
      <w:r w:rsidRPr="009E57AE">
        <w:rPr>
          <w:rFonts w:ascii="Calibri" w:hAnsi="Calibri"/>
          <w:i w:val="0"/>
          <w:sz w:val="20"/>
        </w:rPr>
        <w:t>do Protokołu z 21 posiedzenia Polsko-Ukraińskiej Komisji do Spraw Wód Granicznych</w:t>
      </w:r>
    </w:p>
    <w:p w:rsidR="009E57AE" w:rsidRPr="009E57AE" w:rsidRDefault="009E57AE" w:rsidP="009E57AE">
      <w:pPr>
        <w:tabs>
          <w:tab w:val="left" w:pos="284"/>
        </w:tabs>
        <w:spacing w:after="240"/>
        <w:ind w:firstLine="567"/>
        <w:jc w:val="right"/>
        <w:rPr>
          <w:b/>
          <w:bCs/>
          <w:i w:val="0"/>
          <w:sz w:val="28"/>
          <w:szCs w:val="28"/>
        </w:rPr>
      </w:pPr>
      <w:r w:rsidRPr="009E57AE">
        <w:rPr>
          <w:rFonts w:ascii="Calibri" w:eastAsia="Calibri" w:hAnsi="Calibri"/>
          <w:bCs/>
          <w:i w:val="0"/>
          <w:sz w:val="20"/>
        </w:rPr>
        <w:t>online, 26- 27 października 2023 r.</w:t>
      </w:r>
    </w:p>
    <w:p w:rsidR="001F1564" w:rsidRPr="00DB0547" w:rsidRDefault="00FA01FF" w:rsidP="00FA01FF">
      <w:pPr>
        <w:tabs>
          <w:tab w:val="left" w:pos="284"/>
        </w:tabs>
        <w:ind w:firstLine="567"/>
        <w:jc w:val="center"/>
        <w:rPr>
          <w:rFonts w:eastAsiaTheme="minorHAnsi"/>
          <w:b/>
          <w:bCs/>
          <w:i w:val="0"/>
          <w:sz w:val="28"/>
          <w:szCs w:val="28"/>
        </w:rPr>
      </w:pPr>
      <w:r>
        <w:rPr>
          <w:b/>
          <w:bCs/>
          <w:i w:val="0"/>
          <w:sz w:val="28"/>
          <w:szCs w:val="28"/>
        </w:rPr>
        <w:t xml:space="preserve">Informacja Strony Ukraińskiej dotycząca rozpoczęcia realizacji projektu „ </w:t>
      </w:r>
      <w:r>
        <w:rPr>
          <w:b/>
          <w:bCs/>
          <w:i w:val="0"/>
          <w:iCs/>
          <w:sz w:val="28"/>
          <w:szCs w:val="28"/>
        </w:rPr>
        <w:t>Poprawa zintegrowanego zarządzania zlewnią rzeki Bug poprzez opracowanie planu zarządzania, redukcji zanieczyszczeń, adaptacji do zmian klimatycznych i poprawy monitoringu</w:t>
      </w:r>
      <w:r>
        <w:rPr>
          <w:b/>
          <w:bCs/>
          <w:i w:val="0"/>
          <w:sz w:val="28"/>
          <w:szCs w:val="28"/>
        </w:rPr>
        <w:t xml:space="preserve"> ”</w:t>
      </w:r>
    </w:p>
    <w:p w:rsidR="00B44D64" w:rsidRPr="00DB0547" w:rsidRDefault="00B44D64" w:rsidP="00FA01FF">
      <w:pPr>
        <w:tabs>
          <w:tab w:val="left" w:pos="284"/>
        </w:tabs>
        <w:ind w:firstLine="567"/>
        <w:jc w:val="center"/>
        <w:rPr>
          <w:bCs/>
          <w:i w:val="0"/>
          <w:sz w:val="28"/>
          <w:szCs w:val="28"/>
          <w:lang w:val="uk-UA"/>
        </w:rPr>
      </w:pPr>
    </w:p>
    <w:p w:rsidR="00B44D64" w:rsidRPr="00DB0547" w:rsidRDefault="00B44D64" w:rsidP="00B44D64">
      <w:pPr>
        <w:spacing w:after="200" w:line="276" w:lineRule="auto"/>
        <w:jc w:val="center"/>
        <w:rPr>
          <w:rFonts w:eastAsia="Calibri"/>
          <w:b/>
          <w:i w:val="0"/>
          <w:sz w:val="28"/>
          <w:szCs w:val="28"/>
        </w:rPr>
      </w:pPr>
      <w:r>
        <w:rPr>
          <w:b/>
          <w:i w:val="0"/>
          <w:sz w:val="28"/>
          <w:szCs w:val="28"/>
        </w:rPr>
        <w:t>Uzasadnienie realizacji projektu w zakresie Bugu z udziałem wyłącznie Rzeczypospolitej Polskiej i Ukrainy</w:t>
      </w:r>
    </w:p>
    <w:p w:rsidR="00A037AD" w:rsidRPr="00DB0547" w:rsidRDefault="00A037AD" w:rsidP="00A037AD">
      <w:pPr>
        <w:spacing w:after="200" w:line="276" w:lineRule="auto"/>
        <w:ind w:firstLine="567"/>
        <w:jc w:val="both"/>
        <w:rPr>
          <w:rFonts w:eastAsia="Calibri"/>
          <w:bCs/>
          <w:i w:val="0"/>
          <w:sz w:val="28"/>
          <w:szCs w:val="28"/>
        </w:rPr>
      </w:pPr>
      <w:r>
        <w:rPr>
          <w:bCs/>
          <w:i w:val="0"/>
          <w:sz w:val="28"/>
          <w:szCs w:val="28"/>
        </w:rPr>
        <w:t>Zlewnia Bugu jest transgraniczną zl</w:t>
      </w:r>
      <w:r w:rsidR="009E57AE">
        <w:rPr>
          <w:bCs/>
          <w:i w:val="0"/>
          <w:sz w:val="28"/>
          <w:szCs w:val="28"/>
        </w:rPr>
        <w:t>e</w:t>
      </w:r>
      <w:r>
        <w:rPr>
          <w:bCs/>
          <w:i w:val="0"/>
          <w:sz w:val="28"/>
          <w:szCs w:val="28"/>
        </w:rPr>
        <w:t>wnią trzech krajów: Ukrainy, Polski i Białorusi. Około 50% zlewni znajduje się na terenie Polski, 23% na terenie Białorusi i 27% na terenie Ukrainy. Część rzeki Bug znajdująca się na Białorusi jest obszarem przygranicznym z Polską, czyli granica między Polską a Białorusią przebiega wzdłuż rzeki Bug. Zatem Bug nie płynie wyłącznie w granicach Białorusi. Jeżeli projekt będzie realizowany wyłącznie w Polsce i w Ukrainie, zasięg projektu obejmie 77% powierzchni zlewni.</w:t>
      </w:r>
    </w:p>
    <w:p w:rsidR="00B44D64" w:rsidRPr="00DB0547" w:rsidRDefault="00B44D64" w:rsidP="00B44D64">
      <w:pPr>
        <w:spacing w:after="200" w:line="276" w:lineRule="auto"/>
        <w:jc w:val="both"/>
        <w:rPr>
          <w:rFonts w:eastAsia="Calibri"/>
          <w:i w:val="0"/>
          <w:sz w:val="28"/>
          <w:szCs w:val="28"/>
        </w:rPr>
      </w:pPr>
      <w:r>
        <w:rPr>
          <w:i w:val="0"/>
          <w:noProof/>
          <w:sz w:val="28"/>
          <w:szCs w:val="28"/>
        </w:rPr>
        <w:drawing>
          <wp:inline distT="0" distB="0" distL="0" distR="0">
            <wp:extent cx="4444913" cy="4924425"/>
            <wp:effectExtent l="0" t="0" r="0" b="0"/>
            <wp:docPr id="1" name="Рисунок 1" descr="D:\Spanchyk\Новый том\міжнародна\978-90-481-9534-3_13_Fig1_HTM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Spanchyk\Новый том\міжнародна\978-90-481-9534-3_13_Fig1_HTML.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451169" cy="4931356"/>
                    </a:xfrm>
                    <a:prstGeom prst="rect">
                      <a:avLst/>
                    </a:prstGeom>
                    <a:noFill/>
                    <a:ln>
                      <a:noFill/>
                    </a:ln>
                  </pic:spPr>
                </pic:pic>
              </a:graphicData>
            </a:graphic>
          </wp:inline>
        </w:drawing>
      </w:r>
    </w:p>
    <w:p w:rsidR="00563ED4" w:rsidRPr="00DB0547" w:rsidRDefault="00A037AD" w:rsidP="00563ED4">
      <w:pPr>
        <w:spacing w:after="200" w:line="276" w:lineRule="auto"/>
        <w:jc w:val="both"/>
        <w:rPr>
          <w:rFonts w:eastAsia="Calibri"/>
          <w:i w:val="0"/>
          <w:sz w:val="28"/>
          <w:szCs w:val="28"/>
        </w:rPr>
      </w:pPr>
      <w:r>
        <w:rPr>
          <w:i w:val="0"/>
          <w:sz w:val="28"/>
          <w:szCs w:val="28"/>
        </w:rPr>
        <w:lastRenderedPageBreak/>
        <w:t>Najwięcej zanieczyszczeń w zlewni rzeki Bug produkuje przedsiębiorstwo komunalne „Lwiwwodokanał” zlokalizowane w Ukrainie. Dlatego ważne jest zaplanowanie pilnych działań mających na celu zmniejszenie zanieczyszczenia zlewni rzeli Bug w Ukrainie. Realizacja projektu bez Białorusi nie wiąże się z żadnym ryzykiem dla skuteczności wyników projektu i zapewni możliwość wdrożenia działań mających na celu rozwiązanie problemów wodno-ekologicznych, takich jak zanieczyszczenie substancjami organicznymi, biogennymi i niebezpiecznymi, zmiany hydromorfologiczne i zmiany klimatyczne.  Działania obejmą:</w:t>
      </w:r>
    </w:p>
    <w:p w:rsidR="00563ED4" w:rsidRPr="00DB0547" w:rsidRDefault="00563ED4" w:rsidP="00563ED4">
      <w:pPr>
        <w:pStyle w:val="Akapitzlist"/>
        <w:numPr>
          <w:ilvl w:val="0"/>
          <w:numId w:val="32"/>
        </w:numPr>
        <w:spacing w:after="200" w:line="276" w:lineRule="auto"/>
        <w:ind w:left="426"/>
        <w:jc w:val="both"/>
        <w:rPr>
          <w:rFonts w:eastAsia="Calibri"/>
          <w:i w:val="0"/>
          <w:sz w:val="28"/>
          <w:szCs w:val="28"/>
        </w:rPr>
      </w:pPr>
      <w:r>
        <w:rPr>
          <w:i w:val="0"/>
          <w:sz w:val="28"/>
          <w:szCs w:val="28"/>
        </w:rPr>
        <w:t>przeprowadzenie transgranicznej analizy diagnostycznej (transboundary diagnostic analysis/TDА) dla zlewni; dane dla zlewni na terenie Białorusi można częściowo oszacować na podstawie transgranicznego odcinka Bugu pomiędzy Białorusią a Polską;</w:t>
      </w:r>
    </w:p>
    <w:p w:rsidR="00563ED4" w:rsidRPr="00DB0547" w:rsidRDefault="00563ED4" w:rsidP="00563ED4">
      <w:pPr>
        <w:pStyle w:val="Akapitzlist"/>
        <w:numPr>
          <w:ilvl w:val="0"/>
          <w:numId w:val="32"/>
        </w:numPr>
        <w:spacing w:after="200" w:line="276" w:lineRule="auto"/>
        <w:ind w:left="426"/>
        <w:jc w:val="both"/>
        <w:rPr>
          <w:rFonts w:eastAsia="Calibri"/>
          <w:i w:val="0"/>
          <w:sz w:val="28"/>
          <w:szCs w:val="28"/>
        </w:rPr>
      </w:pPr>
      <w:r>
        <w:rPr>
          <w:i w:val="0"/>
          <w:sz w:val="28"/>
          <w:szCs w:val="28"/>
        </w:rPr>
        <w:t>planowanie strategicznego programu działań (strategic action program/SAP) w oparciu o TDA;</w:t>
      </w:r>
    </w:p>
    <w:p w:rsidR="00563ED4" w:rsidRPr="00DB0547" w:rsidRDefault="00563ED4" w:rsidP="00563ED4">
      <w:pPr>
        <w:pStyle w:val="Akapitzlist"/>
        <w:numPr>
          <w:ilvl w:val="0"/>
          <w:numId w:val="32"/>
        </w:numPr>
        <w:spacing w:after="200" w:line="276" w:lineRule="auto"/>
        <w:ind w:left="426"/>
        <w:jc w:val="both"/>
        <w:rPr>
          <w:rFonts w:eastAsia="Calibri"/>
          <w:i w:val="0"/>
          <w:sz w:val="28"/>
          <w:szCs w:val="28"/>
        </w:rPr>
      </w:pPr>
      <w:r>
        <w:rPr>
          <w:i w:val="0"/>
          <w:sz w:val="28"/>
          <w:szCs w:val="28"/>
        </w:rPr>
        <w:t>harmonizacja systemu oceny stanu ekologicznego i chemicznego wód;</w:t>
      </w:r>
    </w:p>
    <w:p w:rsidR="00563ED4" w:rsidRPr="00DB0547" w:rsidRDefault="00563ED4" w:rsidP="00563ED4">
      <w:pPr>
        <w:pStyle w:val="Akapitzlist"/>
        <w:numPr>
          <w:ilvl w:val="0"/>
          <w:numId w:val="32"/>
        </w:numPr>
        <w:spacing w:after="200" w:line="276" w:lineRule="auto"/>
        <w:ind w:left="426"/>
        <w:jc w:val="both"/>
        <w:rPr>
          <w:rFonts w:eastAsia="Calibri"/>
          <w:i w:val="0"/>
          <w:sz w:val="28"/>
          <w:szCs w:val="28"/>
        </w:rPr>
      </w:pPr>
      <w:r>
        <w:rPr>
          <w:i w:val="0"/>
          <w:sz w:val="28"/>
          <w:szCs w:val="28"/>
        </w:rPr>
        <w:t>intensyfikacja współpracy transgranicznej pomiędzy Polską a Ukrainą;</w:t>
      </w:r>
    </w:p>
    <w:p w:rsidR="00563ED4" w:rsidRPr="00DB0547" w:rsidRDefault="00563ED4" w:rsidP="00563ED4">
      <w:pPr>
        <w:pStyle w:val="Akapitzlist"/>
        <w:numPr>
          <w:ilvl w:val="0"/>
          <w:numId w:val="32"/>
        </w:numPr>
        <w:spacing w:after="200" w:line="276" w:lineRule="auto"/>
        <w:ind w:left="426"/>
        <w:jc w:val="both"/>
        <w:rPr>
          <w:rFonts w:eastAsia="Calibri"/>
          <w:i w:val="0"/>
          <w:sz w:val="28"/>
          <w:szCs w:val="28"/>
        </w:rPr>
      </w:pPr>
      <w:r>
        <w:rPr>
          <w:i w:val="0"/>
          <w:sz w:val="28"/>
          <w:szCs w:val="28"/>
        </w:rPr>
        <w:t>wzmocnienie współpracy instytucjonalnej.</w:t>
      </w:r>
    </w:p>
    <w:p w:rsidR="00B44D64" w:rsidRPr="00DB0547" w:rsidRDefault="00437F51" w:rsidP="00437F51">
      <w:pPr>
        <w:spacing w:line="276" w:lineRule="auto"/>
        <w:ind w:firstLine="567"/>
        <w:jc w:val="both"/>
        <w:rPr>
          <w:rFonts w:eastAsia="Calibri"/>
          <w:i w:val="0"/>
          <w:sz w:val="28"/>
          <w:szCs w:val="28"/>
        </w:rPr>
      </w:pPr>
      <w:r>
        <w:rPr>
          <w:i w:val="0"/>
          <w:sz w:val="28"/>
          <w:szCs w:val="28"/>
        </w:rPr>
        <w:t>Kluczowe wskaźniki efektywności można osiągnąć poprzez aktualizację celów, wyników i reorientację zasobów z uwzględnieniem priorytetów Ramowej Dyrektywy Wodnej oraz Konwencji o ochronie i użytkowaniu transgranicznych cieków wodnych i jezior międzynarodowych. Realizacja tego projektu jest również konieczna do zbliżenia ustawodawstwa Ukrainy do wymogów Unii Europejskiej, w szczególności do opracowania planu gospodarowania wodami w zlewni Bugu, a także stanowi integralną część wypełniania zobowiązań Ukrainy jako kraju kandydującego do UE.</w:t>
      </w:r>
    </w:p>
    <w:p w:rsidR="00437F51" w:rsidRPr="00DB0547" w:rsidRDefault="00437F51" w:rsidP="00B44D64">
      <w:pPr>
        <w:rPr>
          <w:b/>
          <w:bCs/>
          <w:i w:val="0"/>
          <w:sz w:val="28"/>
          <w:szCs w:val="28"/>
          <w:lang w:val="uk-UA" w:eastAsia="en-US"/>
        </w:rPr>
      </w:pPr>
    </w:p>
    <w:p w:rsidR="00B44D64" w:rsidRPr="00DB0547" w:rsidRDefault="00B44D64" w:rsidP="00B44D64">
      <w:pPr>
        <w:jc w:val="center"/>
        <w:rPr>
          <w:b/>
          <w:bCs/>
          <w:i w:val="0"/>
          <w:sz w:val="28"/>
          <w:szCs w:val="28"/>
        </w:rPr>
      </w:pPr>
      <w:r>
        <w:rPr>
          <w:b/>
          <w:bCs/>
          <w:i w:val="0"/>
          <w:sz w:val="28"/>
          <w:szCs w:val="28"/>
        </w:rPr>
        <w:t>Koncepcja projektu "</w:t>
      </w:r>
      <w:r>
        <w:rPr>
          <w:b/>
          <w:bCs/>
          <w:i w:val="0"/>
          <w:iCs/>
          <w:sz w:val="28"/>
          <w:szCs w:val="28"/>
        </w:rPr>
        <w:t>Poprawa zintegrowanego zarządzania zlewnią rzeki Bug poprzez opracowanie planu zarządzania, redukcji zanieczyszczeń, adaptacji do zmian klimatycznych i poprawy monitoringu</w:t>
      </w:r>
      <w:r>
        <w:rPr>
          <w:b/>
          <w:bCs/>
          <w:i w:val="0"/>
          <w:sz w:val="28"/>
          <w:szCs w:val="28"/>
        </w:rPr>
        <w:t>"</w:t>
      </w:r>
    </w:p>
    <w:p w:rsidR="00B44D64" w:rsidRPr="00DB0547" w:rsidRDefault="00B44D64" w:rsidP="00B44D64">
      <w:pPr>
        <w:jc w:val="center"/>
        <w:rPr>
          <w:b/>
          <w:bCs/>
          <w:i w:val="0"/>
          <w:sz w:val="28"/>
          <w:szCs w:val="28"/>
          <w:lang w:val="uk-UA" w:eastAsia="en-US"/>
        </w:rPr>
      </w:pPr>
    </w:p>
    <w:tbl>
      <w:tblPr>
        <w:tblW w:w="563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firstRow="1" w:lastRow="1" w:firstColumn="1" w:lastColumn="1" w:noHBand="0" w:noVBand="0"/>
      </w:tblPr>
      <w:tblGrid>
        <w:gridCol w:w="2174"/>
        <w:gridCol w:w="2137"/>
        <w:gridCol w:w="6435"/>
        <w:gridCol w:w="37"/>
      </w:tblGrid>
      <w:tr w:rsidR="00B44D64" w:rsidRPr="00DB0547" w:rsidTr="00B44D64">
        <w:trPr>
          <w:trHeight w:val="260"/>
          <w:jc w:val="center"/>
        </w:trPr>
        <w:tc>
          <w:tcPr>
            <w:tcW w:w="5000" w:type="pct"/>
            <w:gridSpan w:val="4"/>
            <w:shd w:val="clear" w:color="auto" w:fill="FFFFFF"/>
            <w:vAlign w:val="center"/>
          </w:tcPr>
          <w:p w:rsidR="00B44D64" w:rsidRPr="00DB0547" w:rsidRDefault="00116802" w:rsidP="00B44D64">
            <w:pPr>
              <w:keepNext/>
              <w:outlineLvl w:val="2"/>
              <w:rPr>
                <w:i w:val="0"/>
                <w:iCs/>
                <w:color w:val="000000"/>
              </w:rPr>
            </w:pPr>
            <w:r>
              <w:rPr>
                <w:b/>
                <w:bCs/>
                <w:i w:val="0"/>
                <w:iCs/>
                <w:color w:val="000000"/>
              </w:rPr>
              <w:t xml:space="preserve">Cel projektu: </w:t>
            </w:r>
            <w:r>
              <w:rPr>
                <w:bCs/>
                <w:i w:val="0"/>
                <w:iCs/>
                <w:color w:val="000000"/>
              </w:rPr>
              <w:t>Poprawa zintegrowanego zarządzania zlewniż rzeki Bug poprzez opracowanie planu zarządzania, redukcję zanieczyszczeń, adaptację do zmian klimatycznych i poprawę monitoringu</w:t>
            </w:r>
          </w:p>
        </w:tc>
      </w:tr>
      <w:tr w:rsidR="00B44D64" w:rsidRPr="00DB0547" w:rsidTr="00B44D64">
        <w:trPr>
          <w:gridAfter w:val="1"/>
          <w:wAfter w:w="17" w:type="pct"/>
          <w:trHeight w:val="285"/>
          <w:jc w:val="center"/>
        </w:trPr>
        <w:tc>
          <w:tcPr>
            <w:tcW w:w="1008" w:type="pct"/>
            <w:vMerge w:val="restart"/>
            <w:shd w:val="clear" w:color="auto" w:fill="FFFFFF"/>
            <w:vAlign w:val="center"/>
          </w:tcPr>
          <w:p w:rsidR="00B44D64" w:rsidRPr="00DB0547" w:rsidRDefault="00617CA6" w:rsidP="00B44D64">
            <w:pPr>
              <w:keepNext/>
              <w:ind w:left="72"/>
              <w:outlineLvl w:val="2"/>
              <w:rPr>
                <w:i w:val="0"/>
                <w:iCs/>
                <w:color w:val="000000"/>
              </w:rPr>
            </w:pPr>
            <w:r>
              <w:rPr>
                <w:i w:val="0"/>
                <w:iCs/>
                <w:color w:val="000000"/>
              </w:rPr>
              <w:t>Elementy projektu</w:t>
            </w:r>
          </w:p>
        </w:tc>
        <w:tc>
          <w:tcPr>
            <w:tcW w:w="991" w:type="pct"/>
            <w:vMerge w:val="restart"/>
            <w:shd w:val="clear" w:color="auto" w:fill="FFFFFF"/>
            <w:vAlign w:val="center"/>
          </w:tcPr>
          <w:p w:rsidR="00B44D64" w:rsidRPr="00DB0547" w:rsidRDefault="00617CA6" w:rsidP="00617CA6">
            <w:pPr>
              <w:keepNext/>
              <w:jc w:val="center"/>
              <w:outlineLvl w:val="2"/>
              <w:rPr>
                <w:i w:val="0"/>
                <w:iCs/>
                <w:color w:val="000000"/>
              </w:rPr>
            </w:pPr>
            <w:r>
              <w:rPr>
                <w:i w:val="0"/>
                <w:iCs/>
                <w:color w:val="000000"/>
              </w:rPr>
              <w:t>Wyniki projektu</w:t>
            </w:r>
          </w:p>
        </w:tc>
        <w:tc>
          <w:tcPr>
            <w:tcW w:w="2984" w:type="pct"/>
            <w:vMerge w:val="restart"/>
            <w:shd w:val="clear" w:color="auto" w:fill="FFFFFF"/>
            <w:vAlign w:val="center"/>
          </w:tcPr>
          <w:p w:rsidR="00B44D64" w:rsidRPr="00DB0547" w:rsidRDefault="00617CA6" w:rsidP="00B44D64">
            <w:pPr>
              <w:keepNext/>
              <w:jc w:val="center"/>
              <w:outlineLvl w:val="2"/>
              <w:rPr>
                <w:i w:val="0"/>
                <w:iCs/>
                <w:color w:val="000000"/>
              </w:rPr>
            </w:pPr>
            <w:r>
              <w:rPr>
                <w:i w:val="0"/>
                <w:iCs/>
                <w:color w:val="000000"/>
              </w:rPr>
              <w:t>Działania w ramach projektu</w:t>
            </w:r>
            <w:r>
              <w:rPr>
                <w:bCs/>
                <w:i w:val="0"/>
                <w:color w:val="000000"/>
              </w:rPr>
              <w:t xml:space="preserve"> </w:t>
            </w:r>
          </w:p>
        </w:tc>
      </w:tr>
      <w:tr w:rsidR="00B44D64" w:rsidRPr="00DB0547" w:rsidTr="00B44D64">
        <w:trPr>
          <w:gridAfter w:val="1"/>
          <w:wAfter w:w="17" w:type="pct"/>
          <w:trHeight w:val="276"/>
          <w:jc w:val="center"/>
        </w:trPr>
        <w:tc>
          <w:tcPr>
            <w:tcW w:w="1008" w:type="pct"/>
            <w:vMerge/>
            <w:shd w:val="clear" w:color="auto" w:fill="FFFFFF"/>
            <w:vAlign w:val="center"/>
          </w:tcPr>
          <w:p w:rsidR="00B44D64" w:rsidRPr="00DB0547" w:rsidRDefault="00B44D64" w:rsidP="00B44D64">
            <w:pPr>
              <w:keepNext/>
              <w:ind w:left="72"/>
              <w:outlineLvl w:val="2"/>
              <w:rPr>
                <w:i w:val="0"/>
                <w:iCs/>
                <w:color w:val="000000"/>
                <w:lang w:val="uk-UA" w:eastAsia="en-US"/>
              </w:rPr>
            </w:pPr>
          </w:p>
        </w:tc>
        <w:tc>
          <w:tcPr>
            <w:tcW w:w="991" w:type="pct"/>
            <w:vMerge/>
            <w:shd w:val="clear" w:color="auto" w:fill="FFFFFF"/>
            <w:vAlign w:val="center"/>
          </w:tcPr>
          <w:p w:rsidR="00B44D64" w:rsidRPr="00DB0547" w:rsidRDefault="00B44D64" w:rsidP="00B44D64">
            <w:pPr>
              <w:keepNext/>
              <w:jc w:val="center"/>
              <w:outlineLvl w:val="2"/>
              <w:rPr>
                <w:i w:val="0"/>
                <w:iCs/>
                <w:color w:val="000000"/>
                <w:lang w:val="uk-UA" w:eastAsia="en-US"/>
              </w:rPr>
            </w:pPr>
          </w:p>
        </w:tc>
        <w:tc>
          <w:tcPr>
            <w:tcW w:w="2984" w:type="pct"/>
            <w:vMerge/>
            <w:shd w:val="clear" w:color="auto" w:fill="FFFFFF"/>
            <w:vAlign w:val="center"/>
          </w:tcPr>
          <w:p w:rsidR="00B44D64" w:rsidRPr="00DB0547" w:rsidRDefault="00B44D64" w:rsidP="00B44D64">
            <w:pPr>
              <w:keepNext/>
              <w:jc w:val="center"/>
              <w:outlineLvl w:val="2"/>
              <w:rPr>
                <w:i w:val="0"/>
                <w:iCs/>
                <w:color w:val="000000"/>
                <w:lang w:val="uk-UA" w:eastAsia="en-US"/>
              </w:rPr>
            </w:pPr>
          </w:p>
        </w:tc>
      </w:tr>
      <w:tr w:rsidR="00B44D64" w:rsidRPr="00DB0547" w:rsidTr="00B44D64">
        <w:trPr>
          <w:gridAfter w:val="1"/>
          <w:wAfter w:w="17" w:type="pct"/>
          <w:jc w:val="center"/>
        </w:trPr>
        <w:tc>
          <w:tcPr>
            <w:tcW w:w="1008" w:type="pct"/>
            <w:shd w:val="clear" w:color="auto" w:fill="FFFFFF"/>
          </w:tcPr>
          <w:p w:rsidR="00116802" w:rsidRPr="00DB0547" w:rsidRDefault="00116802" w:rsidP="00116802">
            <w:pPr>
              <w:rPr>
                <w:b/>
                <w:i w:val="0"/>
                <w:color w:val="000000"/>
              </w:rPr>
            </w:pPr>
            <w:r>
              <w:rPr>
                <w:b/>
                <w:i w:val="0"/>
                <w:color w:val="000000"/>
              </w:rPr>
              <w:t>Komponent 1.</w:t>
            </w:r>
          </w:p>
          <w:p w:rsidR="00B44D64" w:rsidRPr="00DB0547" w:rsidRDefault="00116802" w:rsidP="00116802">
            <w:pPr>
              <w:rPr>
                <w:i w:val="0"/>
                <w:color w:val="000000"/>
              </w:rPr>
            </w:pPr>
            <w:r>
              <w:rPr>
                <w:i w:val="0"/>
                <w:color w:val="000000"/>
              </w:rPr>
              <w:t>Zrównoważone zintegrowane zarządzanie zlewnią rzeki Bug</w:t>
            </w:r>
          </w:p>
        </w:tc>
        <w:tc>
          <w:tcPr>
            <w:tcW w:w="991" w:type="pct"/>
            <w:shd w:val="clear" w:color="auto" w:fill="FFFFFF"/>
          </w:tcPr>
          <w:p w:rsidR="00B44D64" w:rsidRPr="00DB0547" w:rsidRDefault="00617CA6" w:rsidP="00B44D64">
            <w:pPr>
              <w:rPr>
                <w:b/>
                <w:i w:val="0"/>
                <w:color w:val="000000"/>
              </w:rPr>
            </w:pPr>
            <w:r>
              <w:rPr>
                <w:b/>
                <w:i w:val="0"/>
                <w:color w:val="000000"/>
              </w:rPr>
              <w:t>Wynik 1.</w:t>
            </w:r>
          </w:p>
          <w:p w:rsidR="00B44D64" w:rsidRPr="00DB0547" w:rsidRDefault="00617CA6" w:rsidP="00B44D64">
            <w:pPr>
              <w:rPr>
                <w:b/>
                <w:i w:val="0"/>
                <w:color w:val="000000"/>
              </w:rPr>
            </w:pPr>
            <w:r>
              <w:rPr>
                <w:i w:val="0"/>
                <w:color w:val="000000"/>
              </w:rPr>
              <w:t>Doskonalenie strategicznego planowania transgranicznego w zlewni rzeki Bug</w:t>
            </w:r>
            <w:r>
              <w:rPr>
                <w:i w:val="0"/>
              </w:rPr>
              <w:t xml:space="preserve"> </w:t>
            </w:r>
            <w:r>
              <w:rPr>
                <w:b/>
                <w:i w:val="0"/>
              </w:rPr>
              <w:lastRenderedPageBreak/>
              <w:t>Wynik 2.</w:t>
            </w:r>
            <w:r>
              <w:rPr>
                <w:i w:val="0"/>
              </w:rPr>
              <w:t xml:space="preserve"> Skoordynowane działania i działania mające na celu rozwiązanie kluczowych problemów transgranicznych zlewni rzeki Bug.</w:t>
            </w:r>
          </w:p>
          <w:p w:rsidR="00B44D64" w:rsidRPr="00DB0547" w:rsidRDefault="00B44D64" w:rsidP="00B44D64">
            <w:pPr>
              <w:rPr>
                <w:b/>
                <w:i w:val="0"/>
                <w:color w:val="000000"/>
                <w:lang w:val="uk-UA" w:eastAsia="en-US"/>
              </w:rPr>
            </w:pPr>
          </w:p>
          <w:p w:rsidR="00B44D64" w:rsidRPr="00DB0547" w:rsidRDefault="00B44D64" w:rsidP="00B44D64">
            <w:pPr>
              <w:rPr>
                <w:b/>
                <w:i w:val="0"/>
                <w:color w:val="000000"/>
                <w:lang w:val="uk-UA" w:eastAsia="en-US"/>
              </w:rPr>
            </w:pPr>
          </w:p>
          <w:p w:rsidR="00B44D64" w:rsidRPr="00DB0547" w:rsidRDefault="00B44D64" w:rsidP="00B44D64">
            <w:pPr>
              <w:rPr>
                <w:b/>
                <w:i w:val="0"/>
                <w:color w:val="000000"/>
                <w:lang w:val="uk-UA" w:eastAsia="en-US"/>
              </w:rPr>
            </w:pPr>
          </w:p>
          <w:p w:rsidR="00B44D64" w:rsidRPr="00DB0547" w:rsidRDefault="00B44D64" w:rsidP="00B44D64">
            <w:pPr>
              <w:rPr>
                <w:b/>
                <w:i w:val="0"/>
                <w:color w:val="000000"/>
                <w:lang w:val="uk-UA" w:eastAsia="en-US"/>
              </w:rPr>
            </w:pPr>
          </w:p>
          <w:p w:rsidR="00B44D64" w:rsidRPr="00DB0547" w:rsidRDefault="00B44D64" w:rsidP="00B44D64">
            <w:pPr>
              <w:rPr>
                <w:b/>
                <w:i w:val="0"/>
                <w:color w:val="000000"/>
                <w:lang w:val="uk-UA" w:eastAsia="en-US"/>
              </w:rPr>
            </w:pPr>
          </w:p>
          <w:p w:rsidR="00B44D64" w:rsidRPr="00DB0547" w:rsidRDefault="00B44D64" w:rsidP="00B44D64">
            <w:pPr>
              <w:rPr>
                <w:b/>
                <w:i w:val="0"/>
                <w:color w:val="000000"/>
                <w:lang w:val="uk-UA" w:eastAsia="en-US"/>
              </w:rPr>
            </w:pPr>
          </w:p>
          <w:p w:rsidR="00B44D64" w:rsidRPr="00DB0547" w:rsidRDefault="00B44D64" w:rsidP="00B44D64">
            <w:pPr>
              <w:rPr>
                <w:b/>
                <w:i w:val="0"/>
                <w:color w:val="000000"/>
                <w:lang w:val="uk-UA" w:eastAsia="en-US"/>
              </w:rPr>
            </w:pPr>
          </w:p>
          <w:p w:rsidR="00B44D64" w:rsidRPr="00DB0547" w:rsidRDefault="00B44D64" w:rsidP="00B44D64">
            <w:pPr>
              <w:rPr>
                <w:b/>
                <w:i w:val="0"/>
                <w:color w:val="000000"/>
                <w:lang w:val="uk-UA" w:eastAsia="en-US"/>
              </w:rPr>
            </w:pPr>
          </w:p>
          <w:p w:rsidR="00B44D64" w:rsidRPr="00DB0547" w:rsidRDefault="00B44D64" w:rsidP="00B44D64">
            <w:pPr>
              <w:rPr>
                <w:b/>
                <w:i w:val="0"/>
                <w:color w:val="000000"/>
                <w:lang w:val="uk-UA" w:eastAsia="en-US"/>
              </w:rPr>
            </w:pPr>
          </w:p>
          <w:p w:rsidR="00B44D64" w:rsidRPr="00DB0547" w:rsidRDefault="00B44D64" w:rsidP="00B44D64">
            <w:pPr>
              <w:rPr>
                <w:b/>
                <w:i w:val="0"/>
                <w:color w:val="000000"/>
                <w:lang w:val="uk-UA" w:eastAsia="en-US"/>
              </w:rPr>
            </w:pPr>
          </w:p>
          <w:p w:rsidR="00B44D64" w:rsidRPr="00DB0547" w:rsidRDefault="00B44D64" w:rsidP="00B44D64">
            <w:pPr>
              <w:rPr>
                <w:b/>
                <w:i w:val="0"/>
                <w:color w:val="000000"/>
                <w:lang w:val="uk-UA" w:eastAsia="en-US"/>
              </w:rPr>
            </w:pPr>
          </w:p>
          <w:p w:rsidR="008B09DE" w:rsidRPr="00DB0547" w:rsidRDefault="008B09DE" w:rsidP="00B44D64">
            <w:pPr>
              <w:rPr>
                <w:b/>
                <w:i w:val="0"/>
                <w:color w:val="000000"/>
                <w:sz w:val="16"/>
                <w:szCs w:val="16"/>
                <w:lang w:val="uk-UA" w:eastAsia="en-US"/>
              </w:rPr>
            </w:pPr>
          </w:p>
          <w:p w:rsidR="008B09DE" w:rsidRPr="00DB0547" w:rsidRDefault="00617CA6" w:rsidP="00B44D64">
            <w:pPr>
              <w:rPr>
                <w:i w:val="0"/>
                <w:color w:val="000000"/>
              </w:rPr>
            </w:pPr>
            <w:r>
              <w:rPr>
                <w:b/>
                <w:i w:val="0"/>
                <w:color w:val="000000"/>
              </w:rPr>
              <w:t>Wynik 3.</w:t>
            </w:r>
            <w:r>
              <w:rPr>
                <w:i w:val="0"/>
                <w:color w:val="000000"/>
              </w:rPr>
              <w:t xml:space="preserve"> Poprawa stanu ekologicznego wód zlewni rz. Bug</w:t>
            </w:r>
          </w:p>
          <w:p w:rsidR="00537451" w:rsidRPr="00DB0547" w:rsidRDefault="00537451" w:rsidP="00B44D64">
            <w:pPr>
              <w:rPr>
                <w:i w:val="0"/>
                <w:color w:val="000000"/>
                <w:lang w:val="uk-UA" w:eastAsia="en-US"/>
              </w:rPr>
            </w:pPr>
          </w:p>
          <w:p w:rsidR="00E72415" w:rsidRPr="00DB0547" w:rsidRDefault="00E72415" w:rsidP="00B44D64">
            <w:pPr>
              <w:rPr>
                <w:i w:val="0"/>
                <w:color w:val="000000"/>
                <w:lang w:val="uk-UA" w:eastAsia="en-US"/>
              </w:rPr>
            </w:pPr>
          </w:p>
          <w:p w:rsidR="00B44D64" w:rsidRPr="00DB0547" w:rsidRDefault="00617CA6" w:rsidP="00B44D64">
            <w:pPr>
              <w:rPr>
                <w:i w:val="0"/>
                <w:color w:val="000000"/>
              </w:rPr>
            </w:pPr>
            <w:r>
              <w:rPr>
                <w:b/>
                <w:i w:val="0"/>
                <w:color w:val="000000"/>
              </w:rPr>
              <w:t>Wynik 4.</w:t>
            </w:r>
            <w:r>
              <w:rPr>
                <w:i w:val="0"/>
                <w:color w:val="000000"/>
              </w:rPr>
              <w:t xml:space="preserve"> Lepsza adaptacja do zmiany klimatu oraz większa gotowość i odporność na powodzie i okresy suszy</w:t>
            </w:r>
          </w:p>
          <w:p w:rsidR="00B44D64" w:rsidRPr="00DB0547" w:rsidRDefault="00B44D64" w:rsidP="00B44D64">
            <w:pPr>
              <w:rPr>
                <w:b/>
                <w:i w:val="0"/>
                <w:color w:val="000000"/>
                <w:lang w:val="uk-UA" w:eastAsia="en-US"/>
              </w:rPr>
            </w:pPr>
          </w:p>
        </w:tc>
        <w:tc>
          <w:tcPr>
            <w:tcW w:w="2984" w:type="pct"/>
            <w:shd w:val="clear" w:color="auto" w:fill="FFFFFF"/>
          </w:tcPr>
          <w:p w:rsidR="00617CA6" w:rsidRPr="00DB0547" w:rsidRDefault="00617CA6" w:rsidP="00B44D64">
            <w:pPr>
              <w:ind w:left="65"/>
              <w:jc w:val="both"/>
              <w:rPr>
                <w:rFonts w:ascii="Times New Roman Bold" w:hAnsi="Times New Roman Bold"/>
                <w:i w:val="0"/>
                <w:noProof/>
                <w:color w:val="000000"/>
              </w:rPr>
            </w:pPr>
            <w:r>
              <w:rPr>
                <w:rFonts w:ascii="Times New Roman Bold" w:hAnsi="Times New Roman Bold"/>
                <w:i w:val="0"/>
                <w:color w:val="000000"/>
              </w:rPr>
              <w:lastRenderedPageBreak/>
              <w:t>Plan gospodarowania wodami w zlewni mający na celu poprawę stanu ekologicznego zlewni transgranicznej rzeki Bug, opracowany w ścisłej komunikacji i omówieniu z władzami lokalnymi. Plan zarządzania zostanie opracowany zgodnie z Ramową Dyrektywą Wodną i zasadami Konwencji Wodnej. Plan zarządzania będzie obejmował:</w:t>
            </w:r>
          </w:p>
          <w:p w:rsidR="00617CA6" w:rsidRPr="00DB0547" w:rsidRDefault="00B44D64" w:rsidP="00617CA6">
            <w:pPr>
              <w:ind w:left="65"/>
              <w:jc w:val="both"/>
              <w:rPr>
                <w:rFonts w:asciiTheme="minorHAnsi" w:hAnsiTheme="minorHAnsi"/>
                <w:i w:val="0"/>
                <w:color w:val="000000"/>
              </w:rPr>
            </w:pPr>
            <w:r>
              <w:rPr>
                <w:rFonts w:ascii="Times New Roman Bold" w:hAnsi="Times New Roman Bold"/>
                <w:i w:val="0"/>
                <w:color w:val="000000"/>
              </w:rPr>
              <w:lastRenderedPageBreak/>
              <w:t>- działania mające na celu ograniczenie zanieczyszczeń substancjami organicznymi, biogennymi i szkodliwymi ze źródeł punktowych i rozproszonych;</w:t>
            </w:r>
          </w:p>
          <w:p w:rsidR="00617CA6" w:rsidRPr="00DB0547" w:rsidRDefault="00617CA6" w:rsidP="00617CA6">
            <w:pPr>
              <w:ind w:left="65"/>
              <w:jc w:val="both"/>
              <w:rPr>
                <w:rFonts w:ascii="Times New Roman Bold" w:hAnsi="Times New Roman Bold"/>
                <w:i w:val="0"/>
                <w:color w:val="000000"/>
              </w:rPr>
            </w:pPr>
            <w:r>
              <w:rPr>
                <w:rFonts w:ascii="Times New Roman Bold" w:hAnsi="Times New Roman Bold"/>
                <w:i w:val="0"/>
                <w:color w:val="000000"/>
              </w:rPr>
              <w:t>- działania mające na celu poprawę/przywrócenie reżimu hydrologicznego i wskaźników morfologicznych w przypadku naruszenia swobodnego przepływu rzek, połączenia hydraulicznego koryt rzek z obszarami zalewowymi, zmian hydrologicznych, zmian morfologii rzek;</w:t>
            </w:r>
          </w:p>
          <w:p w:rsidR="00617CA6" w:rsidRPr="00DB0547" w:rsidRDefault="00617CA6" w:rsidP="00617CA6">
            <w:pPr>
              <w:ind w:left="65"/>
              <w:jc w:val="both"/>
              <w:rPr>
                <w:rFonts w:asciiTheme="minorHAnsi" w:hAnsiTheme="minorHAnsi"/>
                <w:i w:val="0"/>
                <w:color w:val="000000"/>
              </w:rPr>
            </w:pPr>
            <w:r>
              <w:rPr>
                <w:rFonts w:ascii="Times New Roman Bold" w:hAnsi="Times New Roman Bold"/>
                <w:i w:val="0"/>
                <w:color w:val="000000"/>
              </w:rPr>
              <w:t>- środki w zakresie adaptacji do zmian klimatycznych i łagodzenia ich</w:t>
            </w:r>
            <w:r>
              <w:rPr>
                <w:i w:val="0"/>
                <w:color w:val="000000"/>
              </w:rPr>
              <w:t xml:space="preserve">  </w:t>
            </w:r>
            <w:r>
              <w:rPr>
                <w:rFonts w:ascii="Times New Roman Bold" w:hAnsi="Times New Roman Bold"/>
                <w:i w:val="0"/>
                <w:color w:val="000000"/>
              </w:rPr>
              <w:t>skutków.</w:t>
            </w:r>
          </w:p>
          <w:p w:rsidR="00617CA6" w:rsidRPr="00DB0547" w:rsidRDefault="00617CA6" w:rsidP="00617CA6">
            <w:pPr>
              <w:ind w:left="65"/>
              <w:jc w:val="both"/>
              <w:rPr>
                <w:i w:val="0"/>
                <w:color w:val="000000"/>
              </w:rPr>
            </w:pPr>
            <w:r>
              <w:rPr>
                <w:i w:val="0"/>
                <w:color w:val="000000"/>
              </w:rPr>
              <w:t>Plan gospodarowania wodami w zlewni rzeki Bug będzie uwzględniał również niezbędne działania powojennej odbudowy, m.in rozwiązania środowiskowe.</w:t>
            </w:r>
          </w:p>
          <w:p w:rsidR="00617CA6" w:rsidRPr="00DB0547" w:rsidRDefault="00617CA6" w:rsidP="00617CA6">
            <w:pPr>
              <w:ind w:left="65"/>
              <w:jc w:val="both"/>
              <w:rPr>
                <w:i w:val="0"/>
                <w:color w:val="000000"/>
              </w:rPr>
            </w:pPr>
            <w:r>
              <w:rPr>
                <w:i w:val="0"/>
                <w:color w:val="000000"/>
              </w:rPr>
              <w:t>Wspólne oddziaływania transgraniczne związane z gospodarką zasobami wodnymi na poziomie zlewni zostaną przeanalizowane w trakcie opracowywania planu gospodarowania wodami w zlewni.</w:t>
            </w:r>
          </w:p>
          <w:p w:rsidR="00617CA6" w:rsidRPr="00DB0547" w:rsidRDefault="00617CA6" w:rsidP="00617CA6">
            <w:pPr>
              <w:suppressAutoHyphens/>
              <w:overflowPunct w:val="0"/>
              <w:autoSpaceDE w:val="0"/>
              <w:autoSpaceDN w:val="0"/>
              <w:adjustRightInd w:val="0"/>
              <w:snapToGrid w:val="0"/>
              <w:spacing w:after="120" w:line="100" w:lineRule="atLeast"/>
              <w:jc w:val="both"/>
              <w:textAlignment w:val="baseline"/>
              <w:rPr>
                <w:i w:val="0"/>
                <w:color w:val="000000"/>
                <w:u w:val="single"/>
              </w:rPr>
            </w:pPr>
            <w:r>
              <w:rPr>
                <w:i w:val="0"/>
                <w:color w:val="000000"/>
                <w:u w:val="single"/>
              </w:rPr>
              <w:t>Analiza ekonomiczna efektywności programu działań.</w:t>
            </w:r>
          </w:p>
          <w:p w:rsidR="008B09DE" w:rsidRPr="00DB0547" w:rsidRDefault="008B09DE" w:rsidP="00B44D64">
            <w:pPr>
              <w:suppressAutoHyphens/>
              <w:overflowPunct w:val="0"/>
              <w:autoSpaceDE w:val="0"/>
              <w:autoSpaceDN w:val="0"/>
              <w:adjustRightInd w:val="0"/>
              <w:snapToGrid w:val="0"/>
              <w:spacing w:after="120" w:line="100" w:lineRule="atLeast"/>
              <w:jc w:val="both"/>
              <w:textAlignment w:val="baseline"/>
              <w:rPr>
                <w:rFonts w:ascii="Times New Roman Bold" w:hAnsi="Times New Roman Bold"/>
                <w:i w:val="0"/>
                <w:noProof/>
                <w:color w:val="000000"/>
              </w:rPr>
            </w:pPr>
            <w:r>
              <w:rPr>
                <w:rFonts w:ascii="Times New Roman Bold" w:hAnsi="Times New Roman Bold"/>
                <w:i w:val="0"/>
                <w:color w:val="000000"/>
              </w:rPr>
              <w:t>Rekomendacje dotyczące ram legislacyjnych finansowania realizacji planu gospodarowania wodami w zlewni na podstawie analizy polityki cenowej wody w Ukrainie, w Polsce i krajach UE.</w:t>
            </w:r>
          </w:p>
          <w:p w:rsidR="008B09DE" w:rsidRPr="00DB0547" w:rsidRDefault="00537451" w:rsidP="00E72415">
            <w:pPr>
              <w:suppressAutoHyphens/>
              <w:overflowPunct w:val="0"/>
              <w:autoSpaceDE w:val="0"/>
              <w:autoSpaceDN w:val="0"/>
              <w:adjustRightInd w:val="0"/>
              <w:snapToGrid w:val="0"/>
              <w:spacing w:line="100" w:lineRule="atLeast"/>
              <w:jc w:val="both"/>
              <w:textAlignment w:val="baseline"/>
              <w:rPr>
                <w:rFonts w:asciiTheme="minorHAnsi" w:hAnsiTheme="minorHAnsi"/>
                <w:i w:val="0"/>
                <w:noProof/>
                <w:color w:val="000000"/>
              </w:rPr>
            </w:pPr>
            <w:r>
              <w:rPr>
                <w:rFonts w:ascii="Times New Roman Bold" w:hAnsi="Times New Roman Bold"/>
                <w:i w:val="0"/>
                <w:color w:val="000000"/>
              </w:rPr>
              <w:t>Pilotaże (projekty demonstracyjne) dotyczące poprawy stanu ekologicznego wód zlewni rzeki Bug. (Maksymalnie dwa takie projekty na kraj. Najlepiej, żeby chociaż jeden projekt był korzystny dla obu krajów). Projekty takie powinny być wybierane z planu gospodarowania wodami w zlewni.</w:t>
            </w:r>
          </w:p>
          <w:p w:rsidR="00537451" w:rsidRPr="00DB0547" w:rsidRDefault="00537451" w:rsidP="008B09DE">
            <w:pPr>
              <w:suppressAutoHyphens/>
              <w:overflowPunct w:val="0"/>
              <w:autoSpaceDE w:val="0"/>
              <w:autoSpaceDN w:val="0"/>
              <w:adjustRightInd w:val="0"/>
              <w:snapToGrid w:val="0"/>
              <w:spacing w:line="100" w:lineRule="atLeast"/>
              <w:jc w:val="both"/>
              <w:textAlignment w:val="baseline"/>
              <w:rPr>
                <w:i w:val="0"/>
                <w:noProof/>
                <w:color w:val="000000"/>
                <w:lang w:val="uk-UA" w:eastAsia="en-US"/>
              </w:rPr>
            </w:pPr>
          </w:p>
          <w:p w:rsidR="008B09DE" w:rsidRPr="00DB0547" w:rsidRDefault="008B09DE" w:rsidP="008B09DE">
            <w:pPr>
              <w:suppressAutoHyphens/>
              <w:overflowPunct w:val="0"/>
              <w:autoSpaceDE w:val="0"/>
              <w:autoSpaceDN w:val="0"/>
              <w:adjustRightInd w:val="0"/>
              <w:snapToGrid w:val="0"/>
              <w:spacing w:line="100" w:lineRule="atLeast"/>
              <w:jc w:val="both"/>
              <w:textAlignment w:val="baseline"/>
              <w:rPr>
                <w:rFonts w:ascii="Times New Roman Bold" w:hAnsi="Times New Roman Bold"/>
                <w:i w:val="0"/>
                <w:noProof/>
                <w:color w:val="000000"/>
              </w:rPr>
            </w:pPr>
            <w:r>
              <w:rPr>
                <w:rFonts w:ascii="Times New Roman Bold" w:hAnsi="Times New Roman Bold"/>
                <w:i w:val="0"/>
                <w:color w:val="000000"/>
              </w:rPr>
              <w:t>Ocena podatności zasobów wodnych na zmianę klimatu oraz rekomendacje dot. narzędzi i działań mających na celu promowanie innowacyjnych środków w zakresie przystosowania się do zmian klimatycznych i odporności.</w:t>
            </w:r>
          </w:p>
          <w:p w:rsidR="008B09DE" w:rsidRPr="00DB0547" w:rsidRDefault="008B09DE" w:rsidP="008B09DE">
            <w:pPr>
              <w:suppressAutoHyphens/>
              <w:overflowPunct w:val="0"/>
              <w:autoSpaceDE w:val="0"/>
              <w:autoSpaceDN w:val="0"/>
              <w:adjustRightInd w:val="0"/>
              <w:snapToGrid w:val="0"/>
              <w:spacing w:line="100" w:lineRule="atLeast"/>
              <w:jc w:val="both"/>
              <w:textAlignment w:val="baseline"/>
              <w:rPr>
                <w:rFonts w:ascii="Times New Roman Bold" w:hAnsi="Times New Roman Bold"/>
                <w:i w:val="0"/>
                <w:noProof/>
                <w:color w:val="000000"/>
              </w:rPr>
            </w:pPr>
            <w:r>
              <w:rPr>
                <w:rFonts w:ascii="Times New Roman Bold" w:hAnsi="Times New Roman Bold"/>
                <w:i w:val="0"/>
                <w:color w:val="000000"/>
              </w:rPr>
              <w:t>Mapowanie, bilans wodny zlewni transgranicznej rzeki Bug ze szczegółowymi informacjami dla każdego kraju.</w:t>
            </w:r>
          </w:p>
          <w:p w:rsidR="00B44D64" w:rsidRPr="00DB0547" w:rsidRDefault="008B09DE" w:rsidP="008B09DE">
            <w:pPr>
              <w:suppressAutoHyphens/>
              <w:overflowPunct w:val="0"/>
              <w:autoSpaceDE w:val="0"/>
              <w:autoSpaceDN w:val="0"/>
              <w:adjustRightInd w:val="0"/>
              <w:snapToGrid w:val="0"/>
              <w:spacing w:after="120" w:line="100" w:lineRule="atLeast"/>
              <w:jc w:val="both"/>
              <w:textAlignment w:val="baseline"/>
              <w:rPr>
                <w:rFonts w:ascii="Times New Roman Bold" w:hAnsi="Times New Roman Bold"/>
                <w:i w:val="0"/>
                <w:noProof/>
                <w:color w:val="000000"/>
              </w:rPr>
            </w:pPr>
            <w:r>
              <w:rPr>
                <w:rFonts w:ascii="Times New Roman Bold" w:hAnsi="Times New Roman Bold"/>
                <w:i w:val="0"/>
                <w:color w:val="000000"/>
              </w:rPr>
              <w:t>Warsztaty dotyczące budowania potencjału instytucjonalnego na temat adaptacyjnego zarządzania dla odpowiednich interesariuszy. W ramach opracowywania planu gospodarowania wodami w zlewni zorganizowany zostanie cykl warsztatów dla odpowiednich interesariuszy, takich jak przedsiębiorstwa wodociągowe, rolnicy, specjaliści ds. energetyki i decydenci społeczności lokalnej.</w:t>
            </w:r>
          </w:p>
        </w:tc>
      </w:tr>
      <w:tr w:rsidR="00B44D64" w:rsidRPr="00DB0547" w:rsidTr="00B44D64">
        <w:trPr>
          <w:gridAfter w:val="1"/>
          <w:wAfter w:w="17" w:type="pct"/>
          <w:jc w:val="center"/>
        </w:trPr>
        <w:tc>
          <w:tcPr>
            <w:tcW w:w="1008" w:type="pct"/>
            <w:shd w:val="clear" w:color="auto" w:fill="FFFFFF"/>
          </w:tcPr>
          <w:p w:rsidR="00B44D64" w:rsidRPr="00DB0547" w:rsidRDefault="00BE0979" w:rsidP="00B44D64">
            <w:pPr>
              <w:rPr>
                <w:i w:val="0"/>
                <w:color w:val="000000"/>
              </w:rPr>
            </w:pPr>
            <w:r>
              <w:rPr>
                <w:b/>
                <w:i w:val="0"/>
                <w:color w:val="000000"/>
              </w:rPr>
              <w:lastRenderedPageBreak/>
              <w:t xml:space="preserve">Komponent 2. </w:t>
            </w:r>
            <w:r>
              <w:rPr>
                <w:i w:val="0"/>
                <w:color w:val="000000"/>
              </w:rPr>
              <w:t>Rozwój/wzmocnienie współpracy ukraińsko-polskiej w zakresie gospodarki zasobami wodnymi w zlewni rzeki Bug</w:t>
            </w:r>
          </w:p>
        </w:tc>
        <w:tc>
          <w:tcPr>
            <w:tcW w:w="991" w:type="pct"/>
            <w:shd w:val="clear" w:color="auto" w:fill="FFFFFF"/>
          </w:tcPr>
          <w:p w:rsidR="002827C4" w:rsidRPr="00DB0547" w:rsidRDefault="002827C4" w:rsidP="002827C4">
            <w:pPr>
              <w:rPr>
                <w:b/>
                <w:i w:val="0"/>
                <w:color w:val="000000"/>
              </w:rPr>
            </w:pPr>
            <w:r>
              <w:rPr>
                <w:b/>
                <w:i w:val="0"/>
                <w:color w:val="000000"/>
              </w:rPr>
              <w:t>Wynik 1.</w:t>
            </w:r>
          </w:p>
          <w:p w:rsidR="00B44D64" w:rsidRPr="00DB0547" w:rsidRDefault="002827C4" w:rsidP="002827C4">
            <w:pPr>
              <w:rPr>
                <w:i w:val="0"/>
                <w:color w:val="000000"/>
              </w:rPr>
            </w:pPr>
            <w:r>
              <w:rPr>
                <w:i w:val="0"/>
                <w:color w:val="000000"/>
              </w:rPr>
              <w:t>Podnoszenie poziomu wiedzy władz państwowych i społeczeństwa obywatelskiego</w:t>
            </w:r>
          </w:p>
          <w:p w:rsidR="00B44D64" w:rsidRPr="00DB0547" w:rsidRDefault="00B44D64" w:rsidP="00B44D64">
            <w:pPr>
              <w:rPr>
                <w:b/>
                <w:i w:val="0"/>
                <w:color w:val="000000"/>
                <w:lang w:val="uk-UA" w:eastAsia="en-US"/>
              </w:rPr>
            </w:pPr>
          </w:p>
          <w:p w:rsidR="002827C4" w:rsidRPr="00DB0547" w:rsidRDefault="002827C4" w:rsidP="002827C4">
            <w:pPr>
              <w:rPr>
                <w:b/>
                <w:i w:val="0"/>
                <w:color w:val="000000"/>
              </w:rPr>
            </w:pPr>
            <w:r>
              <w:rPr>
                <w:b/>
                <w:i w:val="0"/>
                <w:color w:val="000000"/>
              </w:rPr>
              <w:t>Wynik 2.</w:t>
            </w:r>
          </w:p>
          <w:p w:rsidR="002827C4" w:rsidRPr="00DB0547" w:rsidRDefault="002827C4" w:rsidP="002827C4">
            <w:pPr>
              <w:rPr>
                <w:i w:val="0"/>
                <w:color w:val="000000"/>
              </w:rPr>
            </w:pPr>
            <w:r>
              <w:rPr>
                <w:i w:val="0"/>
                <w:color w:val="000000"/>
              </w:rPr>
              <w:t>Poprawa komunikacji w zakresie rozwiązywania kluczowych problemów transgranicznych zlewni rzeki Bug</w:t>
            </w:r>
          </w:p>
          <w:p w:rsidR="00E72415" w:rsidRPr="00DB0547" w:rsidRDefault="00E72415" w:rsidP="002827C4">
            <w:pPr>
              <w:rPr>
                <w:i w:val="0"/>
                <w:color w:val="000000"/>
                <w:lang w:val="uk-UA" w:eastAsia="en-US"/>
              </w:rPr>
            </w:pPr>
          </w:p>
          <w:p w:rsidR="00E72415" w:rsidRPr="00DB0547" w:rsidRDefault="00E72415" w:rsidP="00E72415">
            <w:pPr>
              <w:rPr>
                <w:b/>
                <w:i w:val="0"/>
                <w:color w:val="000000"/>
              </w:rPr>
            </w:pPr>
            <w:r>
              <w:rPr>
                <w:b/>
                <w:i w:val="0"/>
                <w:color w:val="000000"/>
              </w:rPr>
              <w:lastRenderedPageBreak/>
              <w:t>Wynik 3.</w:t>
            </w:r>
          </w:p>
          <w:p w:rsidR="00B44D64" w:rsidRPr="00DB0547" w:rsidRDefault="00E72415" w:rsidP="00E72415">
            <w:pPr>
              <w:rPr>
                <w:i w:val="0"/>
                <w:color w:val="000000"/>
              </w:rPr>
            </w:pPr>
            <w:r>
              <w:rPr>
                <w:i w:val="0"/>
                <w:color w:val="000000"/>
              </w:rPr>
              <w:t>Interesariusze uczestniczą w podejmowaniu decyzji</w:t>
            </w:r>
          </w:p>
          <w:p w:rsidR="00E72415" w:rsidRPr="00DB0547" w:rsidRDefault="00E72415" w:rsidP="00E72415">
            <w:pPr>
              <w:rPr>
                <w:i w:val="0"/>
                <w:color w:val="000000"/>
                <w:lang w:val="uk-UA" w:eastAsia="en-US"/>
              </w:rPr>
            </w:pPr>
          </w:p>
        </w:tc>
        <w:tc>
          <w:tcPr>
            <w:tcW w:w="2984" w:type="pct"/>
            <w:shd w:val="clear" w:color="auto" w:fill="FFFFFF"/>
          </w:tcPr>
          <w:p w:rsidR="002827C4" w:rsidRPr="00DB0547" w:rsidRDefault="002827C4" w:rsidP="002827C4">
            <w:pPr>
              <w:suppressAutoHyphens/>
              <w:overflowPunct w:val="0"/>
              <w:autoSpaceDE w:val="0"/>
              <w:autoSpaceDN w:val="0"/>
              <w:adjustRightInd w:val="0"/>
              <w:snapToGrid w:val="0"/>
              <w:spacing w:after="120" w:line="100" w:lineRule="atLeast"/>
              <w:jc w:val="both"/>
              <w:textAlignment w:val="baseline"/>
              <w:rPr>
                <w:rFonts w:asciiTheme="minorHAnsi" w:hAnsiTheme="minorHAnsi"/>
                <w:i w:val="0"/>
                <w:noProof/>
                <w:color w:val="000000"/>
              </w:rPr>
            </w:pPr>
            <w:r>
              <w:rPr>
                <w:rFonts w:ascii="Times New Roman Bold" w:hAnsi="Times New Roman Bold"/>
                <w:i w:val="0"/>
                <w:color w:val="000000"/>
              </w:rPr>
              <w:lastRenderedPageBreak/>
              <w:t>1. Szkolenia budujące potencjał władz państwowych do wdrażania Planów Gospodarowania Zlewniami, Ramowej Dyrektywy Wodnej UE oraz Konwencji Wodnej.</w:t>
            </w:r>
          </w:p>
          <w:p w:rsidR="002827C4" w:rsidRPr="00DB0547" w:rsidRDefault="002827C4" w:rsidP="002827C4">
            <w:pPr>
              <w:suppressAutoHyphens/>
              <w:overflowPunct w:val="0"/>
              <w:autoSpaceDE w:val="0"/>
              <w:autoSpaceDN w:val="0"/>
              <w:adjustRightInd w:val="0"/>
              <w:snapToGrid w:val="0"/>
              <w:spacing w:after="120" w:line="100" w:lineRule="atLeast"/>
              <w:jc w:val="both"/>
              <w:textAlignment w:val="baseline"/>
              <w:rPr>
                <w:rFonts w:ascii="Times New Roman Bold" w:hAnsi="Times New Roman Bold"/>
                <w:i w:val="0"/>
                <w:noProof/>
                <w:color w:val="000000"/>
              </w:rPr>
            </w:pPr>
            <w:r>
              <w:rPr>
                <w:rFonts w:ascii="Times New Roman Bold" w:hAnsi="Times New Roman Bold"/>
                <w:i w:val="0"/>
                <w:color w:val="000000"/>
              </w:rPr>
              <w:t>2. Warsztaty służące wymianie doświadczeń i koordynacji wspólnych działań przedstawicieli władz Ukrainy i Polski.</w:t>
            </w:r>
          </w:p>
          <w:p w:rsidR="00E72415" w:rsidRPr="00DB0547" w:rsidRDefault="002827C4" w:rsidP="00E72415">
            <w:pPr>
              <w:suppressAutoHyphens/>
              <w:overflowPunct w:val="0"/>
              <w:autoSpaceDE w:val="0"/>
              <w:autoSpaceDN w:val="0"/>
              <w:adjustRightInd w:val="0"/>
              <w:snapToGrid w:val="0"/>
              <w:spacing w:after="120" w:line="100" w:lineRule="atLeast"/>
              <w:jc w:val="both"/>
              <w:textAlignment w:val="baseline"/>
              <w:rPr>
                <w:rFonts w:asciiTheme="minorHAnsi" w:hAnsiTheme="minorHAnsi"/>
                <w:i w:val="0"/>
                <w:noProof/>
                <w:color w:val="000000"/>
              </w:rPr>
            </w:pPr>
            <w:r>
              <w:rPr>
                <w:rFonts w:ascii="Times New Roman Bold" w:hAnsi="Times New Roman Bold"/>
                <w:i w:val="0"/>
                <w:color w:val="000000"/>
              </w:rPr>
              <w:t>3. Krajowe dialogi międzyrządowe (ukraińsko-polskie) na temat wspólnego gospodarowania zlewnią rzeki Bug (raz do roku)</w:t>
            </w:r>
          </w:p>
          <w:p w:rsidR="004E0D93" w:rsidRPr="00DB0547" w:rsidRDefault="004E0D93" w:rsidP="004E0D93">
            <w:pPr>
              <w:suppressAutoHyphens/>
              <w:overflowPunct w:val="0"/>
              <w:autoSpaceDE w:val="0"/>
              <w:autoSpaceDN w:val="0"/>
              <w:adjustRightInd w:val="0"/>
              <w:snapToGrid w:val="0"/>
              <w:spacing w:after="120" w:line="100" w:lineRule="atLeast"/>
              <w:jc w:val="both"/>
              <w:textAlignment w:val="baseline"/>
              <w:rPr>
                <w:rFonts w:asciiTheme="minorHAnsi" w:hAnsiTheme="minorHAnsi"/>
                <w:i w:val="0"/>
                <w:noProof/>
                <w:color w:val="000000"/>
              </w:rPr>
            </w:pPr>
            <w:r>
              <w:rPr>
                <w:i w:val="0"/>
                <w:color w:val="000000"/>
              </w:rPr>
              <w:t>4.</w:t>
            </w:r>
            <w:r>
              <w:rPr>
                <w:rFonts w:asciiTheme="minorHAnsi" w:hAnsiTheme="minorHAnsi"/>
                <w:i w:val="0"/>
                <w:color w:val="000000"/>
              </w:rPr>
              <w:t xml:space="preserve"> </w:t>
            </w:r>
            <w:r>
              <w:rPr>
                <w:rFonts w:ascii="Times New Roman Bold" w:hAnsi="Times New Roman Bold"/>
                <w:i w:val="0"/>
                <w:color w:val="000000"/>
              </w:rPr>
              <w:t>Kompleksowy udział społeczeństwa i strategia komunikacji/podnoszenie wiedzy oraz podejście z uwzględnianiem aspektu równości wraz z realizacją wybranych działań.</w:t>
            </w:r>
          </w:p>
          <w:p w:rsidR="004E0D93" w:rsidRPr="00DB0547" w:rsidRDefault="004E0D93" w:rsidP="004E0D93">
            <w:pPr>
              <w:suppressAutoHyphens/>
              <w:overflowPunct w:val="0"/>
              <w:autoSpaceDE w:val="0"/>
              <w:autoSpaceDN w:val="0"/>
              <w:adjustRightInd w:val="0"/>
              <w:snapToGrid w:val="0"/>
              <w:spacing w:after="120" w:line="100" w:lineRule="atLeast"/>
              <w:jc w:val="both"/>
              <w:textAlignment w:val="baseline"/>
              <w:rPr>
                <w:rFonts w:ascii="Times New Roman Bold" w:hAnsi="Times New Roman Bold"/>
                <w:i w:val="0"/>
                <w:noProof/>
                <w:color w:val="000000"/>
              </w:rPr>
            </w:pPr>
            <w:r>
              <w:rPr>
                <w:i w:val="0"/>
                <w:color w:val="000000"/>
              </w:rPr>
              <w:t>5.</w:t>
            </w:r>
            <w:r>
              <w:rPr>
                <w:rFonts w:asciiTheme="minorHAnsi" w:hAnsiTheme="minorHAnsi"/>
                <w:i w:val="0"/>
                <w:color w:val="000000"/>
              </w:rPr>
              <w:t xml:space="preserve"> </w:t>
            </w:r>
            <w:r>
              <w:rPr>
                <w:rFonts w:ascii="Times New Roman Bold" w:hAnsi="Times New Roman Bold"/>
                <w:i w:val="0"/>
                <w:color w:val="000000"/>
              </w:rPr>
              <w:t>Zapewnienie pracy rad zlewniowych.</w:t>
            </w:r>
          </w:p>
          <w:p w:rsidR="00E72415" w:rsidRPr="00DB0547" w:rsidRDefault="00E72415" w:rsidP="00E72415">
            <w:pPr>
              <w:suppressAutoHyphens/>
              <w:overflowPunct w:val="0"/>
              <w:autoSpaceDE w:val="0"/>
              <w:autoSpaceDN w:val="0"/>
              <w:adjustRightInd w:val="0"/>
              <w:snapToGrid w:val="0"/>
              <w:spacing w:after="120" w:line="100" w:lineRule="atLeast"/>
              <w:jc w:val="both"/>
              <w:textAlignment w:val="baseline"/>
              <w:rPr>
                <w:rFonts w:asciiTheme="minorHAnsi" w:hAnsiTheme="minorHAnsi"/>
                <w:i w:val="0"/>
                <w:noProof/>
                <w:color w:val="000000"/>
              </w:rPr>
            </w:pPr>
            <w:r>
              <w:rPr>
                <w:i w:val="0"/>
                <w:color w:val="000000"/>
              </w:rPr>
              <w:t>6.</w:t>
            </w:r>
            <w:r>
              <w:rPr>
                <w:rFonts w:ascii="Times New Roman Bold" w:hAnsi="Times New Roman Bold"/>
                <w:i w:val="0"/>
                <w:color w:val="000000"/>
              </w:rPr>
              <w:t xml:space="preserve"> Wsparcie obchodów Międzynarodowego Dnia Bugu oraz konkursu „Malownicze rzeki Bug i San”.</w:t>
            </w:r>
          </w:p>
          <w:p w:rsidR="00E72415" w:rsidRPr="00DB0547" w:rsidRDefault="00E72415" w:rsidP="00E72415">
            <w:pPr>
              <w:suppressAutoHyphens/>
              <w:overflowPunct w:val="0"/>
              <w:autoSpaceDE w:val="0"/>
              <w:autoSpaceDN w:val="0"/>
              <w:adjustRightInd w:val="0"/>
              <w:snapToGrid w:val="0"/>
              <w:spacing w:after="120" w:line="100" w:lineRule="atLeast"/>
              <w:jc w:val="both"/>
              <w:textAlignment w:val="baseline"/>
              <w:rPr>
                <w:rFonts w:asciiTheme="minorHAnsi" w:hAnsiTheme="minorHAnsi"/>
                <w:i w:val="0"/>
                <w:noProof/>
                <w:color w:val="000000"/>
              </w:rPr>
            </w:pPr>
            <w:r>
              <w:rPr>
                <w:i w:val="0"/>
                <w:color w:val="000000"/>
              </w:rPr>
              <w:t>7.</w:t>
            </w:r>
            <w:r>
              <w:rPr>
                <w:rFonts w:asciiTheme="minorHAnsi" w:hAnsiTheme="minorHAnsi"/>
                <w:i w:val="0"/>
                <w:color w:val="000000"/>
              </w:rPr>
              <w:t xml:space="preserve"> </w:t>
            </w:r>
            <w:r>
              <w:rPr>
                <w:rFonts w:ascii="Times New Roman Bold" w:hAnsi="Times New Roman Bold"/>
                <w:i w:val="0"/>
                <w:color w:val="000000"/>
              </w:rPr>
              <w:t xml:space="preserve">Materiały informacyjne (filmy, zdjęcia, infografiki i animacje) na </w:t>
            </w:r>
            <w:r>
              <w:rPr>
                <w:rFonts w:ascii="Times New Roman Bold" w:hAnsi="Times New Roman Bold"/>
                <w:i w:val="0"/>
                <w:color w:val="000000"/>
              </w:rPr>
              <w:lastRenderedPageBreak/>
              <w:t>potrzeby edukacji ekologicznej.</w:t>
            </w:r>
          </w:p>
          <w:p w:rsidR="00B44D64" w:rsidRPr="00DB0547" w:rsidRDefault="00E72415" w:rsidP="00E72415">
            <w:pPr>
              <w:suppressAutoHyphens/>
              <w:overflowPunct w:val="0"/>
              <w:autoSpaceDE w:val="0"/>
              <w:autoSpaceDN w:val="0"/>
              <w:adjustRightInd w:val="0"/>
              <w:snapToGrid w:val="0"/>
              <w:spacing w:after="120" w:line="100" w:lineRule="atLeast"/>
              <w:jc w:val="both"/>
              <w:textAlignment w:val="baseline"/>
              <w:rPr>
                <w:rFonts w:ascii="Times New Roman Bold" w:hAnsi="Times New Roman Bold"/>
                <w:i w:val="0"/>
                <w:noProof/>
                <w:color w:val="000000"/>
              </w:rPr>
            </w:pPr>
            <w:r>
              <w:rPr>
                <w:rFonts w:ascii="Times New Roman Bold" w:hAnsi="Times New Roman Bold"/>
                <w:i w:val="0"/>
                <w:color w:val="000000"/>
              </w:rPr>
              <w:t>8. Strona internetowa prezentująca działania w ramach projektu.</w:t>
            </w:r>
          </w:p>
        </w:tc>
      </w:tr>
      <w:tr w:rsidR="00B44D64" w:rsidRPr="00DB0547" w:rsidTr="00B44D64">
        <w:trPr>
          <w:gridAfter w:val="1"/>
          <w:wAfter w:w="17" w:type="pct"/>
          <w:jc w:val="center"/>
        </w:trPr>
        <w:tc>
          <w:tcPr>
            <w:tcW w:w="1008" w:type="pct"/>
            <w:tcBorders>
              <w:bottom w:val="single" w:sz="4" w:space="0" w:color="auto"/>
            </w:tcBorders>
            <w:shd w:val="clear" w:color="auto" w:fill="FFFFFF"/>
          </w:tcPr>
          <w:p w:rsidR="008D1E1A" w:rsidRPr="00DB0547" w:rsidRDefault="008D1E1A" w:rsidP="008D1E1A">
            <w:pPr>
              <w:rPr>
                <w:b/>
                <w:i w:val="0"/>
                <w:color w:val="000000"/>
              </w:rPr>
            </w:pPr>
            <w:r>
              <w:rPr>
                <w:b/>
                <w:i w:val="0"/>
                <w:color w:val="000000"/>
              </w:rPr>
              <w:lastRenderedPageBreak/>
              <w:t>Komponent 3.</w:t>
            </w:r>
          </w:p>
          <w:p w:rsidR="00B44D64" w:rsidRPr="00DB0547" w:rsidRDefault="008D1E1A" w:rsidP="008D1E1A">
            <w:pPr>
              <w:rPr>
                <w:i w:val="0"/>
                <w:color w:val="000000"/>
              </w:rPr>
            </w:pPr>
            <w:r>
              <w:rPr>
                <w:i w:val="0"/>
                <w:color w:val="000000"/>
              </w:rPr>
              <w:t>Poprawa monitoringu wód i zarządzania informacją w zlewni rzeki Bug</w:t>
            </w:r>
          </w:p>
        </w:tc>
        <w:tc>
          <w:tcPr>
            <w:tcW w:w="991" w:type="pct"/>
            <w:shd w:val="clear" w:color="auto" w:fill="FFFFFF"/>
          </w:tcPr>
          <w:p w:rsidR="00CE2FCE" w:rsidRPr="00DB0547" w:rsidRDefault="00CE2FCE" w:rsidP="00CE2FCE">
            <w:pPr>
              <w:rPr>
                <w:i w:val="0"/>
              </w:rPr>
            </w:pPr>
            <w:r>
              <w:rPr>
                <w:b/>
                <w:i w:val="0"/>
              </w:rPr>
              <w:t xml:space="preserve">Wynik 1. </w:t>
            </w:r>
            <w:r>
              <w:rPr>
                <w:i w:val="0"/>
              </w:rPr>
              <w:t>Zwiększenie zdolność do zapewnienia monitoringu w zlewni oraz częściowa realizacja skoordynowanego programu monitoringu i wymiany informacji</w:t>
            </w:r>
          </w:p>
          <w:p w:rsidR="00CE2FCE" w:rsidRPr="00DB0547" w:rsidRDefault="00CE2FCE" w:rsidP="00CE2FCE">
            <w:pPr>
              <w:rPr>
                <w:b/>
                <w:i w:val="0"/>
              </w:rPr>
            </w:pPr>
            <w:r>
              <w:rPr>
                <w:b/>
                <w:i w:val="0"/>
              </w:rPr>
              <w:t xml:space="preserve">Wynik 2. </w:t>
            </w:r>
            <w:r>
              <w:rPr>
                <w:i w:val="0"/>
              </w:rPr>
              <w:t>Poprawa monitoringu priorytetowych substancji niebezpiecznych zgodnie z Ramową Dyrektywą Wodną.</w:t>
            </w:r>
          </w:p>
          <w:p w:rsidR="00B44D64" w:rsidRPr="00DB0547" w:rsidRDefault="00CE2FCE" w:rsidP="00CE2FCE">
            <w:pPr>
              <w:rPr>
                <w:i w:val="0"/>
                <w:color w:val="000000"/>
              </w:rPr>
            </w:pPr>
            <w:r>
              <w:rPr>
                <w:b/>
                <w:i w:val="0"/>
              </w:rPr>
              <w:t xml:space="preserve">Wynik 3. </w:t>
            </w:r>
            <w:r>
              <w:rPr>
                <w:i w:val="0"/>
              </w:rPr>
              <w:t>Uzupełnienie ogólnej myśli naukowej w celu podejmowania decyzji w zlewni rzeki Bug</w:t>
            </w:r>
          </w:p>
        </w:tc>
        <w:tc>
          <w:tcPr>
            <w:tcW w:w="2984" w:type="pct"/>
            <w:shd w:val="clear" w:color="auto" w:fill="FFFFFF"/>
          </w:tcPr>
          <w:p w:rsidR="00687173" w:rsidRPr="00DB0547" w:rsidRDefault="00687173" w:rsidP="00687173">
            <w:pPr>
              <w:suppressAutoHyphens/>
              <w:overflowPunct w:val="0"/>
              <w:autoSpaceDE w:val="0"/>
              <w:autoSpaceDN w:val="0"/>
              <w:adjustRightInd w:val="0"/>
              <w:snapToGrid w:val="0"/>
              <w:spacing w:after="120" w:line="100" w:lineRule="atLeast"/>
              <w:ind w:left="75"/>
              <w:jc w:val="both"/>
              <w:textAlignment w:val="baseline"/>
              <w:rPr>
                <w:rFonts w:asciiTheme="minorHAnsi" w:hAnsiTheme="minorHAnsi"/>
                <w:bCs/>
                <w:i w:val="0"/>
                <w:noProof/>
                <w:color w:val="000000"/>
              </w:rPr>
            </w:pPr>
            <w:r>
              <w:rPr>
                <w:rFonts w:ascii="Times New Roman Bold" w:hAnsi="Times New Roman Bold"/>
                <w:bCs/>
                <w:i w:val="0"/>
                <w:color w:val="000000"/>
              </w:rPr>
              <w:t>Badanie przesiewowe próbek wody, bioty oraz osadów dennych w celu wykrycia określonych zanieczyszczeń. Znalezione wskaźniki zostaną zaproponowane do stałego monitoringu i ustalania limitów w pozwoleniach wodnych.</w:t>
            </w:r>
          </w:p>
          <w:p w:rsidR="00687173" w:rsidRPr="00DB0547" w:rsidRDefault="00687173" w:rsidP="00687173">
            <w:pPr>
              <w:suppressAutoHyphens/>
              <w:overflowPunct w:val="0"/>
              <w:autoSpaceDE w:val="0"/>
              <w:autoSpaceDN w:val="0"/>
              <w:adjustRightInd w:val="0"/>
              <w:snapToGrid w:val="0"/>
              <w:spacing w:after="120" w:line="100" w:lineRule="atLeast"/>
              <w:ind w:left="75"/>
              <w:jc w:val="both"/>
              <w:textAlignment w:val="baseline"/>
              <w:rPr>
                <w:rFonts w:ascii="Times New Roman Bold" w:hAnsi="Times New Roman Bold"/>
                <w:bCs/>
                <w:i w:val="0"/>
                <w:noProof/>
                <w:color w:val="000000"/>
              </w:rPr>
            </w:pPr>
            <w:r>
              <w:rPr>
                <w:rFonts w:ascii="Times New Roman Bold" w:hAnsi="Times New Roman Bold"/>
                <w:bCs/>
                <w:i w:val="0"/>
                <w:color w:val="000000"/>
              </w:rPr>
              <w:t>Szkolenia, wspólne pobieranie próbek terenowych, ćwiczenia interkalibracyjne w celu doskonalenia umiejętności monitorowania hydrologicznego, biologicznego i hydromorfologicznego.</w:t>
            </w:r>
          </w:p>
          <w:p w:rsidR="00687173" w:rsidRPr="00DB0547" w:rsidRDefault="00687173" w:rsidP="00687173">
            <w:pPr>
              <w:suppressAutoHyphens/>
              <w:overflowPunct w:val="0"/>
              <w:autoSpaceDE w:val="0"/>
              <w:autoSpaceDN w:val="0"/>
              <w:adjustRightInd w:val="0"/>
              <w:snapToGrid w:val="0"/>
              <w:spacing w:after="120" w:line="100" w:lineRule="atLeast"/>
              <w:ind w:left="75"/>
              <w:jc w:val="both"/>
              <w:textAlignment w:val="baseline"/>
              <w:rPr>
                <w:rFonts w:ascii="Times New Roman Bold" w:hAnsi="Times New Roman Bold"/>
                <w:bCs/>
                <w:i w:val="0"/>
                <w:noProof/>
                <w:color w:val="000000"/>
              </w:rPr>
            </w:pPr>
            <w:r>
              <w:rPr>
                <w:rFonts w:ascii="Times New Roman Bold" w:hAnsi="Times New Roman Bold"/>
                <w:bCs/>
                <w:i w:val="0"/>
                <w:color w:val="000000"/>
              </w:rPr>
              <w:t>Zalecenia dotyczące usprawnienia monitoringu priorytetowych substancji niebezpiecznych (wg Ramowej Dyrektywy Wodnej) w wodzie (pestycydy, wielopierścieniowe węglowodory aromatyczne i metale ciężkie), oznaczanie stężeń metali w analizie stanu chemicznego wód.</w:t>
            </w:r>
          </w:p>
          <w:p w:rsidR="00B44D64" w:rsidRPr="00DB0547" w:rsidRDefault="00687173" w:rsidP="00687173">
            <w:pPr>
              <w:suppressAutoHyphens/>
              <w:overflowPunct w:val="0"/>
              <w:autoSpaceDE w:val="0"/>
              <w:autoSpaceDN w:val="0"/>
              <w:adjustRightInd w:val="0"/>
              <w:snapToGrid w:val="0"/>
              <w:spacing w:after="120" w:line="100" w:lineRule="atLeast"/>
              <w:ind w:left="75"/>
              <w:jc w:val="both"/>
              <w:textAlignment w:val="baseline"/>
              <w:rPr>
                <w:rFonts w:ascii="Times New Roman Bold" w:hAnsi="Times New Roman Bold"/>
                <w:i w:val="0"/>
                <w:noProof/>
                <w:color w:val="000000"/>
              </w:rPr>
            </w:pPr>
            <w:r>
              <w:rPr>
                <w:rFonts w:ascii="Times New Roman Bold" w:hAnsi="Times New Roman Bold"/>
                <w:bCs/>
                <w:i w:val="0"/>
                <w:color w:val="000000"/>
              </w:rPr>
              <w:t>Badania zawartości mikroplastików w wodzie (na obszarze przygranicznym i w zbiornikach miejskich).</w:t>
            </w:r>
          </w:p>
        </w:tc>
      </w:tr>
    </w:tbl>
    <w:p w:rsidR="00B44D64" w:rsidRPr="00DB0547" w:rsidRDefault="00B44D64" w:rsidP="00FA01FF">
      <w:pPr>
        <w:tabs>
          <w:tab w:val="left" w:pos="284"/>
        </w:tabs>
        <w:ind w:firstLine="567"/>
        <w:jc w:val="center"/>
        <w:rPr>
          <w:bCs/>
          <w:i w:val="0"/>
          <w:sz w:val="28"/>
          <w:szCs w:val="28"/>
          <w:lang w:val="uk-UA"/>
        </w:rPr>
      </w:pPr>
    </w:p>
    <w:sectPr w:rsidR="00B44D64" w:rsidRPr="00DB0547" w:rsidSect="009E57AE">
      <w:headerReference w:type="default" r:id="rId8"/>
      <w:footerReference w:type="default" r:id="rId9"/>
      <w:pgSz w:w="11906" w:h="16838"/>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77C0" w:rsidRDefault="009A77C0" w:rsidP="00BA5FCA">
      <w:r>
        <w:separator/>
      </w:r>
    </w:p>
  </w:endnote>
  <w:endnote w:type="continuationSeparator" w:id="0">
    <w:p w:rsidR="009A77C0" w:rsidRDefault="009A77C0" w:rsidP="00BA5F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33305661"/>
      <w:docPartObj>
        <w:docPartGallery w:val="Page Numbers (Bottom of Page)"/>
        <w:docPartUnique/>
      </w:docPartObj>
    </w:sdtPr>
    <w:sdtContent>
      <w:p w:rsidR="009E57AE" w:rsidRDefault="009E57AE">
        <w:pPr>
          <w:pStyle w:val="Stopka"/>
          <w:jc w:val="right"/>
        </w:pPr>
        <w:r>
          <w:fldChar w:fldCharType="begin"/>
        </w:r>
        <w:r>
          <w:instrText>PAGE   \* MERGEFORMAT</w:instrText>
        </w:r>
        <w:r>
          <w:fldChar w:fldCharType="separate"/>
        </w:r>
        <w:r>
          <w:rPr>
            <w:noProof/>
          </w:rPr>
          <w:t>1</w:t>
        </w:r>
        <w:r>
          <w:fldChar w:fldCharType="end"/>
        </w:r>
      </w:p>
    </w:sdtContent>
  </w:sdt>
  <w:p w:rsidR="00493DBB" w:rsidRPr="00493DBB" w:rsidRDefault="00493DBB" w:rsidP="00493DBB">
    <w:pPr>
      <w:pStyle w:val="Stopka"/>
      <w:jc w:val="center"/>
      <w:rPr>
        <w:i w:val="0"/>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77C0" w:rsidRDefault="009A77C0" w:rsidP="00BA5FCA">
      <w:r>
        <w:separator/>
      </w:r>
    </w:p>
  </w:footnote>
  <w:footnote w:type="continuationSeparator" w:id="0">
    <w:p w:rsidR="009A77C0" w:rsidRDefault="009A77C0" w:rsidP="00BA5F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50F8" w:rsidRPr="009E50F8" w:rsidRDefault="009E50F8">
    <w:pPr>
      <w:pStyle w:val="Nagwek"/>
      <w:jc w:val="right"/>
      <w:rPr>
        <w:i w:val="0"/>
        <w:iCs/>
        <w:sz w:val="20"/>
        <w:szCs w:val="20"/>
      </w:rPr>
    </w:pPr>
  </w:p>
  <w:p w:rsidR="00441BD5" w:rsidRDefault="00441BD5">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86693"/>
    <w:multiLevelType w:val="hybridMultilevel"/>
    <w:tmpl w:val="BE6CB134"/>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4C6A06CC">
      <w:start w:val="10"/>
      <w:numFmt w:val="bullet"/>
      <w:lvlText w:val="-"/>
      <w:lvlJc w:val="left"/>
      <w:pPr>
        <w:ind w:left="2727" w:hanging="360"/>
      </w:pPr>
      <w:rPr>
        <w:rFonts w:ascii="Times New Roman" w:eastAsiaTheme="minorHAnsi" w:hAnsi="Times New Roman" w:cs="Times New Roman"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025239AF"/>
    <w:multiLevelType w:val="multilevel"/>
    <w:tmpl w:val="589600C0"/>
    <w:lvl w:ilvl="0">
      <w:start w:val="1"/>
      <w:numFmt w:val="decimal"/>
      <w:lvlText w:val="%1)"/>
      <w:lvlJc w:val="left"/>
      <w:pPr>
        <w:ind w:left="360" w:hanging="360"/>
      </w:pPr>
      <w:rPr>
        <w:lang w:val="ru-RU"/>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78B7F0E"/>
    <w:multiLevelType w:val="hybridMultilevel"/>
    <w:tmpl w:val="2B5A7832"/>
    <w:lvl w:ilvl="0" w:tplc="60C2876C">
      <w:start w:val="1"/>
      <w:numFmt w:val="bullet"/>
      <w:lvlText w:val="-"/>
      <w:lvlJc w:val="left"/>
      <w:pPr>
        <w:ind w:left="1080" w:hanging="360"/>
      </w:pPr>
      <w:rPr>
        <w:rFonts w:ascii="Times New Roman" w:eastAsia="Calibri" w:hAnsi="Times New Roman" w:cs="Times New Roman" w:hint="default"/>
        <w:b w:val="0"/>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15:restartNumberingAfterBreak="0">
    <w:nsid w:val="097F7780"/>
    <w:multiLevelType w:val="hybridMultilevel"/>
    <w:tmpl w:val="03F8BDB4"/>
    <w:lvl w:ilvl="0" w:tplc="EC22673C">
      <w:start w:val="1"/>
      <w:numFmt w:val="decimal"/>
      <w:lvlText w:val="%1."/>
      <w:lvlJc w:val="left"/>
      <w:pPr>
        <w:ind w:left="293" w:hanging="360"/>
      </w:pPr>
      <w:rPr>
        <w:rFonts w:hint="default"/>
      </w:rPr>
    </w:lvl>
    <w:lvl w:ilvl="1" w:tplc="04220019" w:tentative="1">
      <w:start w:val="1"/>
      <w:numFmt w:val="lowerLetter"/>
      <w:lvlText w:val="%2."/>
      <w:lvlJc w:val="left"/>
      <w:pPr>
        <w:ind w:left="1013" w:hanging="360"/>
      </w:pPr>
    </w:lvl>
    <w:lvl w:ilvl="2" w:tplc="0422001B" w:tentative="1">
      <w:start w:val="1"/>
      <w:numFmt w:val="lowerRoman"/>
      <w:lvlText w:val="%3."/>
      <w:lvlJc w:val="right"/>
      <w:pPr>
        <w:ind w:left="1733" w:hanging="180"/>
      </w:pPr>
    </w:lvl>
    <w:lvl w:ilvl="3" w:tplc="0422000F" w:tentative="1">
      <w:start w:val="1"/>
      <w:numFmt w:val="decimal"/>
      <w:lvlText w:val="%4."/>
      <w:lvlJc w:val="left"/>
      <w:pPr>
        <w:ind w:left="2453" w:hanging="360"/>
      </w:pPr>
    </w:lvl>
    <w:lvl w:ilvl="4" w:tplc="04220019" w:tentative="1">
      <w:start w:val="1"/>
      <w:numFmt w:val="lowerLetter"/>
      <w:lvlText w:val="%5."/>
      <w:lvlJc w:val="left"/>
      <w:pPr>
        <w:ind w:left="3173" w:hanging="360"/>
      </w:pPr>
    </w:lvl>
    <w:lvl w:ilvl="5" w:tplc="0422001B" w:tentative="1">
      <w:start w:val="1"/>
      <w:numFmt w:val="lowerRoman"/>
      <w:lvlText w:val="%6."/>
      <w:lvlJc w:val="right"/>
      <w:pPr>
        <w:ind w:left="3893" w:hanging="180"/>
      </w:pPr>
    </w:lvl>
    <w:lvl w:ilvl="6" w:tplc="0422000F" w:tentative="1">
      <w:start w:val="1"/>
      <w:numFmt w:val="decimal"/>
      <w:lvlText w:val="%7."/>
      <w:lvlJc w:val="left"/>
      <w:pPr>
        <w:ind w:left="4613" w:hanging="360"/>
      </w:pPr>
    </w:lvl>
    <w:lvl w:ilvl="7" w:tplc="04220019" w:tentative="1">
      <w:start w:val="1"/>
      <w:numFmt w:val="lowerLetter"/>
      <w:lvlText w:val="%8."/>
      <w:lvlJc w:val="left"/>
      <w:pPr>
        <w:ind w:left="5333" w:hanging="360"/>
      </w:pPr>
    </w:lvl>
    <w:lvl w:ilvl="8" w:tplc="0422001B" w:tentative="1">
      <w:start w:val="1"/>
      <w:numFmt w:val="lowerRoman"/>
      <w:lvlText w:val="%9."/>
      <w:lvlJc w:val="right"/>
      <w:pPr>
        <w:ind w:left="6053" w:hanging="180"/>
      </w:pPr>
    </w:lvl>
  </w:abstractNum>
  <w:abstractNum w:abstractNumId="4" w15:restartNumberingAfterBreak="0">
    <w:nsid w:val="0C8E6501"/>
    <w:multiLevelType w:val="hybridMultilevel"/>
    <w:tmpl w:val="72686EF6"/>
    <w:lvl w:ilvl="0" w:tplc="E7C27936">
      <w:start w:val="26"/>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5" w15:restartNumberingAfterBreak="0">
    <w:nsid w:val="118142EC"/>
    <w:multiLevelType w:val="hybridMultilevel"/>
    <w:tmpl w:val="278CADFC"/>
    <w:lvl w:ilvl="0" w:tplc="04190003">
      <w:start w:val="1"/>
      <w:numFmt w:val="bullet"/>
      <w:lvlText w:val="o"/>
      <w:lvlJc w:val="left"/>
      <w:pPr>
        <w:ind w:left="1146" w:hanging="360"/>
      </w:pPr>
      <w:rPr>
        <w:rFonts w:ascii="Courier New" w:hAnsi="Courier New" w:cs="Courier New"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6" w15:restartNumberingAfterBreak="0">
    <w:nsid w:val="12B00D84"/>
    <w:multiLevelType w:val="hybridMultilevel"/>
    <w:tmpl w:val="B36A8A8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3566D68"/>
    <w:multiLevelType w:val="hybridMultilevel"/>
    <w:tmpl w:val="1BD0465C"/>
    <w:lvl w:ilvl="0" w:tplc="4C6A06CC">
      <w:start w:val="10"/>
      <w:numFmt w:val="bullet"/>
      <w:lvlText w:val="-"/>
      <w:lvlJc w:val="left"/>
      <w:pPr>
        <w:ind w:left="1440" w:hanging="360"/>
      </w:pPr>
      <w:rPr>
        <w:rFonts w:ascii="Times New Roman" w:eastAsiaTheme="minorHAnsi"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15:restartNumberingAfterBreak="0">
    <w:nsid w:val="1DDC2F9D"/>
    <w:multiLevelType w:val="hybridMultilevel"/>
    <w:tmpl w:val="99827F5E"/>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21643DF4"/>
    <w:multiLevelType w:val="hybridMultilevel"/>
    <w:tmpl w:val="48C629A0"/>
    <w:lvl w:ilvl="0" w:tplc="04190001">
      <w:start w:val="1"/>
      <w:numFmt w:val="bullet"/>
      <w:lvlText w:val=""/>
      <w:lvlJc w:val="left"/>
      <w:pPr>
        <w:ind w:left="1287" w:hanging="360"/>
      </w:pPr>
      <w:rPr>
        <w:rFonts w:ascii="Symbol" w:hAnsi="Symbol" w:hint="default"/>
      </w:rPr>
    </w:lvl>
    <w:lvl w:ilvl="1" w:tplc="04190001">
      <w:start w:val="1"/>
      <w:numFmt w:val="bullet"/>
      <w:lvlText w:val=""/>
      <w:lvlJc w:val="left"/>
      <w:pPr>
        <w:ind w:left="2007" w:hanging="360"/>
      </w:pPr>
      <w:rPr>
        <w:rFonts w:ascii="Symbol" w:hAnsi="Symbol" w:hint="default"/>
      </w:rPr>
    </w:lvl>
    <w:lvl w:ilvl="2" w:tplc="4C6A06CC">
      <w:start w:val="10"/>
      <w:numFmt w:val="bullet"/>
      <w:lvlText w:val="-"/>
      <w:lvlJc w:val="left"/>
      <w:pPr>
        <w:ind w:left="2727" w:hanging="360"/>
      </w:pPr>
      <w:rPr>
        <w:rFonts w:ascii="Times New Roman" w:eastAsiaTheme="minorHAnsi" w:hAnsi="Times New Roman" w:cs="Times New Roman"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21FC0C25"/>
    <w:multiLevelType w:val="hybridMultilevel"/>
    <w:tmpl w:val="2732FFBE"/>
    <w:lvl w:ilvl="0" w:tplc="4C6A06CC">
      <w:start w:val="10"/>
      <w:numFmt w:val="bullet"/>
      <w:lvlText w:val="-"/>
      <w:lvlJc w:val="left"/>
      <w:pPr>
        <w:ind w:left="1287" w:hanging="360"/>
      </w:pPr>
      <w:rPr>
        <w:rFonts w:ascii="Times New Roman" w:eastAsiaTheme="minorHAnsi" w:hAnsi="Times New Roman" w:cs="Times New Roman" w:hint="default"/>
      </w:rPr>
    </w:lvl>
    <w:lvl w:ilvl="1" w:tplc="04190001">
      <w:start w:val="1"/>
      <w:numFmt w:val="bullet"/>
      <w:lvlText w:val=""/>
      <w:lvlJc w:val="left"/>
      <w:pPr>
        <w:ind w:left="2007" w:hanging="360"/>
      </w:pPr>
      <w:rPr>
        <w:rFonts w:ascii="Symbol" w:hAnsi="Symbol" w:hint="default"/>
      </w:rPr>
    </w:lvl>
    <w:lvl w:ilvl="2" w:tplc="4C6A06CC">
      <w:start w:val="10"/>
      <w:numFmt w:val="bullet"/>
      <w:lvlText w:val="-"/>
      <w:lvlJc w:val="left"/>
      <w:pPr>
        <w:ind w:left="2727" w:hanging="360"/>
      </w:pPr>
      <w:rPr>
        <w:rFonts w:ascii="Times New Roman" w:eastAsiaTheme="minorHAnsi" w:hAnsi="Times New Roman" w:cs="Times New Roman"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27383B61"/>
    <w:multiLevelType w:val="hybridMultilevel"/>
    <w:tmpl w:val="908828D8"/>
    <w:lvl w:ilvl="0" w:tplc="04190003">
      <w:start w:val="1"/>
      <w:numFmt w:val="bullet"/>
      <w:lvlText w:val="o"/>
      <w:lvlJc w:val="left"/>
      <w:pPr>
        <w:ind w:left="1428" w:hanging="360"/>
      </w:pPr>
      <w:rPr>
        <w:rFonts w:ascii="Courier New" w:hAnsi="Courier New" w:cs="Courier New"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 w15:restartNumberingAfterBreak="0">
    <w:nsid w:val="2C4054B8"/>
    <w:multiLevelType w:val="hybridMultilevel"/>
    <w:tmpl w:val="A004437C"/>
    <w:lvl w:ilvl="0" w:tplc="1268A6DA">
      <w:start w:val="29"/>
      <w:numFmt w:val="bullet"/>
      <w:lvlText w:val="-"/>
      <w:lvlJc w:val="left"/>
      <w:pPr>
        <w:ind w:left="1287" w:hanging="360"/>
      </w:pPr>
      <w:rPr>
        <w:rFonts w:ascii="Times New Roman" w:eastAsiaTheme="minorHAnsi"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317D337F"/>
    <w:multiLevelType w:val="hybridMultilevel"/>
    <w:tmpl w:val="ADBA4FDE"/>
    <w:lvl w:ilvl="0" w:tplc="0419000D">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4" w15:restartNumberingAfterBreak="0">
    <w:nsid w:val="352921A0"/>
    <w:multiLevelType w:val="hybridMultilevel"/>
    <w:tmpl w:val="D32856F2"/>
    <w:lvl w:ilvl="0" w:tplc="08784EDA">
      <w:start w:val="1"/>
      <w:numFmt w:val="decimal"/>
      <w:lvlText w:val="%1."/>
      <w:lvlJc w:val="left"/>
      <w:pPr>
        <w:ind w:left="720" w:hanging="360"/>
      </w:pPr>
      <w:rPr>
        <w:rFonts w:ascii="Times New Roman" w:hAnsi="Times New Roman" w:cs="Times New Roman"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15:restartNumberingAfterBreak="0">
    <w:nsid w:val="35BB78D3"/>
    <w:multiLevelType w:val="hybridMultilevel"/>
    <w:tmpl w:val="31C49376"/>
    <w:lvl w:ilvl="0" w:tplc="60C2876C">
      <w:start w:val="1"/>
      <w:numFmt w:val="bullet"/>
      <w:lvlText w:val="-"/>
      <w:lvlJc w:val="left"/>
      <w:pPr>
        <w:ind w:left="1996" w:hanging="360"/>
      </w:pPr>
      <w:rPr>
        <w:rFonts w:ascii="Times New Roman" w:eastAsia="Calibri" w:hAnsi="Times New Roman" w:cs="Times New Roman" w:hint="default"/>
        <w:b w:val="0"/>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16" w15:restartNumberingAfterBreak="0">
    <w:nsid w:val="3D396A6F"/>
    <w:multiLevelType w:val="multilevel"/>
    <w:tmpl w:val="BED0C2E4"/>
    <w:lvl w:ilvl="0">
      <w:start w:val="1"/>
      <w:numFmt w:val="decimal"/>
      <w:lvlText w:val="%1."/>
      <w:lvlJc w:val="left"/>
      <w:pPr>
        <w:ind w:left="786" w:hanging="360"/>
      </w:pPr>
    </w:lvl>
    <w:lvl w:ilvl="1">
      <w:start w:val="1"/>
      <w:numFmt w:val="decimal"/>
      <w:isLgl/>
      <w:lvlText w:val="%1.%2."/>
      <w:lvlJc w:val="left"/>
      <w:pPr>
        <w:ind w:left="1647" w:hanging="7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727" w:hanging="180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3087" w:hanging="2160"/>
      </w:pPr>
      <w:rPr>
        <w:rFonts w:hint="default"/>
      </w:rPr>
    </w:lvl>
  </w:abstractNum>
  <w:abstractNum w:abstractNumId="17" w15:restartNumberingAfterBreak="0">
    <w:nsid w:val="429A434D"/>
    <w:multiLevelType w:val="hybridMultilevel"/>
    <w:tmpl w:val="BBE49C7C"/>
    <w:lvl w:ilvl="0" w:tplc="04190003">
      <w:start w:val="1"/>
      <w:numFmt w:val="bullet"/>
      <w:lvlText w:val="o"/>
      <w:lvlJc w:val="left"/>
      <w:pPr>
        <w:ind w:left="1287" w:hanging="360"/>
      </w:pPr>
      <w:rPr>
        <w:rFonts w:ascii="Courier New" w:hAnsi="Courier New" w:cs="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42CD7786"/>
    <w:multiLevelType w:val="hybridMultilevel"/>
    <w:tmpl w:val="64F80930"/>
    <w:lvl w:ilvl="0" w:tplc="04190003">
      <w:start w:val="1"/>
      <w:numFmt w:val="bullet"/>
      <w:lvlText w:val="o"/>
      <w:lvlJc w:val="left"/>
      <w:pPr>
        <w:ind w:left="1287" w:hanging="360"/>
      </w:pPr>
      <w:rPr>
        <w:rFonts w:ascii="Courier New" w:hAnsi="Courier New" w:cs="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45977459"/>
    <w:multiLevelType w:val="hybridMultilevel"/>
    <w:tmpl w:val="E104FFFA"/>
    <w:lvl w:ilvl="0" w:tplc="836416B8">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0" w15:restartNumberingAfterBreak="0">
    <w:nsid w:val="46817A22"/>
    <w:multiLevelType w:val="hybridMultilevel"/>
    <w:tmpl w:val="9DE27A56"/>
    <w:lvl w:ilvl="0" w:tplc="0419000D">
      <w:start w:val="1"/>
      <w:numFmt w:val="bullet"/>
      <w:lvlText w:val=""/>
      <w:lvlJc w:val="left"/>
      <w:pPr>
        <w:ind w:left="1854" w:hanging="360"/>
      </w:pPr>
      <w:rPr>
        <w:rFonts w:ascii="Wingdings" w:hAnsi="Wingdings"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1" w15:restartNumberingAfterBreak="0">
    <w:nsid w:val="5C41686D"/>
    <w:multiLevelType w:val="hybridMultilevel"/>
    <w:tmpl w:val="DC04065A"/>
    <w:lvl w:ilvl="0" w:tplc="4C6A06CC">
      <w:start w:val="10"/>
      <w:numFmt w:val="bullet"/>
      <w:lvlText w:val="-"/>
      <w:lvlJc w:val="left"/>
      <w:pPr>
        <w:ind w:left="1996" w:hanging="360"/>
      </w:pPr>
      <w:rPr>
        <w:rFonts w:ascii="Times New Roman" w:eastAsiaTheme="minorHAnsi" w:hAnsi="Times New Roman" w:cs="Times New Roman"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22" w15:restartNumberingAfterBreak="0">
    <w:nsid w:val="64960E1B"/>
    <w:multiLevelType w:val="hybridMultilevel"/>
    <w:tmpl w:val="BDD04940"/>
    <w:lvl w:ilvl="0" w:tplc="60C2876C">
      <w:start w:val="1"/>
      <w:numFmt w:val="bullet"/>
      <w:lvlText w:val="-"/>
      <w:lvlJc w:val="left"/>
      <w:pPr>
        <w:ind w:left="1287" w:hanging="360"/>
      </w:pPr>
      <w:rPr>
        <w:rFonts w:ascii="Times New Roman" w:eastAsia="Calibri" w:hAnsi="Times New Roman" w:cs="Times New Roman" w:hint="default"/>
        <w:b w:val="0"/>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64FA253B"/>
    <w:multiLevelType w:val="hybridMultilevel"/>
    <w:tmpl w:val="F1E69816"/>
    <w:lvl w:ilvl="0" w:tplc="04190003">
      <w:start w:val="1"/>
      <w:numFmt w:val="bullet"/>
      <w:lvlText w:val="o"/>
      <w:lvlJc w:val="left"/>
      <w:pPr>
        <w:ind w:left="1146" w:hanging="360"/>
      </w:pPr>
      <w:rPr>
        <w:rFonts w:ascii="Courier New" w:hAnsi="Courier New" w:cs="Courier New"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4" w15:restartNumberingAfterBreak="0">
    <w:nsid w:val="6BCB1A57"/>
    <w:multiLevelType w:val="hybridMultilevel"/>
    <w:tmpl w:val="CF0E016A"/>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5" w15:restartNumberingAfterBreak="0">
    <w:nsid w:val="70401A03"/>
    <w:multiLevelType w:val="hybridMultilevel"/>
    <w:tmpl w:val="182E1A2E"/>
    <w:lvl w:ilvl="0" w:tplc="04190003">
      <w:start w:val="1"/>
      <w:numFmt w:val="bullet"/>
      <w:lvlText w:val="o"/>
      <w:lvlJc w:val="left"/>
      <w:pPr>
        <w:ind w:left="1428" w:hanging="360"/>
      </w:pPr>
      <w:rPr>
        <w:rFonts w:ascii="Courier New" w:hAnsi="Courier New" w:cs="Courier New"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6" w15:restartNumberingAfterBreak="0">
    <w:nsid w:val="7425055C"/>
    <w:multiLevelType w:val="hybridMultilevel"/>
    <w:tmpl w:val="A5C2AFC4"/>
    <w:lvl w:ilvl="0" w:tplc="4C6A06CC">
      <w:start w:val="10"/>
      <w:numFmt w:val="bullet"/>
      <w:lvlText w:val="-"/>
      <w:lvlJc w:val="left"/>
      <w:pPr>
        <w:ind w:left="1287" w:hanging="360"/>
      </w:pPr>
      <w:rPr>
        <w:rFonts w:ascii="Times New Roman" w:eastAsiaTheme="minorHAnsi" w:hAnsi="Times New Roman" w:cs="Times New Roman" w:hint="default"/>
      </w:rPr>
    </w:lvl>
    <w:lvl w:ilvl="1" w:tplc="04190001">
      <w:start w:val="1"/>
      <w:numFmt w:val="bullet"/>
      <w:lvlText w:val=""/>
      <w:lvlJc w:val="left"/>
      <w:pPr>
        <w:ind w:left="2007" w:hanging="360"/>
      </w:pPr>
      <w:rPr>
        <w:rFonts w:ascii="Symbol" w:hAnsi="Symbol" w:hint="default"/>
      </w:rPr>
    </w:lvl>
    <w:lvl w:ilvl="2" w:tplc="4C6A06CC">
      <w:start w:val="10"/>
      <w:numFmt w:val="bullet"/>
      <w:lvlText w:val="-"/>
      <w:lvlJc w:val="left"/>
      <w:pPr>
        <w:ind w:left="2727" w:hanging="360"/>
      </w:pPr>
      <w:rPr>
        <w:rFonts w:ascii="Times New Roman" w:eastAsiaTheme="minorHAnsi" w:hAnsi="Times New Roman" w:cs="Times New Roman"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753F45FA"/>
    <w:multiLevelType w:val="hybridMultilevel"/>
    <w:tmpl w:val="43F8CEF2"/>
    <w:lvl w:ilvl="0" w:tplc="66B48D90">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8" w15:restartNumberingAfterBreak="0">
    <w:nsid w:val="78C206ED"/>
    <w:multiLevelType w:val="hybridMultilevel"/>
    <w:tmpl w:val="AB7C2C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7AD64612"/>
    <w:multiLevelType w:val="hybridMultilevel"/>
    <w:tmpl w:val="DDF0C7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7AE73094"/>
    <w:multiLevelType w:val="hybridMultilevel"/>
    <w:tmpl w:val="B622DAF0"/>
    <w:lvl w:ilvl="0" w:tplc="DC30A274">
      <w:start w:val="1"/>
      <w:numFmt w:val="decimal"/>
      <w:lvlText w:val="%1."/>
      <w:lvlJc w:val="left"/>
      <w:pPr>
        <w:ind w:left="1647" w:hanging="360"/>
      </w:pPr>
      <w:rPr>
        <w:rFonts w:hint="default"/>
      </w:rPr>
    </w:lvl>
    <w:lvl w:ilvl="1" w:tplc="04190019" w:tentative="1">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num w:numId="1">
    <w:abstractNumId w:val="1"/>
  </w:num>
  <w:num w:numId="2">
    <w:abstractNumId w:val="9"/>
  </w:num>
  <w:num w:numId="3">
    <w:abstractNumId w:val="17"/>
  </w:num>
  <w:num w:numId="4">
    <w:abstractNumId w:val="16"/>
  </w:num>
  <w:num w:numId="5">
    <w:abstractNumId w:val="12"/>
  </w:num>
  <w:num w:numId="6">
    <w:abstractNumId w:val="22"/>
  </w:num>
  <w:num w:numId="7">
    <w:abstractNumId w:val="15"/>
  </w:num>
  <w:num w:numId="8">
    <w:abstractNumId w:val="25"/>
  </w:num>
  <w:num w:numId="9">
    <w:abstractNumId w:val="11"/>
  </w:num>
  <w:num w:numId="10">
    <w:abstractNumId w:val="23"/>
  </w:num>
  <w:num w:numId="11">
    <w:abstractNumId w:val="18"/>
  </w:num>
  <w:num w:numId="12">
    <w:abstractNumId w:val="0"/>
  </w:num>
  <w:num w:numId="13">
    <w:abstractNumId w:val="20"/>
  </w:num>
  <w:num w:numId="14">
    <w:abstractNumId w:val="28"/>
  </w:num>
  <w:num w:numId="15">
    <w:abstractNumId w:val="5"/>
  </w:num>
  <w:num w:numId="16">
    <w:abstractNumId w:val="26"/>
  </w:num>
  <w:num w:numId="17">
    <w:abstractNumId w:val="4"/>
  </w:num>
  <w:num w:numId="18">
    <w:abstractNumId w:val="10"/>
  </w:num>
  <w:num w:numId="19">
    <w:abstractNumId w:val="6"/>
  </w:num>
  <w:num w:numId="20">
    <w:abstractNumId w:val="2"/>
  </w:num>
  <w:num w:numId="21">
    <w:abstractNumId w:val="21"/>
  </w:num>
  <w:num w:numId="22">
    <w:abstractNumId w:val="8"/>
  </w:num>
  <w:num w:numId="23">
    <w:abstractNumId w:val="30"/>
  </w:num>
  <w:num w:numId="24">
    <w:abstractNumId w:val="13"/>
  </w:num>
  <w:num w:numId="25">
    <w:abstractNumId w:val="19"/>
  </w:num>
  <w:num w:numId="26">
    <w:abstractNumId w:val="24"/>
  </w:num>
  <w:num w:numId="27">
    <w:abstractNumId w:val="3"/>
  </w:num>
  <w:num w:numId="28">
    <w:abstractNumId w:val="14"/>
  </w:num>
  <w:num w:numId="29">
    <w:abstractNumId w:val="14"/>
    <w:lvlOverride w:ilvl="0">
      <w:startOverride w:val="1"/>
    </w:lvlOverride>
  </w:num>
  <w:num w:numId="30">
    <w:abstractNumId w:val="27"/>
  </w:num>
  <w:num w:numId="31">
    <w:abstractNumId w:val="29"/>
  </w:num>
  <w:num w:numId="32">
    <w:abstractNumId w:val="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6C9"/>
    <w:rsid w:val="00005929"/>
    <w:rsid w:val="00006E45"/>
    <w:rsid w:val="00012319"/>
    <w:rsid w:val="00014FF0"/>
    <w:rsid w:val="00021596"/>
    <w:rsid w:val="000448A4"/>
    <w:rsid w:val="00051BDD"/>
    <w:rsid w:val="00070EAF"/>
    <w:rsid w:val="000770B9"/>
    <w:rsid w:val="00087299"/>
    <w:rsid w:val="00094A4B"/>
    <w:rsid w:val="00094AA3"/>
    <w:rsid w:val="000A18E2"/>
    <w:rsid w:val="000A3A1E"/>
    <w:rsid w:val="000B1A96"/>
    <w:rsid w:val="000B2DDE"/>
    <w:rsid w:val="000B765F"/>
    <w:rsid w:val="000C08E1"/>
    <w:rsid w:val="000C5589"/>
    <w:rsid w:val="000D05E3"/>
    <w:rsid w:val="000D0AF8"/>
    <w:rsid w:val="000E2A7E"/>
    <w:rsid w:val="000E3E44"/>
    <w:rsid w:val="000E5E38"/>
    <w:rsid w:val="000F336F"/>
    <w:rsid w:val="000F630E"/>
    <w:rsid w:val="000F7F10"/>
    <w:rsid w:val="00116802"/>
    <w:rsid w:val="0012364E"/>
    <w:rsid w:val="00124D67"/>
    <w:rsid w:val="00131016"/>
    <w:rsid w:val="00134038"/>
    <w:rsid w:val="00136F28"/>
    <w:rsid w:val="0016049C"/>
    <w:rsid w:val="00160DC0"/>
    <w:rsid w:val="0016300F"/>
    <w:rsid w:val="00184696"/>
    <w:rsid w:val="00194F4A"/>
    <w:rsid w:val="001A4E4E"/>
    <w:rsid w:val="001B4B5C"/>
    <w:rsid w:val="001C0093"/>
    <w:rsid w:val="001C5338"/>
    <w:rsid w:val="001E0C68"/>
    <w:rsid w:val="001E2464"/>
    <w:rsid w:val="001F1564"/>
    <w:rsid w:val="001F30D8"/>
    <w:rsid w:val="002064D4"/>
    <w:rsid w:val="002064F9"/>
    <w:rsid w:val="00211B0F"/>
    <w:rsid w:val="00216D02"/>
    <w:rsid w:val="00217EF0"/>
    <w:rsid w:val="00221523"/>
    <w:rsid w:val="00237522"/>
    <w:rsid w:val="0024002E"/>
    <w:rsid w:val="00263F3E"/>
    <w:rsid w:val="002805D8"/>
    <w:rsid w:val="002827C4"/>
    <w:rsid w:val="0028379D"/>
    <w:rsid w:val="00284BCA"/>
    <w:rsid w:val="002908B3"/>
    <w:rsid w:val="002975B7"/>
    <w:rsid w:val="002A26DD"/>
    <w:rsid w:val="002B3DE8"/>
    <w:rsid w:val="002C6997"/>
    <w:rsid w:val="002D644A"/>
    <w:rsid w:val="002E4FAC"/>
    <w:rsid w:val="002E67CD"/>
    <w:rsid w:val="002F68BC"/>
    <w:rsid w:val="0030112C"/>
    <w:rsid w:val="003113F2"/>
    <w:rsid w:val="00312724"/>
    <w:rsid w:val="00313DF6"/>
    <w:rsid w:val="003338E3"/>
    <w:rsid w:val="00335423"/>
    <w:rsid w:val="003538BB"/>
    <w:rsid w:val="00356940"/>
    <w:rsid w:val="00377A97"/>
    <w:rsid w:val="00394AD9"/>
    <w:rsid w:val="003A2D12"/>
    <w:rsid w:val="003A556B"/>
    <w:rsid w:val="003B2335"/>
    <w:rsid w:val="003D3A48"/>
    <w:rsid w:val="003F532C"/>
    <w:rsid w:val="00403F70"/>
    <w:rsid w:val="00412996"/>
    <w:rsid w:val="00414843"/>
    <w:rsid w:val="00420065"/>
    <w:rsid w:val="00422A5A"/>
    <w:rsid w:val="00426885"/>
    <w:rsid w:val="00427D00"/>
    <w:rsid w:val="00433D73"/>
    <w:rsid w:val="00433EE8"/>
    <w:rsid w:val="00437F51"/>
    <w:rsid w:val="00441BD5"/>
    <w:rsid w:val="00450A3D"/>
    <w:rsid w:val="00456D8E"/>
    <w:rsid w:val="00462175"/>
    <w:rsid w:val="00472192"/>
    <w:rsid w:val="004729D1"/>
    <w:rsid w:val="00472CDF"/>
    <w:rsid w:val="0047783E"/>
    <w:rsid w:val="0048276D"/>
    <w:rsid w:val="00483D54"/>
    <w:rsid w:val="004845AA"/>
    <w:rsid w:val="004869C0"/>
    <w:rsid w:val="0049032A"/>
    <w:rsid w:val="004929C7"/>
    <w:rsid w:val="00493DBB"/>
    <w:rsid w:val="004949A2"/>
    <w:rsid w:val="004B1336"/>
    <w:rsid w:val="004D7781"/>
    <w:rsid w:val="004E0583"/>
    <w:rsid w:val="004E0D93"/>
    <w:rsid w:val="004E22C0"/>
    <w:rsid w:val="004E3486"/>
    <w:rsid w:val="004F4DC5"/>
    <w:rsid w:val="00513C4F"/>
    <w:rsid w:val="005204F8"/>
    <w:rsid w:val="00526170"/>
    <w:rsid w:val="00532FF6"/>
    <w:rsid w:val="0053544E"/>
    <w:rsid w:val="00537451"/>
    <w:rsid w:val="00541A16"/>
    <w:rsid w:val="00563ED4"/>
    <w:rsid w:val="00573B79"/>
    <w:rsid w:val="0058568D"/>
    <w:rsid w:val="00585D88"/>
    <w:rsid w:val="00590EF3"/>
    <w:rsid w:val="005931B4"/>
    <w:rsid w:val="005A7F89"/>
    <w:rsid w:val="005B5C37"/>
    <w:rsid w:val="005E74F8"/>
    <w:rsid w:val="005E7749"/>
    <w:rsid w:val="005F0510"/>
    <w:rsid w:val="005F0D7F"/>
    <w:rsid w:val="00605526"/>
    <w:rsid w:val="00606D0E"/>
    <w:rsid w:val="00611BE2"/>
    <w:rsid w:val="006134A8"/>
    <w:rsid w:val="00617631"/>
    <w:rsid w:val="00617CA6"/>
    <w:rsid w:val="0065051D"/>
    <w:rsid w:val="00671C02"/>
    <w:rsid w:val="00672BAA"/>
    <w:rsid w:val="00687173"/>
    <w:rsid w:val="006A0B40"/>
    <w:rsid w:val="006C60A5"/>
    <w:rsid w:val="006E34DD"/>
    <w:rsid w:val="006F1D74"/>
    <w:rsid w:val="00707D31"/>
    <w:rsid w:val="0071168B"/>
    <w:rsid w:val="00715D2F"/>
    <w:rsid w:val="00737C79"/>
    <w:rsid w:val="007543C8"/>
    <w:rsid w:val="00756F26"/>
    <w:rsid w:val="00760CE9"/>
    <w:rsid w:val="00790092"/>
    <w:rsid w:val="007945B3"/>
    <w:rsid w:val="00796FE3"/>
    <w:rsid w:val="007B46D7"/>
    <w:rsid w:val="007B64AE"/>
    <w:rsid w:val="007D76C9"/>
    <w:rsid w:val="007E2F8F"/>
    <w:rsid w:val="007E52F2"/>
    <w:rsid w:val="007F1D08"/>
    <w:rsid w:val="007F3A46"/>
    <w:rsid w:val="007F4D27"/>
    <w:rsid w:val="007F55D8"/>
    <w:rsid w:val="00801E9E"/>
    <w:rsid w:val="008056F1"/>
    <w:rsid w:val="008125D2"/>
    <w:rsid w:val="0081584E"/>
    <w:rsid w:val="008227F8"/>
    <w:rsid w:val="00823DFC"/>
    <w:rsid w:val="00824166"/>
    <w:rsid w:val="00831F33"/>
    <w:rsid w:val="00833831"/>
    <w:rsid w:val="0084359C"/>
    <w:rsid w:val="00843B1F"/>
    <w:rsid w:val="0084685C"/>
    <w:rsid w:val="008545B1"/>
    <w:rsid w:val="00860250"/>
    <w:rsid w:val="0086220F"/>
    <w:rsid w:val="0088083D"/>
    <w:rsid w:val="00882AF5"/>
    <w:rsid w:val="008B09DE"/>
    <w:rsid w:val="008D1E1A"/>
    <w:rsid w:val="008E0CB1"/>
    <w:rsid w:val="008E3FFA"/>
    <w:rsid w:val="008F37DE"/>
    <w:rsid w:val="008F5D33"/>
    <w:rsid w:val="008F6248"/>
    <w:rsid w:val="00906DE7"/>
    <w:rsid w:val="009153E9"/>
    <w:rsid w:val="00924768"/>
    <w:rsid w:val="009404FE"/>
    <w:rsid w:val="009518E8"/>
    <w:rsid w:val="009563F7"/>
    <w:rsid w:val="00957C06"/>
    <w:rsid w:val="009604DD"/>
    <w:rsid w:val="0096486B"/>
    <w:rsid w:val="009661F4"/>
    <w:rsid w:val="00972133"/>
    <w:rsid w:val="009913C0"/>
    <w:rsid w:val="009938C6"/>
    <w:rsid w:val="00995AFB"/>
    <w:rsid w:val="0099761F"/>
    <w:rsid w:val="009A0FA4"/>
    <w:rsid w:val="009A1C69"/>
    <w:rsid w:val="009A77C0"/>
    <w:rsid w:val="009C785A"/>
    <w:rsid w:val="009D19D4"/>
    <w:rsid w:val="009D288E"/>
    <w:rsid w:val="009D5E95"/>
    <w:rsid w:val="009E0CF8"/>
    <w:rsid w:val="009E3E8D"/>
    <w:rsid w:val="009E50F8"/>
    <w:rsid w:val="009E57AE"/>
    <w:rsid w:val="009E6649"/>
    <w:rsid w:val="009F4BA0"/>
    <w:rsid w:val="009F5074"/>
    <w:rsid w:val="00A00F2C"/>
    <w:rsid w:val="00A037AD"/>
    <w:rsid w:val="00A06156"/>
    <w:rsid w:val="00A0690E"/>
    <w:rsid w:val="00A155C0"/>
    <w:rsid w:val="00A2775B"/>
    <w:rsid w:val="00A303ED"/>
    <w:rsid w:val="00A47C6E"/>
    <w:rsid w:val="00A5223C"/>
    <w:rsid w:val="00A55535"/>
    <w:rsid w:val="00A55566"/>
    <w:rsid w:val="00A6530F"/>
    <w:rsid w:val="00A72DBE"/>
    <w:rsid w:val="00A7387A"/>
    <w:rsid w:val="00A8743E"/>
    <w:rsid w:val="00A920BD"/>
    <w:rsid w:val="00A951CB"/>
    <w:rsid w:val="00AA2BAE"/>
    <w:rsid w:val="00AA75D4"/>
    <w:rsid w:val="00AC2B26"/>
    <w:rsid w:val="00AD26E4"/>
    <w:rsid w:val="00AD5FF0"/>
    <w:rsid w:val="00AE0650"/>
    <w:rsid w:val="00AE6FCB"/>
    <w:rsid w:val="00AF2A83"/>
    <w:rsid w:val="00AF637A"/>
    <w:rsid w:val="00B17B24"/>
    <w:rsid w:val="00B20D15"/>
    <w:rsid w:val="00B31D20"/>
    <w:rsid w:val="00B3475E"/>
    <w:rsid w:val="00B34BA7"/>
    <w:rsid w:val="00B44D64"/>
    <w:rsid w:val="00B54957"/>
    <w:rsid w:val="00B61EF2"/>
    <w:rsid w:val="00B73696"/>
    <w:rsid w:val="00B75BB3"/>
    <w:rsid w:val="00B77517"/>
    <w:rsid w:val="00B842AE"/>
    <w:rsid w:val="00B87074"/>
    <w:rsid w:val="00BA5FCA"/>
    <w:rsid w:val="00BB1BCF"/>
    <w:rsid w:val="00BD30C1"/>
    <w:rsid w:val="00BE0979"/>
    <w:rsid w:val="00BE5E55"/>
    <w:rsid w:val="00BF2759"/>
    <w:rsid w:val="00BF3007"/>
    <w:rsid w:val="00BF517A"/>
    <w:rsid w:val="00C02641"/>
    <w:rsid w:val="00C0269E"/>
    <w:rsid w:val="00C217E6"/>
    <w:rsid w:val="00C33A65"/>
    <w:rsid w:val="00C43F81"/>
    <w:rsid w:val="00C44FB2"/>
    <w:rsid w:val="00C45770"/>
    <w:rsid w:val="00C46229"/>
    <w:rsid w:val="00C52263"/>
    <w:rsid w:val="00C61163"/>
    <w:rsid w:val="00C66028"/>
    <w:rsid w:val="00C709EF"/>
    <w:rsid w:val="00C7479E"/>
    <w:rsid w:val="00C7793F"/>
    <w:rsid w:val="00C956F3"/>
    <w:rsid w:val="00CB1A81"/>
    <w:rsid w:val="00CB320D"/>
    <w:rsid w:val="00CC6733"/>
    <w:rsid w:val="00CC7D68"/>
    <w:rsid w:val="00CD1F62"/>
    <w:rsid w:val="00CD28F4"/>
    <w:rsid w:val="00CD4887"/>
    <w:rsid w:val="00CE2FCE"/>
    <w:rsid w:val="00D0376C"/>
    <w:rsid w:val="00D04B82"/>
    <w:rsid w:val="00D04B96"/>
    <w:rsid w:val="00D12BD7"/>
    <w:rsid w:val="00D12D06"/>
    <w:rsid w:val="00D13135"/>
    <w:rsid w:val="00D36EAE"/>
    <w:rsid w:val="00D41285"/>
    <w:rsid w:val="00D452B9"/>
    <w:rsid w:val="00D55AC5"/>
    <w:rsid w:val="00D56C9E"/>
    <w:rsid w:val="00D62D9C"/>
    <w:rsid w:val="00D640E5"/>
    <w:rsid w:val="00D70543"/>
    <w:rsid w:val="00D81255"/>
    <w:rsid w:val="00D8501B"/>
    <w:rsid w:val="00DA72F5"/>
    <w:rsid w:val="00DA7721"/>
    <w:rsid w:val="00DB0547"/>
    <w:rsid w:val="00DB4681"/>
    <w:rsid w:val="00DC45CC"/>
    <w:rsid w:val="00DC5236"/>
    <w:rsid w:val="00DE0A9D"/>
    <w:rsid w:val="00DF5834"/>
    <w:rsid w:val="00E01E1C"/>
    <w:rsid w:val="00E0442F"/>
    <w:rsid w:val="00E07579"/>
    <w:rsid w:val="00E10DA3"/>
    <w:rsid w:val="00E1304B"/>
    <w:rsid w:val="00E30844"/>
    <w:rsid w:val="00E44173"/>
    <w:rsid w:val="00E67C0E"/>
    <w:rsid w:val="00E72415"/>
    <w:rsid w:val="00E80B39"/>
    <w:rsid w:val="00E8434A"/>
    <w:rsid w:val="00ED4D52"/>
    <w:rsid w:val="00EE349E"/>
    <w:rsid w:val="00F0027D"/>
    <w:rsid w:val="00F00FE4"/>
    <w:rsid w:val="00F16D8C"/>
    <w:rsid w:val="00F1781E"/>
    <w:rsid w:val="00F33D69"/>
    <w:rsid w:val="00F40AA0"/>
    <w:rsid w:val="00F46516"/>
    <w:rsid w:val="00F50833"/>
    <w:rsid w:val="00F81802"/>
    <w:rsid w:val="00F81DF1"/>
    <w:rsid w:val="00F82C32"/>
    <w:rsid w:val="00F9269E"/>
    <w:rsid w:val="00F97E8A"/>
    <w:rsid w:val="00FA01FF"/>
    <w:rsid w:val="00FF138A"/>
    <w:rsid w:val="00FF22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A4CE158-55DB-4EAC-96BC-DEF84C0C7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805D8"/>
    <w:pPr>
      <w:spacing w:after="0" w:line="240" w:lineRule="auto"/>
    </w:pPr>
    <w:rPr>
      <w:rFonts w:ascii="Times New Roman" w:eastAsia="Times New Roman" w:hAnsi="Times New Roman" w:cs="Times New Roman"/>
      <w:i/>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CC7D68"/>
    <w:pPr>
      <w:spacing w:after="0" w:line="240" w:lineRule="auto"/>
    </w:pPr>
  </w:style>
  <w:style w:type="character" w:customStyle="1" w:styleId="a">
    <w:name w:val="Основной текст_"/>
    <w:rsid w:val="008125D2"/>
    <w:rPr>
      <w:rFonts w:ascii="Times New Roman" w:hAnsi="Times New Roman" w:cs="Times New Roman" w:hint="default"/>
      <w:strike w:val="0"/>
      <w:dstrike w:val="0"/>
      <w:sz w:val="27"/>
      <w:szCs w:val="27"/>
      <w:u w:val="none"/>
      <w:effect w:val="none"/>
    </w:rPr>
  </w:style>
  <w:style w:type="paragraph" w:customStyle="1" w:styleId="rvps2">
    <w:name w:val="rvps2"/>
    <w:basedOn w:val="Normalny"/>
    <w:rsid w:val="00B54957"/>
    <w:pPr>
      <w:spacing w:before="100" w:beforeAutospacing="1" w:after="100" w:afterAutospacing="1"/>
    </w:pPr>
    <w:rPr>
      <w:sz w:val="24"/>
      <w:szCs w:val="24"/>
      <w:lang w:eastAsia="uk-UA"/>
    </w:rPr>
  </w:style>
  <w:style w:type="paragraph" w:customStyle="1" w:styleId="xfmc5">
    <w:name w:val="xfmc5"/>
    <w:basedOn w:val="Normalny"/>
    <w:rsid w:val="0088083D"/>
    <w:pPr>
      <w:spacing w:before="100" w:beforeAutospacing="1" w:after="100" w:afterAutospacing="1"/>
    </w:pPr>
    <w:rPr>
      <w:sz w:val="24"/>
      <w:szCs w:val="24"/>
      <w:lang w:eastAsia="ru-RU"/>
    </w:rPr>
  </w:style>
  <w:style w:type="character" w:customStyle="1" w:styleId="apple-converted-space">
    <w:name w:val="apple-converted-space"/>
    <w:rsid w:val="0088083D"/>
  </w:style>
  <w:style w:type="paragraph" w:styleId="Akapitzlist">
    <w:name w:val="List Paragraph"/>
    <w:basedOn w:val="Normalny"/>
    <w:uiPriority w:val="34"/>
    <w:qFormat/>
    <w:rsid w:val="0088083D"/>
    <w:pPr>
      <w:ind w:left="720"/>
      <w:contextualSpacing/>
    </w:pPr>
  </w:style>
  <w:style w:type="paragraph" w:customStyle="1" w:styleId="Default">
    <w:name w:val="Default"/>
    <w:rsid w:val="00C45770"/>
    <w:pPr>
      <w:autoSpaceDE w:val="0"/>
      <w:autoSpaceDN w:val="0"/>
      <w:adjustRightInd w:val="0"/>
      <w:spacing w:after="0" w:line="240" w:lineRule="auto"/>
    </w:pPr>
    <w:rPr>
      <w:rFonts w:ascii="Times New Roman" w:hAnsi="Times New Roman" w:cs="Times New Roman"/>
      <w:color w:val="000000"/>
      <w:sz w:val="24"/>
      <w:szCs w:val="24"/>
    </w:rPr>
  </w:style>
  <w:style w:type="paragraph" w:styleId="Nagwek">
    <w:name w:val="header"/>
    <w:basedOn w:val="Normalny"/>
    <w:link w:val="NagwekZnak"/>
    <w:uiPriority w:val="99"/>
    <w:unhideWhenUsed/>
    <w:rsid w:val="00BA5FCA"/>
    <w:pPr>
      <w:tabs>
        <w:tab w:val="center" w:pos="4677"/>
        <w:tab w:val="right" w:pos="9355"/>
      </w:tabs>
    </w:pPr>
  </w:style>
  <w:style w:type="character" w:customStyle="1" w:styleId="NagwekZnak">
    <w:name w:val="Nagłówek Znak"/>
    <w:basedOn w:val="Domylnaczcionkaakapitu"/>
    <w:link w:val="Nagwek"/>
    <w:uiPriority w:val="99"/>
    <w:rsid w:val="00BA5FCA"/>
  </w:style>
  <w:style w:type="paragraph" w:styleId="Stopka">
    <w:name w:val="footer"/>
    <w:basedOn w:val="Normalny"/>
    <w:link w:val="StopkaZnak"/>
    <w:uiPriority w:val="99"/>
    <w:unhideWhenUsed/>
    <w:rsid w:val="00BA5FCA"/>
    <w:pPr>
      <w:tabs>
        <w:tab w:val="center" w:pos="4677"/>
        <w:tab w:val="right" w:pos="9355"/>
      </w:tabs>
    </w:pPr>
  </w:style>
  <w:style w:type="character" w:customStyle="1" w:styleId="StopkaZnak">
    <w:name w:val="Stopka Znak"/>
    <w:basedOn w:val="Domylnaczcionkaakapitu"/>
    <w:link w:val="Stopka"/>
    <w:uiPriority w:val="99"/>
    <w:rsid w:val="00BA5FCA"/>
  </w:style>
  <w:style w:type="paragraph" w:styleId="HTML-wstpniesformatowany">
    <w:name w:val="HTML Preformatted"/>
    <w:basedOn w:val="Normalny"/>
    <w:link w:val="HTML-wstpniesformatowanyZnak"/>
    <w:uiPriority w:val="99"/>
    <w:unhideWhenUsed/>
    <w:rsid w:val="00AF63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i w:val="0"/>
      <w:sz w:val="20"/>
      <w:szCs w:val="20"/>
      <w:lang w:eastAsia="en-US"/>
    </w:rPr>
  </w:style>
  <w:style w:type="character" w:customStyle="1" w:styleId="HTML-wstpniesformatowanyZnak">
    <w:name w:val="HTML - wstępnie sformatowany Znak"/>
    <w:basedOn w:val="Domylnaczcionkaakapitu"/>
    <w:link w:val="HTML-wstpniesformatowany"/>
    <w:uiPriority w:val="99"/>
    <w:rsid w:val="00AF637A"/>
    <w:rPr>
      <w:rFonts w:ascii="Courier New" w:eastAsia="Times New Roman" w:hAnsi="Courier New" w:cs="Courier New"/>
      <w:sz w:val="20"/>
      <w:szCs w:val="20"/>
      <w:lang w:val="pl-PL"/>
    </w:rPr>
  </w:style>
  <w:style w:type="character" w:customStyle="1" w:styleId="y2iqfc">
    <w:name w:val="y2iqfc"/>
    <w:rsid w:val="00AF637A"/>
  </w:style>
  <w:style w:type="paragraph" w:styleId="NormalnyWeb">
    <w:name w:val="Normal (Web)"/>
    <w:basedOn w:val="Normalny"/>
    <w:uiPriority w:val="99"/>
    <w:unhideWhenUsed/>
    <w:rsid w:val="00906DE7"/>
    <w:pPr>
      <w:spacing w:before="100" w:beforeAutospacing="1" w:after="100" w:afterAutospacing="1"/>
    </w:pPr>
    <w:rPr>
      <w:rFonts w:eastAsiaTheme="minorEastAsia"/>
      <w:i w:val="0"/>
      <w:sz w:val="24"/>
      <w:szCs w:val="24"/>
      <w:lang w:eastAsia="uk-UA"/>
    </w:rPr>
  </w:style>
  <w:style w:type="paragraph" w:styleId="Tekstpodstawowy">
    <w:name w:val="Body Text"/>
    <w:basedOn w:val="Normalny"/>
    <w:link w:val="TekstpodstawowyZnak"/>
    <w:uiPriority w:val="99"/>
    <w:rsid w:val="0012364E"/>
    <w:pPr>
      <w:jc w:val="both"/>
    </w:pPr>
    <w:rPr>
      <w:i w:val="0"/>
      <w:sz w:val="28"/>
      <w:szCs w:val="20"/>
      <w:lang w:eastAsia="ru-RU"/>
    </w:rPr>
  </w:style>
  <w:style w:type="character" w:customStyle="1" w:styleId="TekstpodstawowyZnak">
    <w:name w:val="Tekst podstawowy Znak"/>
    <w:basedOn w:val="Domylnaczcionkaakapitu"/>
    <w:link w:val="Tekstpodstawowy"/>
    <w:uiPriority w:val="99"/>
    <w:rsid w:val="0012364E"/>
    <w:rPr>
      <w:rFonts w:ascii="Times New Roman" w:eastAsia="Times New Roman" w:hAnsi="Times New Roman" w:cs="Times New Roman"/>
      <w:sz w:val="28"/>
      <w:szCs w:val="20"/>
      <w:lang w:val="pl-PL" w:eastAsia="ru-RU"/>
    </w:rPr>
  </w:style>
  <w:style w:type="character" w:customStyle="1" w:styleId="rvts9">
    <w:name w:val="rvts9"/>
    <w:uiPriority w:val="99"/>
    <w:rsid w:val="0012364E"/>
  </w:style>
  <w:style w:type="character" w:styleId="Odwoanieprzypisukocowego">
    <w:name w:val="endnote reference"/>
    <w:semiHidden/>
    <w:rsid w:val="001F1564"/>
    <w:rPr>
      <w:vertAlign w:val="superscript"/>
    </w:rPr>
  </w:style>
  <w:style w:type="paragraph" w:styleId="Tekstdymka">
    <w:name w:val="Balloon Text"/>
    <w:basedOn w:val="Normalny"/>
    <w:link w:val="TekstdymkaZnak"/>
    <w:uiPriority w:val="99"/>
    <w:semiHidden/>
    <w:unhideWhenUsed/>
    <w:rsid w:val="00B44D64"/>
    <w:rPr>
      <w:rFonts w:ascii="Tahoma" w:hAnsi="Tahoma" w:cs="Tahoma"/>
      <w:sz w:val="16"/>
      <w:szCs w:val="16"/>
    </w:rPr>
  </w:style>
  <w:style w:type="character" w:customStyle="1" w:styleId="TekstdymkaZnak">
    <w:name w:val="Tekst dymka Znak"/>
    <w:basedOn w:val="Domylnaczcionkaakapitu"/>
    <w:link w:val="Tekstdymka"/>
    <w:uiPriority w:val="99"/>
    <w:semiHidden/>
    <w:rsid w:val="00B44D64"/>
    <w:rPr>
      <w:rFonts w:ascii="Tahoma" w:eastAsia="Times New Roman" w:hAnsi="Tahoma" w:cs="Tahoma"/>
      <w:i/>
      <w:sz w:val="16"/>
      <w:szCs w:val="16"/>
      <w:lang w:val="pl-PL" w:eastAsia="pl-PL"/>
    </w:rPr>
  </w:style>
  <w:style w:type="character" w:styleId="Odwoaniedokomentarza">
    <w:name w:val="annotation reference"/>
    <w:basedOn w:val="Domylnaczcionkaakapitu"/>
    <w:uiPriority w:val="99"/>
    <w:semiHidden/>
    <w:unhideWhenUsed/>
    <w:rsid w:val="00537451"/>
    <w:rPr>
      <w:sz w:val="16"/>
      <w:szCs w:val="16"/>
    </w:rPr>
  </w:style>
  <w:style w:type="paragraph" w:styleId="Tekstkomentarza">
    <w:name w:val="annotation text"/>
    <w:basedOn w:val="Normalny"/>
    <w:link w:val="TekstkomentarzaZnak"/>
    <w:uiPriority w:val="99"/>
    <w:semiHidden/>
    <w:unhideWhenUsed/>
    <w:rsid w:val="00537451"/>
    <w:rPr>
      <w:sz w:val="20"/>
      <w:szCs w:val="20"/>
    </w:rPr>
  </w:style>
  <w:style w:type="character" w:customStyle="1" w:styleId="TekstkomentarzaZnak">
    <w:name w:val="Tekst komentarza Znak"/>
    <w:basedOn w:val="Domylnaczcionkaakapitu"/>
    <w:link w:val="Tekstkomentarza"/>
    <w:uiPriority w:val="99"/>
    <w:semiHidden/>
    <w:rsid w:val="00537451"/>
    <w:rPr>
      <w:rFonts w:ascii="Times New Roman" w:eastAsia="Times New Roman" w:hAnsi="Times New Roman" w:cs="Times New Roman"/>
      <w:i/>
      <w:sz w:val="20"/>
      <w:szCs w:val="20"/>
      <w:lang w:val="pl-PL" w:eastAsia="pl-PL"/>
    </w:rPr>
  </w:style>
  <w:style w:type="paragraph" w:styleId="Tematkomentarza">
    <w:name w:val="annotation subject"/>
    <w:basedOn w:val="Tekstkomentarza"/>
    <w:next w:val="Tekstkomentarza"/>
    <w:link w:val="TematkomentarzaZnak"/>
    <w:uiPriority w:val="99"/>
    <w:semiHidden/>
    <w:unhideWhenUsed/>
    <w:rsid w:val="00537451"/>
    <w:rPr>
      <w:b/>
      <w:bCs/>
    </w:rPr>
  </w:style>
  <w:style w:type="character" w:customStyle="1" w:styleId="TematkomentarzaZnak">
    <w:name w:val="Temat komentarza Znak"/>
    <w:basedOn w:val="TekstkomentarzaZnak"/>
    <w:link w:val="Tematkomentarza"/>
    <w:uiPriority w:val="99"/>
    <w:semiHidden/>
    <w:rsid w:val="00537451"/>
    <w:rPr>
      <w:rFonts w:ascii="Times New Roman" w:eastAsia="Times New Roman" w:hAnsi="Times New Roman" w:cs="Times New Roman"/>
      <w:b/>
      <w:bCs/>
      <w:i/>
      <w:sz w:val="20"/>
      <w:szCs w:val="20"/>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542590">
      <w:bodyDiv w:val="1"/>
      <w:marLeft w:val="0"/>
      <w:marRight w:val="0"/>
      <w:marTop w:val="0"/>
      <w:marBottom w:val="0"/>
      <w:divBdr>
        <w:top w:val="none" w:sz="0" w:space="0" w:color="auto"/>
        <w:left w:val="none" w:sz="0" w:space="0" w:color="auto"/>
        <w:bottom w:val="none" w:sz="0" w:space="0" w:color="auto"/>
        <w:right w:val="none" w:sz="0" w:space="0" w:color="auto"/>
      </w:divBdr>
    </w:div>
    <w:div w:id="371153271">
      <w:bodyDiv w:val="1"/>
      <w:marLeft w:val="0"/>
      <w:marRight w:val="0"/>
      <w:marTop w:val="0"/>
      <w:marBottom w:val="0"/>
      <w:divBdr>
        <w:top w:val="none" w:sz="0" w:space="0" w:color="auto"/>
        <w:left w:val="none" w:sz="0" w:space="0" w:color="auto"/>
        <w:bottom w:val="none" w:sz="0" w:space="0" w:color="auto"/>
        <w:right w:val="none" w:sz="0" w:space="0" w:color="auto"/>
      </w:divBdr>
    </w:div>
    <w:div w:id="649139952">
      <w:bodyDiv w:val="1"/>
      <w:marLeft w:val="0"/>
      <w:marRight w:val="0"/>
      <w:marTop w:val="0"/>
      <w:marBottom w:val="0"/>
      <w:divBdr>
        <w:top w:val="none" w:sz="0" w:space="0" w:color="auto"/>
        <w:left w:val="none" w:sz="0" w:space="0" w:color="auto"/>
        <w:bottom w:val="none" w:sz="0" w:space="0" w:color="auto"/>
        <w:right w:val="none" w:sz="0" w:space="0" w:color="auto"/>
      </w:divBdr>
      <w:divsChild>
        <w:div w:id="378820851">
          <w:marLeft w:val="0"/>
          <w:marRight w:val="0"/>
          <w:marTop w:val="120"/>
          <w:marBottom w:val="0"/>
          <w:divBdr>
            <w:top w:val="none" w:sz="0" w:space="0" w:color="auto"/>
            <w:left w:val="none" w:sz="0" w:space="0" w:color="auto"/>
            <w:bottom w:val="none" w:sz="0" w:space="0" w:color="auto"/>
            <w:right w:val="none" w:sz="0" w:space="0" w:color="auto"/>
          </w:divBdr>
          <w:divsChild>
            <w:div w:id="1872836969">
              <w:marLeft w:val="0"/>
              <w:marRight w:val="0"/>
              <w:marTop w:val="0"/>
              <w:marBottom w:val="0"/>
              <w:divBdr>
                <w:top w:val="none" w:sz="0" w:space="0" w:color="auto"/>
                <w:left w:val="none" w:sz="0" w:space="0" w:color="auto"/>
                <w:bottom w:val="none" w:sz="0" w:space="0" w:color="auto"/>
                <w:right w:val="none" w:sz="0" w:space="0" w:color="auto"/>
              </w:divBdr>
            </w:div>
          </w:divsChild>
        </w:div>
        <w:div w:id="1068848723">
          <w:marLeft w:val="0"/>
          <w:marRight w:val="0"/>
          <w:marTop w:val="120"/>
          <w:marBottom w:val="0"/>
          <w:divBdr>
            <w:top w:val="none" w:sz="0" w:space="0" w:color="auto"/>
            <w:left w:val="none" w:sz="0" w:space="0" w:color="auto"/>
            <w:bottom w:val="none" w:sz="0" w:space="0" w:color="auto"/>
            <w:right w:val="none" w:sz="0" w:space="0" w:color="auto"/>
          </w:divBdr>
          <w:divsChild>
            <w:div w:id="20447864">
              <w:marLeft w:val="0"/>
              <w:marRight w:val="0"/>
              <w:marTop w:val="0"/>
              <w:marBottom w:val="0"/>
              <w:divBdr>
                <w:top w:val="none" w:sz="0" w:space="0" w:color="auto"/>
                <w:left w:val="none" w:sz="0" w:space="0" w:color="auto"/>
                <w:bottom w:val="none" w:sz="0" w:space="0" w:color="auto"/>
                <w:right w:val="none" w:sz="0" w:space="0" w:color="auto"/>
              </w:divBdr>
            </w:div>
          </w:divsChild>
        </w:div>
        <w:div w:id="932014478">
          <w:marLeft w:val="0"/>
          <w:marRight w:val="0"/>
          <w:marTop w:val="120"/>
          <w:marBottom w:val="0"/>
          <w:divBdr>
            <w:top w:val="none" w:sz="0" w:space="0" w:color="auto"/>
            <w:left w:val="none" w:sz="0" w:space="0" w:color="auto"/>
            <w:bottom w:val="none" w:sz="0" w:space="0" w:color="auto"/>
            <w:right w:val="none" w:sz="0" w:space="0" w:color="auto"/>
          </w:divBdr>
          <w:divsChild>
            <w:div w:id="1569538911">
              <w:marLeft w:val="0"/>
              <w:marRight w:val="0"/>
              <w:marTop w:val="0"/>
              <w:marBottom w:val="0"/>
              <w:divBdr>
                <w:top w:val="none" w:sz="0" w:space="0" w:color="auto"/>
                <w:left w:val="none" w:sz="0" w:space="0" w:color="auto"/>
                <w:bottom w:val="none" w:sz="0" w:space="0" w:color="auto"/>
                <w:right w:val="none" w:sz="0" w:space="0" w:color="auto"/>
              </w:divBdr>
            </w:div>
          </w:divsChild>
        </w:div>
        <w:div w:id="1814180144">
          <w:marLeft w:val="0"/>
          <w:marRight w:val="0"/>
          <w:marTop w:val="120"/>
          <w:marBottom w:val="0"/>
          <w:divBdr>
            <w:top w:val="none" w:sz="0" w:space="0" w:color="auto"/>
            <w:left w:val="none" w:sz="0" w:space="0" w:color="auto"/>
            <w:bottom w:val="none" w:sz="0" w:space="0" w:color="auto"/>
            <w:right w:val="none" w:sz="0" w:space="0" w:color="auto"/>
          </w:divBdr>
          <w:divsChild>
            <w:div w:id="585304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812643">
      <w:bodyDiv w:val="1"/>
      <w:marLeft w:val="0"/>
      <w:marRight w:val="0"/>
      <w:marTop w:val="0"/>
      <w:marBottom w:val="0"/>
      <w:divBdr>
        <w:top w:val="none" w:sz="0" w:space="0" w:color="auto"/>
        <w:left w:val="none" w:sz="0" w:space="0" w:color="auto"/>
        <w:bottom w:val="none" w:sz="0" w:space="0" w:color="auto"/>
        <w:right w:val="none" w:sz="0" w:space="0" w:color="auto"/>
      </w:divBdr>
    </w:div>
    <w:div w:id="1121723984">
      <w:bodyDiv w:val="1"/>
      <w:marLeft w:val="0"/>
      <w:marRight w:val="0"/>
      <w:marTop w:val="0"/>
      <w:marBottom w:val="0"/>
      <w:divBdr>
        <w:top w:val="none" w:sz="0" w:space="0" w:color="auto"/>
        <w:left w:val="none" w:sz="0" w:space="0" w:color="auto"/>
        <w:bottom w:val="none" w:sz="0" w:space="0" w:color="auto"/>
        <w:right w:val="none" w:sz="0" w:space="0" w:color="auto"/>
      </w:divBdr>
    </w:div>
    <w:div w:id="1192837475">
      <w:bodyDiv w:val="1"/>
      <w:marLeft w:val="0"/>
      <w:marRight w:val="0"/>
      <w:marTop w:val="0"/>
      <w:marBottom w:val="0"/>
      <w:divBdr>
        <w:top w:val="none" w:sz="0" w:space="0" w:color="auto"/>
        <w:left w:val="none" w:sz="0" w:space="0" w:color="auto"/>
        <w:bottom w:val="none" w:sz="0" w:space="0" w:color="auto"/>
        <w:right w:val="none" w:sz="0" w:space="0" w:color="auto"/>
      </w:divBdr>
    </w:div>
    <w:div w:id="1429766066">
      <w:bodyDiv w:val="1"/>
      <w:marLeft w:val="0"/>
      <w:marRight w:val="0"/>
      <w:marTop w:val="0"/>
      <w:marBottom w:val="0"/>
      <w:divBdr>
        <w:top w:val="none" w:sz="0" w:space="0" w:color="auto"/>
        <w:left w:val="none" w:sz="0" w:space="0" w:color="auto"/>
        <w:bottom w:val="none" w:sz="0" w:space="0" w:color="auto"/>
        <w:right w:val="none" w:sz="0" w:space="0" w:color="auto"/>
      </w:divBdr>
    </w:div>
    <w:div w:id="1513451267">
      <w:bodyDiv w:val="1"/>
      <w:marLeft w:val="0"/>
      <w:marRight w:val="0"/>
      <w:marTop w:val="0"/>
      <w:marBottom w:val="0"/>
      <w:divBdr>
        <w:top w:val="none" w:sz="0" w:space="0" w:color="auto"/>
        <w:left w:val="none" w:sz="0" w:space="0" w:color="auto"/>
        <w:bottom w:val="none" w:sz="0" w:space="0" w:color="auto"/>
        <w:right w:val="none" w:sz="0" w:space="0" w:color="auto"/>
      </w:divBdr>
    </w:div>
    <w:div w:id="1535188242">
      <w:bodyDiv w:val="1"/>
      <w:marLeft w:val="0"/>
      <w:marRight w:val="0"/>
      <w:marTop w:val="0"/>
      <w:marBottom w:val="0"/>
      <w:divBdr>
        <w:top w:val="none" w:sz="0" w:space="0" w:color="auto"/>
        <w:left w:val="none" w:sz="0" w:space="0" w:color="auto"/>
        <w:bottom w:val="none" w:sz="0" w:space="0" w:color="auto"/>
        <w:right w:val="none" w:sz="0" w:space="0" w:color="auto"/>
      </w:divBdr>
    </w:div>
    <w:div w:id="1547839649">
      <w:bodyDiv w:val="1"/>
      <w:marLeft w:val="0"/>
      <w:marRight w:val="0"/>
      <w:marTop w:val="0"/>
      <w:marBottom w:val="0"/>
      <w:divBdr>
        <w:top w:val="none" w:sz="0" w:space="0" w:color="auto"/>
        <w:left w:val="none" w:sz="0" w:space="0" w:color="auto"/>
        <w:bottom w:val="none" w:sz="0" w:space="0" w:color="auto"/>
        <w:right w:val="none" w:sz="0" w:space="0" w:color="auto"/>
      </w:divBdr>
    </w:div>
    <w:div w:id="1557545160">
      <w:bodyDiv w:val="1"/>
      <w:marLeft w:val="0"/>
      <w:marRight w:val="0"/>
      <w:marTop w:val="0"/>
      <w:marBottom w:val="0"/>
      <w:divBdr>
        <w:top w:val="none" w:sz="0" w:space="0" w:color="auto"/>
        <w:left w:val="none" w:sz="0" w:space="0" w:color="auto"/>
        <w:bottom w:val="none" w:sz="0" w:space="0" w:color="auto"/>
        <w:right w:val="none" w:sz="0" w:space="0" w:color="auto"/>
      </w:divBdr>
    </w:div>
    <w:div w:id="1759791721">
      <w:bodyDiv w:val="1"/>
      <w:marLeft w:val="0"/>
      <w:marRight w:val="0"/>
      <w:marTop w:val="0"/>
      <w:marBottom w:val="0"/>
      <w:divBdr>
        <w:top w:val="none" w:sz="0" w:space="0" w:color="auto"/>
        <w:left w:val="none" w:sz="0" w:space="0" w:color="auto"/>
        <w:bottom w:val="none" w:sz="0" w:space="0" w:color="auto"/>
        <w:right w:val="none" w:sz="0" w:space="0" w:color="auto"/>
      </w:divBdr>
    </w:div>
    <w:div w:id="2049910790">
      <w:bodyDiv w:val="1"/>
      <w:marLeft w:val="0"/>
      <w:marRight w:val="0"/>
      <w:marTop w:val="0"/>
      <w:marBottom w:val="0"/>
      <w:divBdr>
        <w:top w:val="none" w:sz="0" w:space="0" w:color="auto"/>
        <w:left w:val="none" w:sz="0" w:space="0" w:color="auto"/>
        <w:bottom w:val="none" w:sz="0" w:space="0" w:color="auto"/>
        <w:right w:val="none" w:sz="0" w:space="0" w:color="auto"/>
      </w:divBdr>
    </w:div>
    <w:div w:id="2097355983">
      <w:bodyDiv w:val="1"/>
      <w:marLeft w:val="0"/>
      <w:marRight w:val="0"/>
      <w:marTop w:val="0"/>
      <w:marBottom w:val="0"/>
      <w:divBdr>
        <w:top w:val="none" w:sz="0" w:space="0" w:color="auto"/>
        <w:left w:val="none" w:sz="0" w:space="0" w:color="auto"/>
        <w:bottom w:val="none" w:sz="0" w:space="0" w:color="auto"/>
        <w:right w:val="none" w:sz="0" w:space="0" w:color="auto"/>
      </w:divBdr>
    </w:div>
    <w:div w:id="2123064349">
      <w:bodyDiv w:val="1"/>
      <w:marLeft w:val="0"/>
      <w:marRight w:val="0"/>
      <w:marTop w:val="0"/>
      <w:marBottom w:val="0"/>
      <w:divBdr>
        <w:top w:val="none" w:sz="0" w:space="0" w:color="auto"/>
        <w:left w:val="none" w:sz="0" w:space="0" w:color="auto"/>
        <w:bottom w:val="none" w:sz="0" w:space="0" w:color="auto"/>
        <w:right w:val="none" w:sz="0" w:space="0" w:color="auto"/>
      </w:divBdr>
    </w:div>
    <w:div w:id="2125690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4</Pages>
  <Words>1182</Words>
  <Characters>7094</Characters>
  <Application>Microsoft Office Word</Application>
  <DocSecurity>0</DocSecurity>
  <Lines>59</Lines>
  <Paragraphs>16</Paragraphs>
  <ScaleCrop>false</ScaleCrop>
  <HeadingPairs>
    <vt:vector size="6" baseType="variant">
      <vt:variant>
        <vt:lpstr>Tytuł</vt:lpstr>
      </vt:variant>
      <vt:variant>
        <vt:i4>1</vt:i4>
      </vt:variant>
      <vt:variant>
        <vt:lpstr>Название</vt:lpstr>
      </vt:variant>
      <vt:variant>
        <vt:i4>1</vt:i4>
      </vt:variant>
      <vt:variant>
        <vt:lpstr>Назва</vt:lpstr>
      </vt:variant>
      <vt:variant>
        <vt:i4>1</vt:i4>
      </vt:variant>
    </vt:vector>
  </HeadingPairs>
  <TitlesOfParts>
    <vt:vector size="3" baseType="lpstr">
      <vt:lpstr/>
      <vt:lpstr/>
      <vt:lpstr/>
    </vt:vector>
  </TitlesOfParts>
  <Company/>
  <LinksUpToDate>false</LinksUpToDate>
  <CharactersWithSpaces>8260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ZNU</dc:creator>
  <cp:lastModifiedBy>Delis-Szeląg Katarzyna</cp:lastModifiedBy>
  <cp:revision>2</cp:revision>
  <dcterms:created xsi:type="dcterms:W3CDTF">2023-10-25T16:23:00Z</dcterms:created>
  <dcterms:modified xsi:type="dcterms:W3CDTF">2023-10-25T16:23:00Z</dcterms:modified>
</cp:coreProperties>
</file>