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C2EF1" w14:textId="6CCA9F81" w:rsidR="001C4193" w:rsidRPr="001026EF" w:rsidRDefault="001C4193" w:rsidP="001C4193">
      <w:pPr>
        <w:spacing w:line="259" w:lineRule="auto"/>
        <w:jc w:val="right"/>
        <w:rPr>
          <w:rFonts w:ascii="Calibri" w:hAnsi="Calibri" w:cs="Calibri"/>
          <w:b/>
          <w:bCs/>
          <w:sz w:val="20"/>
        </w:rPr>
      </w:pPr>
      <w:r>
        <w:rPr>
          <w:b/>
          <w:bCs/>
        </w:rPr>
        <w:t xml:space="preserve">                                                                      </w:t>
      </w:r>
      <w:r w:rsidRPr="001026EF">
        <w:rPr>
          <w:rFonts w:ascii="Calibri" w:hAnsi="Calibri"/>
          <w:b/>
          <w:bCs/>
          <w:sz w:val="20"/>
        </w:rPr>
        <w:t xml:space="preserve">Załącznik nr </w:t>
      </w:r>
      <w:r>
        <w:rPr>
          <w:b/>
          <w:bCs/>
          <w:sz w:val="20"/>
        </w:rPr>
        <w:t>1</w:t>
      </w:r>
    </w:p>
    <w:p w14:paraId="6F617F15" w14:textId="77777777" w:rsidR="001C4193" w:rsidRPr="00B160FA" w:rsidRDefault="001C4193" w:rsidP="001C4193">
      <w:pPr>
        <w:jc w:val="right"/>
        <w:rPr>
          <w:rFonts w:ascii="Calibri" w:hAnsi="Calibri" w:cs="Calibri"/>
          <w:sz w:val="20"/>
        </w:rPr>
      </w:pPr>
      <w:r w:rsidRPr="00B160FA">
        <w:rPr>
          <w:rFonts w:ascii="Calibri" w:hAnsi="Calibri"/>
          <w:sz w:val="20"/>
        </w:rPr>
        <w:t>do Protokołu z 21 posiedzenia Polsko-Ukraińskiej Komisji do Spraw Wód Granicznych</w:t>
      </w:r>
    </w:p>
    <w:p w14:paraId="6C2A6F5F" w14:textId="48C5CBF5" w:rsidR="00DB4315" w:rsidRPr="00565A8E" w:rsidRDefault="007D77CD" w:rsidP="001C4193">
      <w:pPr>
        <w:spacing w:after="240" w:line="276" w:lineRule="auto"/>
        <w:ind w:left="2832" w:firstLine="708"/>
        <w:jc w:val="right"/>
        <w:rPr>
          <w:rFonts w:asciiTheme="minorHAnsi" w:eastAsia="Calibri" w:hAnsiTheme="minorHAnsi" w:cstheme="minorHAnsi"/>
          <w:b/>
          <w:sz w:val="20"/>
          <w:lang w:eastAsia="en-US"/>
        </w:rPr>
      </w:pPr>
      <w:r>
        <w:rPr>
          <w:rFonts w:ascii="Calibri" w:eastAsia="Calibri" w:hAnsi="Calibri"/>
          <w:bCs/>
          <w:sz w:val="20"/>
        </w:rPr>
        <w:t>online</w:t>
      </w:r>
      <w:r w:rsidR="001C4193" w:rsidRPr="00B160FA">
        <w:rPr>
          <w:rFonts w:ascii="Calibri" w:eastAsia="Calibri" w:hAnsi="Calibri"/>
          <w:bCs/>
          <w:sz w:val="20"/>
        </w:rPr>
        <w:t>, 26- 27 października 2023 r.</w:t>
      </w:r>
    </w:p>
    <w:p w14:paraId="0CAD05AF" w14:textId="167BD955" w:rsidR="007168A5" w:rsidRPr="00565A8E" w:rsidRDefault="007168A5" w:rsidP="00565A8E">
      <w:pPr>
        <w:spacing w:line="276" w:lineRule="auto"/>
        <w:ind w:left="720"/>
        <w:jc w:val="center"/>
        <w:rPr>
          <w:rFonts w:asciiTheme="minorHAnsi" w:eastAsia="Calibri" w:hAnsiTheme="minorHAnsi" w:cstheme="minorHAnsi"/>
          <w:b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>Sprawozdanie z realizacji planu pracy Grupy Roboczej PL</w:t>
      </w:r>
      <w:r w:rsidR="00ED732B">
        <w:rPr>
          <w:rFonts w:asciiTheme="minorHAnsi" w:eastAsia="Calibri" w:hAnsiTheme="minorHAnsi" w:cstheme="minorHAnsi"/>
          <w:b/>
          <w:sz w:val="20"/>
          <w:lang w:eastAsia="en-US"/>
        </w:rPr>
        <w:t xml:space="preserve"> </w:t>
      </w:r>
      <w:r w:rsidR="001C4193">
        <w:rPr>
          <w:rFonts w:asciiTheme="minorHAnsi" w:eastAsia="Calibri" w:hAnsiTheme="minorHAnsi" w:cstheme="minorHAnsi"/>
          <w:b/>
          <w:sz w:val="20"/>
          <w:lang w:eastAsia="en-US"/>
        </w:rPr>
        <w:t>za</w:t>
      </w:r>
      <w:r w:rsidR="00DD0531"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 </w:t>
      </w:r>
      <w:r w:rsidR="001C4193">
        <w:rPr>
          <w:rFonts w:asciiTheme="minorHAnsi" w:eastAsia="Calibri" w:hAnsiTheme="minorHAnsi" w:cstheme="minorHAnsi"/>
          <w:b/>
          <w:sz w:val="20"/>
          <w:lang w:eastAsia="en-US"/>
        </w:rPr>
        <w:t xml:space="preserve">rok </w:t>
      </w: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>202</w:t>
      </w:r>
      <w:r w:rsidR="00DD0531" w:rsidRPr="00565A8E">
        <w:rPr>
          <w:rFonts w:asciiTheme="minorHAnsi" w:eastAsia="Calibri" w:hAnsiTheme="minorHAnsi" w:cstheme="minorHAnsi"/>
          <w:b/>
          <w:sz w:val="20"/>
          <w:lang w:eastAsia="en-US"/>
        </w:rPr>
        <w:t>3</w:t>
      </w:r>
      <w:r w:rsidR="001C4193">
        <w:rPr>
          <w:rFonts w:asciiTheme="minorHAnsi" w:eastAsia="Calibri" w:hAnsiTheme="minorHAnsi" w:cstheme="minorHAnsi"/>
          <w:b/>
          <w:sz w:val="20"/>
          <w:lang w:eastAsia="en-US"/>
        </w:rPr>
        <w:t xml:space="preserve"> </w:t>
      </w:r>
    </w:p>
    <w:p w14:paraId="2A18F3D6" w14:textId="77777777" w:rsidR="007168A5" w:rsidRPr="00565A8E" w:rsidRDefault="007168A5" w:rsidP="00565A8E">
      <w:pPr>
        <w:spacing w:line="276" w:lineRule="auto"/>
        <w:ind w:left="720"/>
        <w:jc w:val="center"/>
        <w:rPr>
          <w:rFonts w:asciiTheme="minorHAnsi" w:eastAsia="Calibri" w:hAnsiTheme="minorHAnsi" w:cstheme="minorHAnsi"/>
          <w:sz w:val="20"/>
          <w:lang w:eastAsia="en-US"/>
        </w:rPr>
      </w:pPr>
    </w:p>
    <w:p w14:paraId="1A4F2C11" w14:textId="77777777" w:rsidR="007168A5" w:rsidRPr="00565A8E" w:rsidRDefault="007168A5" w:rsidP="00565A8E">
      <w:pPr>
        <w:numPr>
          <w:ilvl w:val="0"/>
          <w:numId w:val="6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Praca Grupy PL 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realizowana była w oparciu o: </w:t>
      </w:r>
    </w:p>
    <w:p w14:paraId="6A5A3B0D" w14:textId="77777777" w:rsidR="007168A5" w:rsidRPr="00565A8E" w:rsidRDefault="007168A5" w:rsidP="00565A8E">
      <w:pPr>
        <w:spacing w:line="276" w:lineRule="auto"/>
        <w:ind w:left="720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• Regulamin Grupy PL, </w:t>
      </w:r>
    </w:p>
    <w:p w14:paraId="22984860" w14:textId="509677FC" w:rsidR="007168A5" w:rsidRPr="00565A8E" w:rsidRDefault="007168A5" w:rsidP="00565A8E">
      <w:pPr>
        <w:spacing w:line="276" w:lineRule="auto"/>
        <w:ind w:left="720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• Plan pracy Grupy PL na </w:t>
      </w:r>
      <w:r w:rsidR="00E70E08">
        <w:rPr>
          <w:rFonts w:asciiTheme="minorHAnsi" w:eastAsia="Calibri" w:hAnsiTheme="minorHAnsi" w:cstheme="minorHAnsi"/>
          <w:sz w:val="20"/>
          <w:lang w:eastAsia="en-US"/>
        </w:rPr>
        <w:t>rok</w:t>
      </w:r>
      <w:r w:rsidR="00DD0531" w:rsidRPr="00565A8E">
        <w:rPr>
          <w:rFonts w:asciiTheme="minorHAnsi" w:eastAsia="Calibri" w:hAnsiTheme="minorHAnsi" w:cstheme="minorHAnsi"/>
          <w:sz w:val="20"/>
          <w:lang w:eastAsia="en-US"/>
        </w:rPr>
        <w:t xml:space="preserve"> </w:t>
      </w:r>
      <w:r w:rsidRPr="00DB252D">
        <w:rPr>
          <w:rFonts w:asciiTheme="minorHAnsi" w:eastAsia="Calibri" w:hAnsiTheme="minorHAnsi" w:cstheme="minorHAnsi"/>
          <w:sz w:val="20"/>
          <w:lang w:eastAsia="en-US"/>
        </w:rPr>
        <w:t>20</w:t>
      </w:r>
      <w:r w:rsidR="00DB252D" w:rsidRPr="00DB252D">
        <w:rPr>
          <w:rFonts w:asciiTheme="minorHAnsi" w:eastAsia="Calibri" w:hAnsiTheme="minorHAnsi" w:cstheme="minorHAnsi"/>
          <w:sz w:val="20"/>
          <w:lang w:eastAsia="en-US"/>
        </w:rPr>
        <w:t>23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zatwierdzony na X</w:t>
      </w:r>
      <w:r w:rsidR="00415DED" w:rsidRPr="00565A8E">
        <w:rPr>
          <w:rFonts w:asciiTheme="minorHAnsi" w:eastAsia="Calibri" w:hAnsiTheme="minorHAnsi" w:cstheme="minorHAnsi"/>
          <w:sz w:val="20"/>
          <w:lang w:eastAsia="en-US"/>
        </w:rPr>
        <w:t>X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posiedzeniu Komisji</w:t>
      </w:r>
    </w:p>
    <w:p w14:paraId="471D5EDF" w14:textId="77777777" w:rsidR="007168A5" w:rsidRPr="00565A8E" w:rsidRDefault="007168A5" w:rsidP="00565A8E">
      <w:pPr>
        <w:numPr>
          <w:ilvl w:val="0"/>
          <w:numId w:val="6"/>
        </w:numPr>
        <w:spacing w:line="276" w:lineRule="auto"/>
        <w:rPr>
          <w:rFonts w:asciiTheme="minorHAnsi" w:eastAsia="Calibri" w:hAnsiTheme="minorHAnsi" w:cstheme="minorHAnsi"/>
          <w:b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 Realizacja zadań </w:t>
      </w:r>
    </w:p>
    <w:p w14:paraId="4CCD5C3D" w14:textId="22558EE1" w:rsidR="007168A5" w:rsidRPr="00565A8E" w:rsidRDefault="007168A5" w:rsidP="00565A8E">
      <w:pPr>
        <w:spacing w:line="276" w:lineRule="auto"/>
        <w:ind w:firstLine="360"/>
        <w:rPr>
          <w:rFonts w:asciiTheme="minorHAnsi" w:eastAsia="Calibri" w:hAnsiTheme="minorHAnsi" w:cstheme="minorHAnsi"/>
          <w:b/>
          <w:bCs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 xml:space="preserve">W dniu </w:t>
      </w:r>
      <w:r w:rsidR="00415DED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>2</w:t>
      </w:r>
      <w:r w:rsidR="00DD0531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>2</w:t>
      </w:r>
      <w:r w:rsidR="00415DED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 xml:space="preserve"> </w:t>
      </w:r>
      <w:r w:rsidR="00DD0531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 xml:space="preserve">września </w:t>
      </w:r>
      <w:r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>202</w:t>
      </w:r>
      <w:r w:rsidR="00DD0531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>3</w:t>
      </w:r>
      <w:r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 xml:space="preserve"> r. w</w:t>
      </w:r>
      <w:r w:rsidR="00415DED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 xml:space="preserve"> </w:t>
      </w:r>
      <w:r w:rsidR="00DD0531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>Lwowie</w:t>
      </w:r>
      <w:r w:rsidR="00415DED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 xml:space="preserve"> (</w:t>
      </w:r>
      <w:r w:rsidR="00DD0531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>Ukraina</w:t>
      </w:r>
      <w:r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 xml:space="preserve">) odbyło się posiedzenie ukraińsko-polskiej Grupy roboczej PL. W związku </w:t>
      </w:r>
      <w:r w:rsidR="00415DED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 xml:space="preserve">z sytuacja militarną </w:t>
      </w:r>
      <w:r w:rsidR="00F32131">
        <w:rPr>
          <w:rFonts w:asciiTheme="minorHAnsi" w:eastAsia="Calibri" w:hAnsiTheme="minorHAnsi" w:cstheme="minorHAnsi"/>
          <w:b/>
          <w:bCs/>
          <w:sz w:val="20"/>
          <w:lang w:eastAsia="en-US"/>
        </w:rPr>
        <w:t>w</w:t>
      </w:r>
      <w:r w:rsidR="00415DED"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 xml:space="preserve"> Ukrainie</w:t>
      </w:r>
      <w:r w:rsidRPr="00565A8E">
        <w:rPr>
          <w:rFonts w:asciiTheme="minorHAnsi" w:eastAsia="Calibri" w:hAnsiTheme="minorHAnsi" w:cstheme="minorHAnsi"/>
          <w:b/>
          <w:bCs/>
          <w:sz w:val="20"/>
          <w:lang w:eastAsia="en-US"/>
        </w:rPr>
        <w:t xml:space="preserve"> spotkanie odbyło się online. </w:t>
      </w:r>
    </w:p>
    <w:p w14:paraId="7D587815" w14:textId="77777777" w:rsidR="00CE34D9" w:rsidRPr="00565A8E" w:rsidRDefault="00CE34D9" w:rsidP="00565A8E">
      <w:pPr>
        <w:spacing w:line="276" w:lineRule="auto"/>
        <w:ind w:left="720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Podczas narady przedstawiono informację dotyczącą Ukrainy i Rzeczypospolitej Polskiej odnośnie:</w:t>
      </w:r>
    </w:p>
    <w:p w14:paraId="4603BB5C" w14:textId="1C676353" w:rsidR="0014616F" w:rsidRPr="00565A8E" w:rsidRDefault="0014616F" w:rsidP="00565A8E">
      <w:pPr>
        <w:numPr>
          <w:ilvl w:val="0"/>
          <w:numId w:val="12"/>
        </w:numPr>
        <w:spacing w:line="276" w:lineRule="auto"/>
        <w:ind w:left="993" w:hanging="284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 xml:space="preserve">wyników </w:t>
      </w:r>
      <w:r w:rsidR="00DD0531" w:rsidRPr="00565A8E">
        <w:rPr>
          <w:rFonts w:asciiTheme="minorHAnsi" w:hAnsiTheme="minorHAnsi" w:cstheme="minorHAnsi"/>
          <w:sz w:val="20"/>
        </w:rPr>
        <w:t xml:space="preserve">i </w:t>
      </w:r>
      <w:r w:rsidR="004324F6" w:rsidRPr="00565A8E">
        <w:rPr>
          <w:rFonts w:asciiTheme="minorHAnsi" w:hAnsiTheme="minorHAnsi" w:cstheme="minorHAnsi"/>
          <w:sz w:val="20"/>
        </w:rPr>
        <w:t>postanow</w:t>
      </w:r>
      <w:r w:rsidR="004324F6">
        <w:rPr>
          <w:rFonts w:asciiTheme="minorHAnsi" w:hAnsiTheme="minorHAnsi" w:cstheme="minorHAnsi"/>
          <w:sz w:val="20"/>
        </w:rPr>
        <w:t>ień</w:t>
      </w:r>
      <w:r w:rsidRPr="00565A8E">
        <w:rPr>
          <w:rFonts w:asciiTheme="minorHAnsi" w:hAnsiTheme="minorHAnsi" w:cstheme="minorHAnsi"/>
          <w:sz w:val="20"/>
        </w:rPr>
        <w:t xml:space="preserve"> </w:t>
      </w:r>
      <w:r w:rsidR="00AB5693" w:rsidRPr="00565A8E">
        <w:rPr>
          <w:rFonts w:asciiTheme="minorHAnsi" w:hAnsiTheme="minorHAnsi" w:cstheme="minorHAnsi"/>
          <w:sz w:val="20"/>
        </w:rPr>
        <w:t>z protokołu</w:t>
      </w:r>
      <w:r w:rsidRPr="00565A8E">
        <w:rPr>
          <w:rFonts w:asciiTheme="minorHAnsi" w:hAnsiTheme="minorHAnsi" w:cstheme="minorHAnsi"/>
          <w:sz w:val="20"/>
        </w:rPr>
        <w:t xml:space="preserve"> X</w:t>
      </w:r>
      <w:r w:rsidR="00415DED" w:rsidRPr="00565A8E">
        <w:rPr>
          <w:rFonts w:asciiTheme="minorHAnsi" w:hAnsiTheme="minorHAnsi" w:cstheme="minorHAnsi"/>
          <w:sz w:val="20"/>
        </w:rPr>
        <w:t>X</w:t>
      </w:r>
      <w:r w:rsidRPr="00565A8E">
        <w:rPr>
          <w:rFonts w:asciiTheme="minorHAnsi" w:hAnsiTheme="minorHAnsi" w:cstheme="minorHAnsi"/>
          <w:sz w:val="20"/>
        </w:rPr>
        <w:t xml:space="preserve"> Posiedzenia Ukraińsko-Polskiej Komisji ds. wód granicznych (</w:t>
      </w:r>
      <w:r w:rsidR="00DD0531" w:rsidRPr="00565A8E">
        <w:rPr>
          <w:rFonts w:asciiTheme="minorHAnsi" w:hAnsiTheme="minorHAnsi" w:cstheme="minorHAnsi"/>
          <w:sz w:val="20"/>
        </w:rPr>
        <w:t>Rzeszów</w:t>
      </w:r>
      <w:r w:rsidRPr="00565A8E">
        <w:rPr>
          <w:rFonts w:asciiTheme="minorHAnsi" w:hAnsiTheme="minorHAnsi" w:cstheme="minorHAnsi"/>
          <w:sz w:val="20"/>
        </w:rPr>
        <w:t xml:space="preserve">, </w:t>
      </w:r>
      <w:r w:rsidR="00DD0531" w:rsidRPr="00565A8E">
        <w:rPr>
          <w:rFonts w:asciiTheme="minorHAnsi" w:hAnsiTheme="minorHAnsi" w:cstheme="minorHAnsi"/>
          <w:sz w:val="20"/>
        </w:rPr>
        <w:t>Rzeczpospolita Polska 14</w:t>
      </w:r>
      <w:r w:rsidR="00415DED" w:rsidRPr="00565A8E">
        <w:rPr>
          <w:rFonts w:asciiTheme="minorHAnsi" w:hAnsiTheme="minorHAnsi" w:cstheme="minorHAnsi"/>
          <w:sz w:val="20"/>
        </w:rPr>
        <w:t>-</w:t>
      </w:r>
      <w:r w:rsidR="00DD0531" w:rsidRPr="00565A8E">
        <w:rPr>
          <w:rFonts w:asciiTheme="minorHAnsi" w:hAnsiTheme="minorHAnsi" w:cstheme="minorHAnsi"/>
          <w:sz w:val="20"/>
        </w:rPr>
        <w:t>15</w:t>
      </w:r>
      <w:r w:rsidR="00415DED" w:rsidRPr="00565A8E">
        <w:rPr>
          <w:rFonts w:asciiTheme="minorHAnsi" w:hAnsiTheme="minorHAnsi" w:cstheme="minorHAnsi"/>
          <w:sz w:val="20"/>
        </w:rPr>
        <w:t xml:space="preserve"> grudnia</w:t>
      </w:r>
      <w:r w:rsidRPr="00565A8E">
        <w:rPr>
          <w:rFonts w:asciiTheme="minorHAnsi" w:hAnsiTheme="minorHAnsi" w:cstheme="minorHAnsi"/>
          <w:sz w:val="20"/>
        </w:rPr>
        <w:t xml:space="preserve">, </w:t>
      </w:r>
      <w:r w:rsidRPr="00DB252D">
        <w:rPr>
          <w:rFonts w:asciiTheme="minorHAnsi" w:hAnsiTheme="minorHAnsi" w:cstheme="minorHAnsi"/>
          <w:sz w:val="20"/>
        </w:rPr>
        <w:t>20</w:t>
      </w:r>
      <w:r w:rsidR="00415DED" w:rsidRPr="00DB252D">
        <w:rPr>
          <w:rFonts w:asciiTheme="minorHAnsi" w:hAnsiTheme="minorHAnsi" w:cstheme="minorHAnsi"/>
          <w:sz w:val="20"/>
        </w:rPr>
        <w:t>2</w:t>
      </w:r>
      <w:r w:rsidR="00DB252D" w:rsidRPr="00DB252D">
        <w:rPr>
          <w:rFonts w:asciiTheme="minorHAnsi" w:hAnsiTheme="minorHAnsi" w:cstheme="minorHAnsi"/>
          <w:sz w:val="20"/>
        </w:rPr>
        <w:t>2</w:t>
      </w:r>
      <w:r w:rsidRPr="00565A8E">
        <w:rPr>
          <w:rFonts w:asciiTheme="minorHAnsi" w:hAnsiTheme="minorHAnsi" w:cstheme="minorHAnsi"/>
          <w:sz w:val="20"/>
        </w:rPr>
        <w:t xml:space="preserve"> roku</w:t>
      </w:r>
      <w:r w:rsidR="00FB3044" w:rsidRPr="00565A8E">
        <w:rPr>
          <w:rFonts w:asciiTheme="minorHAnsi" w:hAnsiTheme="minorHAnsi" w:cstheme="minorHAnsi"/>
          <w:sz w:val="20"/>
        </w:rPr>
        <w:t xml:space="preserve">). </w:t>
      </w:r>
    </w:p>
    <w:p w14:paraId="18378A79" w14:textId="2224C041" w:rsidR="0014616F" w:rsidRPr="00565A8E" w:rsidRDefault="00415DED" w:rsidP="00565A8E">
      <w:pPr>
        <w:numPr>
          <w:ilvl w:val="0"/>
          <w:numId w:val="12"/>
        </w:numPr>
        <w:spacing w:line="276" w:lineRule="auto"/>
        <w:ind w:left="993" w:hanging="284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>i</w:t>
      </w:r>
      <w:r w:rsidR="0014616F" w:rsidRPr="00565A8E">
        <w:rPr>
          <w:rFonts w:asciiTheme="minorHAnsi" w:eastAsia="Calibri" w:hAnsiTheme="minorHAnsi" w:cstheme="minorHAnsi"/>
          <w:sz w:val="20"/>
          <w:lang w:eastAsia="en-US"/>
        </w:rPr>
        <w:t>nformacji o zmianach przepisów w latach 20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2</w:t>
      </w:r>
      <w:r w:rsidR="00AB5693" w:rsidRPr="00565A8E">
        <w:rPr>
          <w:rFonts w:asciiTheme="minorHAnsi" w:eastAsia="Calibri" w:hAnsiTheme="minorHAnsi" w:cstheme="minorHAnsi"/>
          <w:sz w:val="20"/>
          <w:lang w:eastAsia="en-US"/>
        </w:rPr>
        <w:t>2</w:t>
      </w:r>
      <w:r w:rsidR="0014616F" w:rsidRPr="00565A8E">
        <w:rPr>
          <w:rFonts w:asciiTheme="minorHAnsi" w:eastAsia="Calibri" w:hAnsiTheme="minorHAnsi" w:cstheme="minorHAnsi"/>
          <w:sz w:val="20"/>
          <w:lang w:eastAsia="en-US"/>
        </w:rPr>
        <w:t>-202</w:t>
      </w:r>
      <w:r w:rsidR="007A16E7">
        <w:rPr>
          <w:rFonts w:asciiTheme="minorHAnsi" w:eastAsia="Calibri" w:hAnsiTheme="minorHAnsi" w:cstheme="minorHAnsi"/>
          <w:sz w:val="20"/>
          <w:lang w:eastAsia="en-US"/>
        </w:rPr>
        <w:t>3</w:t>
      </w:r>
      <w:r w:rsidR="0014616F" w:rsidRPr="00565A8E">
        <w:rPr>
          <w:rFonts w:asciiTheme="minorHAnsi" w:eastAsia="Calibri" w:hAnsiTheme="minorHAnsi" w:cstheme="minorHAnsi"/>
          <w:sz w:val="20"/>
          <w:lang w:eastAsia="en-US"/>
        </w:rPr>
        <w:t xml:space="preserve"> w zakresie gospodarki wodnej, </w:t>
      </w:r>
    </w:p>
    <w:p w14:paraId="25C7F377" w14:textId="77777777" w:rsidR="0014616F" w:rsidRPr="00565A8E" w:rsidRDefault="0014616F" w:rsidP="00565A8E">
      <w:pPr>
        <w:numPr>
          <w:ilvl w:val="0"/>
          <w:numId w:val="12"/>
        </w:numPr>
        <w:spacing w:line="276" w:lineRule="auto"/>
        <w:ind w:left="993" w:hanging="284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>aktualn</w:t>
      </w:r>
      <w:r w:rsidR="00415DED" w:rsidRPr="00565A8E">
        <w:rPr>
          <w:rFonts w:asciiTheme="minorHAnsi" w:eastAsia="Calibri" w:hAnsiTheme="minorHAnsi" w:cstheme="minorHAnsi"/>
          <w:sz w:val="20"/>
          <w:lang w:eastAsia="en-US"/>
        </w:rPr>
        <w:t>ych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kierunk</w:t>
      </w:r>
      <w:r w:rsidR="00415DED" w:rsidRPr="00565A8E">
        <w:rPr>
          <w:rFonts w:asciiTheme="minorHAnsi" w:eastAsia="Calibri" w:hAnsiTheme="minorHAnsi" w:cstheme="minorHAnsi"/>
          <w:sz w:val="20"/>
          <w:lang w:eastAsia="en-US"/>
        </w:rPr>
        <w:t>ów</w:t>
      </w:r>
      <w:r w:rsidR="002507D0" w:rsidRPr="00565A8E">
        <w:rPr>
          <w:rFonts w:asciiTheme="minorHAnsi" w:eastAsia="Calibri" w:hAnsiTheme="minorHAnsi" w:cstheme="minorHAnsi"/>
          <w:sz w:val="20"/>
          <w:lang w:eastAsia="en-US"/>
        </w:rPr>
        <w:t xml:space="preserve"> 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i prac w zakresie planowania i gospodarowania zasobami wodnymi w Ukrainie                                        i w Rzeczypospolitej Polskiej, </w:t>
      </w:r>
    </w:p>
    <w:p w14:paraId="02D3D5DB" w14:textId="77777777" w:rsidR="0014616F" w:rsidRPr="00565A8E" w:rsidRDefault="0014616F" w:rsidP="00565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993" w:hanging="284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4. system</w:t>
      </w:r>
      <w:r w:rsidR="00E32605" w:rsidRPr="00565A8E">
        <w:rPr>
          <w:rFonts w:asciiTheme="minorHAnsi" w:hAnsiTheme="minorHAnsi" w:cstheme="minorHAnsi"/>
          <w:sz w:val="20"/>
        </w:rPr>
        <w:t>u</w:t>
      </w:r>
      <w:r w:rsidRPr="00565A8E">
        <w:rPr>
          <w:rFonts w:asciiTheme="minorHAnsi" w:hAnsiTheme="minorHAnsi" w:cstheme="minorHAnsi"/>
          <w:sz w:val="20"/>
        </w:rPr>
        <w:t xml:space="preserve"> zarządzania gospodarką wodną w odniesieniu do instytucji rządowych i jednostek im podległych.</w:t>
      </w:r>
    </w:p>
    <w:p w14:paraId="13BFD9D3" w14:textId="06D54C6B" w:rsidR="0014616F" w:rsidRPr="00565A8E" w:rsidRDefault="0014616F" w:rsidP="00565A8E">
      <w:pPr>
        <w:spacing w:line="276" w:lineRule="auto"/>
        <w:ind w:left="993" w:hanging="284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5. </w:t>
      </w:r>
      <w:r w:rsidR="002507D0" w:rsidRPr="00565A8E">
        <w:rPr>
          <w:rFonts w:asciiTheme="minorHAnsi" w:eastAsia="Calibri" w:hAnsiTheme="minorHAnsi" w:cstheme="minorHAnsi"/>
          <w:sz w:val="20"/>
          <w:lang w:eastAsia="en-US"/>
        </w:rPr>
        <w:t xml:space="preserve"> 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przygotowania i realizacji projektów </w:t>
      </w:r>
      <w:r w:rsidR="00AB5693" w:rsidRPr="00565A8E">
        <w:rPr>
          <w:rFonts w:asciiTheme="minorHAnsi" w:eastAsia="Calibri" w:hAnsiTheme="minorHAnsi" w:cstheme="minorHAnsi"/>
          <w:sz w:val="20"/>
          <w:lang w:eastAsia="en-US"/>
        </w:rPr>
        <w:t>w dorzeczu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Bugu i Sanu,</w:t>
      </w:r>
    </w:p>
    <w:p w14:paraId="42142E06" w14:textId="281279E0" w:rsidR="0014616F" w:rsidRPr="00565A8E" w:rsidRDefault="00415DED" w:rsidP="00565A8E">
      <w:pPr>
        <w:spacing w:line="276" w:lineRule="auto"/>
        <w:ind w:left="993" w:hanging="284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>6</w:t>
      </w:r>
      <w:r w:rsidR="00AB5693" w:rsidRPr="00565A8E">
        <w:rPr>
          <w:rFonts w:asciiTheme="minorHAnsi" w:eastAsia="Calibri" w:hAnsiTheme="minorHAnsi" w:cstheme="minorHAnsi"/>
          <w:sz w:val="20"/>
          <w:lang w:eastAsia="en-US"/>
        </w:rPr>
        <w:t xml:space="preserve">.  </w:t>
      </w:r>
      <w:r w:rsidR="00643213" w:rsidRPr="00565A8E">
        <w:rPr>
          <w:rFonts w:asciiTheme="minorHAnsi" w:eastAsia="Calibri" w:hAnsiTheme="minorHAnsi" w:cstheme="minorHAnsi"/>
          <w:sz w:val="20"/>
          <w:lang w:eastAsia="en-US"/>
        </w:rPr>
        <w:t>dokumentów na XX</w:t>
      </w:r>
      <w:r w:rsidR="00AB5693" w:rsidRPr="00565A8E">
        <w:rPr>
          <w:rFonts w:asciiTheme="minorHAnsi" w:eastAsia="Calibri" w:hAnsiTheme="minorHAnsi" w:cstheme="minorHAnsi"/>
          <w:sz w:val="20"/>
          <w:lang w:eastAsia="en-US"/>
        </w:rPr>
        <w:t>I</w:t>
      </w:r>
      <w:r w:rsidR="00643213" w:rsidRPr="00565A8E">
        <w:rPr>
          <w:rFonts w:asciiTheme="minorHAnsi" w:eastAsia="Calibri" w:hAnsiTheme="minorHAnsi" w:cstheme="minorHAnsi"/>
          <w:sz w:val="20"/>
          <w:lang w:eastAsia="en-US"/>
        </w:rPr>
        <w:t xml:space="preserve"> posiedzenie Komisji, a w tym: spra</w:t>
      </w:r>
      <w:r w:rsidR="00E70E08">
        <w:rPr>
          <w:rFonts w:asciiTheme="minorHAnsi" w:eastAsia="Calibri" w:hAnsiTheme="minorHAnsi" w:cstheme="minorHAnsi"/>
          <w:sz w:val="20"/>
          <w:lang w:eastAsia="en-US"/>
        </w:rPr>
        <w:t xml:space="preserve">wozdanie pracy grupy PL za </w:t>
      </w:r>
      <w:r w:rsidR="00C5766A">
        <w:rPr>
          <w:rFonts w:asciiTheme="minorHAnsi" w:eastAsia="Calibri" w:hAnsiTheme="minorHAnsi" w:cstheme="minorHAnsi"/>
          <w:sz w:val="20"/>
          <w:lang w:eastAsia="en-US"/>
        </w:rPr>
        <w:t>rok 2023</w:t>
      </w:r>
      <w:r w:rsidR="00643213" w:rsidRPr="00565A8E">
        <w:rPr>
          <w:rFonts w:asciiTheme="minorHAnsi" w:eastAsia="Calibri" w:hAnsiTheme="minorHAnsi" w:cstheme="minorHAnsi"/>
          <w:sz w:val="20"/>
          <w:lang w:eastAsia="en-US"/>
        </w:rPr>
        <w:t xml:space="preserve"> oraz Plan grupy PL na </w:t>
      </w:r>
      <w:r w:rsidR="00C5766A">
        <w:rPr>
          <w:rFonts w:asciiTheme="minorHAnsi" w:eastAsia="Calibri" w:hAnsiTheme="minorHAnsi" w:cstheme="minorHAnsi"/>
          <w:sz w:val="20"/>
          <w:lang w:eastAsia="en-US"/>
        </w:rPr>
        <w:t>rok 2024</w:t>
      </w:r>
    </w:p>
    <w:p w14:paraId="1B3679C5" w14:textId="77777777" w:rsidR="0014616F" w:rsidRPr="00565A8E" w:rsidRDefault="0014616F" w:rsidP="00565A8E">
      <w:pPr>
        <w:spacing w:line="276" w:lineRule="auto"/>
        <w:ind w:left="720"/>
        <w:rPr>
          <w:rFonts w:asciiTheme="minorHAnsi" w:hAnsiTheme="minorHAnsi" w:cstheme="minorHAnsi"/>
          <w:sz w:val="20"/>
        </w:rPr>
      </w:pPr>
    </w:p>
    <w:p w14:paraId="13EA2906" w14:textId="2D0440EE" w:rsidR="0014616F" w:rsidRPr="00565A8E" w:rsidRDefault="002429C4" w:rsidP="00565A8E">
      <w:pPr>
        <w:numPr>
          <w:ilvl w:val="0"/>
          <w:numId w:val="13"/>
        </w:numPr>
        <w:spacing w:line="276" w:lineRule="auto"/>
        <w:ind w:left="709" w:hanging="709"/>
        <w:rPr>
          <w:rFonts w:asciiTheme="minorHAnsi" w:hAnsiTheme="minorHAnsi" w:cstheme="minorHAnsi"/>
          <w:b/>
          <w:bCs/>
          <w:sz w:val="20"/>
        </w:rPr>
      </w:pPr>
      <w:r w:rsidRPr="00565A8E">
        <w:rPr>
          <w:rFonts w:asciiTheme="minorHAnsi" w:hAnsiTheme="minorHAnsi" w:cstheme="minorHAnsi"/>
          <w:b/>
          <w:bCs/>
          <w:sz w:val="20"/>
        </w:rPr>
        <w:t xml:space="preserve">omówienie wyników </w:t>
      </w:r>
      <w:r w:rsidR="004324F6" w:rsidRPr="00565A8E">
        <w:rPr>
          <w:rFonts w:asciiTheme="minorHAnsi" w:hAnsiTheme="minorHAnsi" w:cstheme="minorHAnsi"/>
          <w:b/>
          <w:bCs/>
          <w:sz w:val="20"/>
        </w:rPr>
        <w:t>i postanowień</w:t>
      </w:r>
      <w:r w:rsidRPr="00565A8E">
        <w:rPr>
          <w:rFonts w:asciiTheme="minorHAnsi" w:hAnsiTheme="minorHAnsi" w:cstheme="minorHAnsi"/>
          <w:b/>
          <w:bCs/>
          <w:sz w:val="20"/>
        </w:rPr>
        <w:t xml:space="preserve"> </w:t>
      </w:r>
      <w:r w:rsidR="004324F6" w:rsidRPr="00565A8E">
        <w:rPr>
          <w:rFonts w:asciiTheme="minorHAnsi" w:hAnsiTheme="minorHAnsi" w:cstheme="minorHAnsi"/>
          <w:b/>
          <w:bCs/>
          <w:sz w:val="20"/>
        </w:rPr>
        <w:t>z protokołu</w:t>
      </w:r>
      <w:r w:rsidRPr="00565A8E">
        <w:rPr>
          <w:rFonts w:asciiTheme="minorHAnsi" w:hAnsiTheme="minorHAnsi" w:cstheme="minorHAnsi"/>
          <w:b/>
          <w:bCs/>
          <w:sz w:val="20"/>
        </w:rPr>
        <w:t xml:space="preserve"> X</w:t>
      </w:r>
      <w:r w:rsidR="00643213" w:rsidRPr="00565A8E">
        <w:rPr>
          <w:rFonts w:asciiTheme="minorHAnsi" w:hAnsiTheme="minorHAnsi" w:cstheme="minorHAnsi"/>
          <w:b/>
          <w:bCs/>
          <w:sz w:val="20"/>
        </w:rPr>
        <w:t>X</w:t>
      </w:r>
      <w:r w:rsidRPr="00565A8E">
        <w:rPr>
          <w:rFonts w:asciiTheme="minorHAnsi" w:hAnsiTheme="minorHAnsi" w:cstheme="minorHAnsi"/>
          <w:b/>
          <w:bCs/>
          <w:sz w:val="20"/>
        </w:rPr>
        <w:t xml:space="preserve"> Posiedzenia Ukraińsko-Polskiej Komisji ds. wód granicznych (</w:t>
      </w:r>
      <w:r w:rsidR="00AB5693" w:rsidRPr="00565A8E">
        <w:rPr>
          <w:rFonts w:asciiTheme="minorHAnsi" w:hAnsiTheme="minorHAnsi" w:cstheme="minorHAnsi"/>
          <w:sz w:val="20"/>
        </w:rPr>
        <w:t>Rzeszów, Rzeczpospolita Polska 14-15 grudnia, 202</w:t>
      </w:r>
      <w:r w:rsidR="00DB252D">
        <w:rPr>
          <w:rFonts w:asciiTheme="minorHAnsi" w:hAnsiTheme="minorHAnsi" w:cstheme="minorHAnsi"/>
          <w:sz w:val="20"/>
        </w:rPr>
        <w:t>2</w:t>
      </w:r>
      <w:r w:rsidR="00AB5693" w:rsidRPr="00565A8E">
        <w:rPr>
          <w:rFonts w:asciiTheme="minorHAnsi" w:hAnsiTheme="minorHAnsi" w:cstheme="minorHAnsi"/>
          <w:sz w:val="20"/>
        </w:rPr>
        <w:t xml:space="preserve"> roku</w:t>
      </w:r>
      <w:r w:rsidRPr="007A67DC">
        <w:rPr>
          <w:rFonts w:asciiTheme="minorHAnsi" w:hAnsiTheme="minorHAnsi" w:cstheme="minorHAnsi"/>
          <w:b/>
          <w:bCs/>
          <w:sz w:val="20"/>
        </w:rPr>
        <w:t>)</w:t>
      </w:r>
    </w:p>
    <w:p w14:paraId="19349656" w14:textId="77777777" w:rsidR="00643213" w:rsidRPr="00565A8E" w:rsidRDefault="00643213" w:rsidP="00565A8E">
      <w:pPr>
        <w:spacing w:line="276" w:lineRule="auto"/>
        <w:ind w:left="709"/>
        <w:rPr>
          <w:rFonts w:asciiTheme="minorHAnsi" w:hAnsiTheme="minorHAnsi" w:cstheme="minorHAnsi"/>
          <w:b/>
          <w:bCs/>
          <w:sz w:val="20"/>
        </w:rPr>
      </w:pPr>
    </w:p>
    <w:p w14:paraId="11781BD7" w14:textId="77777777" w:rsidR="002429C4" w:rsidRPr="00565A8E" w:rsidRDefault="00036074" w:rsidP="00565A8E">
      <w:pPr>
        <w:spacing w:line="276" w:lineRule="auto"/>
        <w:ind w:firstLine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Odczytano</w:t>
      </w:r>
      <w:r w:rsidR="002429C4" w:rsidRPr="00565A8E">
        <w:rPr>
          <w:rFonts w:asciiTheme="minorHAnsi" w:hAnsiTheme="minorHAnsi" w:cstheme="minorHAnsi"/>
          <w:sz w:val="20"/>
        </w:rPr>
        <w:t xml:space="preserve"> protokół X</w:t>
      </w:r>
      <w:r w:rsidR="00643213" w:rsidRPr="00565A8E">
        <w:rPr>
          <w:rFonts w:asciiTheme="minorHAnsi" w:hAnsiTheme="minorHAnsi" w:cstheme="minorHAnsi"/>
          <w:sz w:val="20"/>
        </w:rPr>
        <w:t>X</w:t>
      </w:r>
      <w:r w:rsidR="002429C4" w:rsidRPr="00565A8E">
        <w:rPr>
          <w:rFonts w:asciiTheme="minorHAnsi" w:hAnsiTheme="minorHAnsi" w:cstheme="minorHAnsi"/>
          <w:sz w:val="20"/>
        </w:rPr>
        <w:t xml:space="preserve"> Posiedzenia Ukraińsko-Polskiej Komisji ds. </w:t>
      </w:r>
      <w:r w:rsidR="004324F6" w:rsidRPr="00565A8E">
        <w:rPr>
          <w:rFonts w:asciiTheme="minorHAnsi" w:hAnsiTheme="minorHAnsi" w:cstheme="minorHAnsi"/>
          <w:sz w:val="20"/>
        </w:rPr>
        <w:t>wód granicznych</w:t>
      </w:r>
      <w:r w:rsidR="00EE3F94" w:rsidRPr="00565A8E">
        <w:rPr>
          <w:rFonts w:asciiTheme="minorHAnsi" w:hAnsiTheme="minorHAnsi" w:cstheme="minorHAnsi"/>
          <w:sz w:val="20"/>
        </w:rPr>
        <w:t>.</w:t>
      </w:r>
    </w:p>
    <w:p w14:paraId="47D0BC3B" w14:textId="77777777" w:rsidR="00266B6C" w:rsidRPr="00565A8E" w:rsidRDefault="002429C4" w:rsidP="00565A8E">
      <w:pPr>
        <w:spacing w:line="276" w:lineRule="auto"/>
        <w:ind w:left="709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hAnsiTheme="minorHAnsi" w:cstheme="minorHAnsi"/>
          <w:sz w:val="20"/>
        </w:rPr>
        <w:t xml:space="preserve">Kierownicy ukraińskiej i polskiej części Grupy PL poinformowali o wynikach posiedzenia Komisji. </w:t>
      </w:r>
      <w:r w:rsidR="00AB5693" w:rsidRPr="00565A8E">
        <w:rPr>
          <w:rFonts w:asciiTheme="minorHAnsi" w:hAnsiTheme="minorHAnsi" w:cstheme="minorHAnsi"/>
          <w:sz w:val="20"/>
        </w:rPr>
        <w:t>Uczestnicy spotkania wspólnie omówili zadania przydzielone grupie roboczej ds. wód granicznych, ze szczególnym uwzględnieniem wspólnych ukraińsko-polskich projektów, a mianowicie: grantu w ramach programu Polska Pomoc „Wzmocnienie administracji rządowej i samorządowej w ukraińskiej części zlewni Bugu, Sanu i Dniestru w związku z efektywnym zarządzaniem środowiskiem wodnym i właściwym wdrażaniem systemu prawnego UE w zakresie gospodarki wodnej, w tym odbudowy potencjału tych instytucji po stratach doznanych w wyniku agresji rosyjskiej” oraz dotację na realizację projektu „Czyste Morze Bałtyckie – ścieki w rejonie lwowskim i wołyńskim” w ramach programu SI Baltic Program Sąsiedztwa Morskiego.</w:t>
      </w:r>
    </w:p>
    <w:p w14:paraId="2DD1F4F5" w14:textId="77777777" w:rsidR="00266B6C" w:rsidRPr="00565A8E" w:rsidRDefault="00266B6C" w:rsidP="00565A8E">
      <w:pPr>
        <w:spacing w:line="276" w:lineRule="auto"/>
        <w:ind w:left="993"/>
        <w:contextualSpacing/>
        <w:rPr>
          <w:rFonts w:asciiTheme="minorHAnsi" w:eastAsia="Calibri" w:hAnsiTheme="minorHAnsi" w:cstheme="minorHAnsi"/>
          <w:sz w:val="20"/>
          <w:lang w:eastAsia="en-US"/>
        </w:rPr>
      </w:pPr>
    </w:p>
    <w:p w14:paraId="6AAF2674" w14:textId="49BF60B7" w:rsidR="007168A5" w:rsidRPr="00565A8E" w:rsidRDefault="007168A5" w:rsidP="00565A8E">
      <w:pPr>
        <w:numPr>
          <w:ilvl w:val="0"/>
          <w:numId w:val="13"/>
        </w:numPr>
        <w:tabs>
          <w:tab w:val="left" w:pos="709"/>
        </w:tabs>
        <w:spacing w:line="276" w:lineRule="auto"/>
        <w:ind w:left="426" w:hanging="426"/>
        <w:rPr>
          <w:rFonts w:asciiTheme="minorHAnsi" w:hAnsiTheme="minorHAnsi" w:cstheme="minorHAnsi"/>
          <w:b/>
          <w:bCs/>
          <w:sz w:val="20"/>
        </w:rPr>
      </w:pP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Informacja o zmianach przepisów w zakresie gospodarki wodnej w latach </w:t>
      </w:r>
      <w:r w:rsidRPr="00DB252D">
        <w:rPr>
          <w:rFonts w:asciiTheme="minorHAnsi" w:eastAsia="Calibri" w:hAnsiTheme="minorHAnsi" w:cstheme="minorHAnsi"/>
          <w:b/>
          <w:sz w:val="20"/>
          <w:lang w:eastAsia="en-US"/>
        </w:rPr>
        <w:t>20</w:t>
      </w:r>
      <w:r w:rsidR="00643213" w:rsidRPr="00DB252D">
        <w:rPr>
          <w:rFonts w:asciiTheme="minorHAnsi" w:eastAsia="Calibri" w:hAnsiTheme="minorHAnsi" w:cstheme="minorHAnsi"/>
          <w:b/>
          <w:sz w:val="20"/>
          <w:lang w:eastAsia="en-US"/>
        </w:rPr>
        <w:t>2</w:t>
      </w:r>
      <w:r w:rsidR="00DB252D" w:rsidRPr="00DB252D">
        <w:rPr>
          <w:rFonts w:asciiTheme="minorHAnsi" w:eastAsia="Calibri" w:hAnsiTheme="minorHAnsi" w:cstheme="minorHAnsi"/>
          <w:b/>
          <w:sz w:val="20"/>
          <w:lang w:eastAsia="en-US"/>
        </w:rPr>
        <w:t>2</w:t>
      </w:r>
      <w:r w:rsidRPr="00DB252D">
        <w:rPr>
          <w:rFonts w:asciiTheme="minorHAnsi" w:eastAsia="Calibri" w:hAnsiTheme="minorHAnsi" w:cstheme="minorHAnsi"/>
          <w:b/>
          <w:sz w:val="20"/>
          <w:lang w:eastAsia="en-US"/>
        </w:rPr>
        <w:t>-202</w:t>
      </w:r>
      <w:r w:rsidR="00DB252D">
        <w:rPr>
          <w:rFonts w:asciiTheme="minorHAnsi" w:eastAsia="Calibri" w:hAnsiTheme="minorHAnsi" w:cstheme="minorHAnsi"/>
          <w:b/>
          <w:sz w:val="20"/>
          <w:lang w:eastAsia="en-US"/>
        </w:rPr>
        <w:t>3</w:t>
      </w: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 </w:t>
      </w:r>
    </w:p>
    <w:p w14:paraId="5C632CF8" w14:textId="77777777" w:rsidR="00420963" w:rsidRPr="00565A8E" w:rsidRDefault="00420963" w:rsidP="00565A8E">
      <w:pPr>
        <w:tabs>
          <w:tab w:val="left" w:pos="709"/>
        </w:tabs>
        <w:spacing w:line="276" w:lineRule="auto"/>
        <w:rPr>
          <w:rFonts w:asciiTheme="minorHAnsi" w:eastAsia="Calibri" w:hAnsiTheme="minorHAnsi" w:cstheme="minorHAnsi"/>
          <w:b/>
          <w:sz w:val="20"/>
          <w:lang w:eastAsia="en-US"/>
        </w:rPr>
      </w:pPr>
    </w:p>
    <w:p w14:paraId="63C11775" w14:textId="77777777" w:rsidR="00AB5693" w:rsidRPr="00565A8E" w:rsidRDefault="00AB5693" w:rsidP="00565A8E">
      <w:pPr>
        <w:pStyle w:val="Akapitzlist"/>
        <w:numPr>
          <w:ilvl w:val="0"/>
          <w:numId w:val="15"/>
        </w:numPr>
        <w:spacing w:line="276" w:lineRule="auto"/>
        <w:ind w:left="709" w:hanging="425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Strona ukraińska przedstawiła informacje o zmianach w ukraińskim ustawodawstwie w latach 2022-2023, z których najważniejsze to:</w:t>
      </w:r>
    </w:p>
    <w:p w14:paraId="01ADDCE4" w14:textId="77777777" w:rsidR="00AB5693" w:rsidRPr="00565A8E" w:rsidRDefault="00AB5693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Zarządzenie Ministra Środowiska z dnia 20.01.2022 r. nr 39 „W sprawie zatwierdzenia Procedury ustalania sposobów funkcjonowania sztucznych jednolitych części wód i systemów gospodarki wodnej”, które określa mechanizm ustalania sposobów funkcjonowania sztucznych jednolitych części wód i systemy gospodarki wodnej w celu zaopatrzenia w wodę ludności i gałęzi gospodarki, z uwzględnieniem wymagań środowiskowych i interesów wszystkich użytkowników wody, bezpiecznych warunków życia ludności, ochrony przed szkodliwym działaniem wody, ochrony zasobów wodnych przed zanieczyszczenie i wyczerpanie.</w:t>
      </w:r>
    </w:p>
    <w:p w14:paraId="05FFD433" w14:textId="65EEB253" w:rsidR="00AB5693" w:rsidRPr="00565A8E" w:rsidRDefault="00D359FB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Rozporządzenie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Rady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Ministrów Ukrainy z dnia 8 października 2022 r. nr 895-r „W sprawie zatwierdzenia planów zarządzania ryzykiem powodziowym na niektórych terytoriach w obrębie obszarów dorzeczy”, opracowane w celu ograniczenia potencjalnych negatywnych skutków powodzi na obszarze Obszar dorzecza Wisły.</w:t>
      </w:r>
    </w:p>
    <w:p w14:paraId="427C52F0" w14:textId="477BC15F" w:rsidR="00AB5693" w:rsidRPr="00565A8E" w:rsidRDefault="00D359FB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Rozporządzenie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Rady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Ministrów Ukrainy z dnia 09.12.2022 nr 1134-r „W sprawie zatwierdzenia Strategii wodnej Ukrainy na okres do 2050 roku”. Niniejsza Strategia jest dokumentem określającym główne zasady polityki państwa w zakresie korzystania z wód oraz ochrony i odtwarzania zasobów wodnych.</w:t>
      </w:r>
    </w:p>
    <w:p w14:paraId="3686AAAE" w14:textId="77777777" w:rsidR="00AB5693" w:rsidRPr="00565A8E" w:rsidRDefault="00AB5693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Zalecenia metodologiczne dotyczące wyznaczania celów środowiskowych, opracowania programu działań i przeprowadzenia analizy efektywności ekonomicznej programu działań Planu gospodarowania wodami w dorzeczu.</w:t>
      </w:r>
    </w:p>
    <w:p w14:paraId="674E962C" w14:textId="1F40A353" w:rsidR="00AB5693" w:rsidRPr="00565A8E" w:rsidRDefault="00AB5693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Zmiany w Ustawie Ukrainy „O wodzie pitnej i zaopatrzeniu w wodę pitną” zmienione ustawami nr 2047-VIII z dnia 18.05.2017 r., nr 2887-IX z </w:t>
      </w:r>
      <w:r w:rsidRPr="00553C7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dnia </w:t>
      </w:r>
      <w:r w:rsidR="00D359FB" w:rsidRPr="00DB252D">
        <w:rPr>
          <w:rFonts w:asciiTheme="minorHAnsi" w:eastAsia="Calibri" w:hAnsiTheme="minorHAnsi" w:cstheme="minorHAnsi"/>
          <w:sz w:val="20"/>
          <w:szCs w:val="20"/>
          <w:lang w:eastAsia="en-US"/>
        </w:rPr>
        <w:t>12</w:t>
      </w:r>
      <w:r w:rsidRPr="00DB252D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  <w:r w:rsidR="00D359FB" w:rsidRPr="00DB252D">
        <w:rPr>
          <w:rFonts w:asciiTheme="minorHAnsi" w:eastAsia="Calibri" w:hAnsiTheme="minorHAnsi" w:cstheme="minorHAnsi"/>
          <w:sz w:val="20"/>
          <w:szCs w:val="20"/>
          <w:lang w:eastAsia="en-US"/>
        </w:rPr>
        <w:t>01</w:t>
      </w:r>
      <w:r w:rsidRPr="00DB252D">
        <w:rPr>
          <w:rFonts w:asciiTheme="minorHAnsi" w:eastAsia="Calibri" w:hAnsiTheme="minorHAnsi" w:cstheme="minorHAnsi"/>
          <w:sz w:val="20"/>
          <w:szCs w:val="20"/>
          <w:lang w:eastAsia="en-US"/>
        </w:rPr>
        <w:t>.2023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r.</w:t>
      </w:r>
    </w:p>
    <w:p w14:paraId="4CE40255" w14:textId="77777777" w:rsidR="00AB5693" w:rsidRPr="00565A8E" w:rsidRDefault="00AB5693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Zarządzenie Państwowej Agencji Wodnej Ukrainy nr 18 z dnia 25 stycznia 2023 r. zatwierdziło Program Monitoringu Wód (w zakresie monitoringu diagnostycznego i operacyjnego wód powierzchniowych) na rok 2023.</w:t>
      </w:r>
    </w:p>
    <w:p w14:paraId="623A4361" w14:textId="77777777" w:rsidR="00AB5693" w:rsidRPr="00565A8E" w:rsidRDefault="00AB5693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Ustawa Ukrainy „O akwakulturze” ze zmianami nr 2989-IX z dnia 21.03.2023 r., która określa specyfikę udostępniania obiektów hydrotechnicznych na potrzeby akwakultury do użytkowania na warunkach dzierżawy.</w:t>
      </w:r>
    </w:p>
    <w:p w14:paraId="7037CB88" w14:textId="37F11857" w:rsidR="00AB5693" w:rsidRPr="00565A8E" w:rsidRDefault="00D359FB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Rozporządzenie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Rady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Ministrów Ukrainy z dnia 11.07.2023 nr 703 w sprawie zmiany Rozporządzenia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Rady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Ministrów Ukrainy z dnia 08.10.2012 nr 963 „W sprawie zatwierdzenia procedury rozliczania państwowe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j ewidencji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studni artezyjskich i ich wyposażenia do pomiaru objętości wydobywanej wody gruntowej.” Stwarza to warunki do operacyjnego reagowania na wyzwania czasu wojny i przezwyciężenia skutków rosyjskiego aktu terrorystycznego w Kachowsk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iej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ZW, gdyż pozwala na szybkie zaopatrzenie ludności w wodę pitną.</w:t>
      </w:r>
    </w:p>
    <w:p w14:paraId="278824CE" w14:textId="74658F25" w:rsidR="00AB5693" w:rsidRPr="00565A8E" w:rsidRDefault="00D359FB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Rozporządzenie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Rady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Ministrów Ukrainy z dnia 21.07.2023 nr 758 „W sprawie zatwierdzenia Procedury prowadzenia Państwowego Rejestru pestycydów i środków agrochemicznych dopuszczonych do stosowania </w:t>
      </w:r>
      <w:r w:rsidR="00F32131">
        <w:rPr>
          <w:rFonts w:asciiTheme="minorHAnsi" w:eastAsia="Calibri" w:hAnsiTheme="minorHAnsi" w:cstheme="minorHAnsi"/>
          <w:sz w:val="20"/>
          <w:szCs w:val="20"/>
          <w:lang w:eastAsia="en-US"/>
        </w:rPr>
        <w:t>w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Ukrainie”.</w:t>
      </w:r>
    </w:p>
    <w:p w14:paraId="2CF8CB2E" w14:textId="19E1AB56" w:rsidR="00AB5693" w:rsidRPr="00565A8E" w:rsidRDefault="00553C72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Rozporządzenie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Ukrainy z dnia 13.07.2023 nr 3227-IX „W sprawie zmiany niektórych ustaw Ukrainy w zakresie usprawnienia i cyfryzacji procedury oceny oddziaływania na środowisko”. Jednolity rejestr ocen oddziaływania na środowisko to jednolity system informacyjno-komunikacyjny zapewniający tworzenie, przeglądanie, gromadzenie, wprowadzanie,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zbieranie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, przetwarzanie, wykorzystywanie, przeglądanie, przechowywanie, ochronę,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ewidencjonowanie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i udostępnianie informacji z zakresu ocen oddziaływania na środowisko, oraz elektroniczną interakcję informacyjną pomiędzy podmiotami przeprowadzającymi ocenę oddziaływania na środowisko.</w:t>
      </w:r>
    </w:p>
    <w:p w14:paraId="5F975D1B" w14:textId="1816C0DB" w:rsidR="00AB5693" w:rsidRPr="00565A8E" w:rsidRDefault="00553C72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Rozporządzenie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D359FB">
        <w:rPr>
          <w:rFonts w:asciiTheme="minorHAnsi" w:eastAsia="Calibri" w:hAnsiTheme="minorHAnsi" w:cstheme="minorHAnsi"/>
          <w:sz w:val="20"/>
          <w:szCs w:val="20"/>
          <w:lang w:eastAsia="en-US"/>
        </w:rPr>
        <w:t>Rady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Ministrów Ukrainy z dnia </w:t>
      </w:r>
      <w:r w:rsidRPr="00553C7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04.08.2023 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r. nr 816 „Niektóre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zagadnienia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opracowywania strategii rozwoju regionalnego i planów działania w celu ich realizacji oraz monitorowania realizacji określonych strategii i planów działania”. Pozwoli to na rozpoczęcie prac nad aktualizacją dotychczasowej Strategii Państwa na rzecz Rozwoju Regionalnego z uwzględnieniem nowych wyzwań i możliwości. Chodzi o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pełnoskalową 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wojnę Federacji Rosyjskiej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przeciwko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Ukrain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ie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i jej wpływ na wspólnoty terytorialne i regiony, a także szanse, jakie wiążą się z uzyskaniem przez Ukrainę statusu kandydata do członkostwa w UE i rozpoczęciem negocjacji w sprawie przystąpienia Ukrainy do UE. </w:t>
      </w:r>
    </w:p>
    <w:p w14:paraId="4CDBB3E4" w14:textId="74A8BCF7" w:rsidR="00AB5693" w:rsidRPr="00565A8E" w:rsidRDefault="00F0337E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Rozporządzenie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D359FB">
        <w:rPr>
          <w:rFonts w:asciiTheme="minorHAnsi" w:eastAsia="Calibri" w:hAnsiTheme="minorHAnsi" w:cstheme="minorHAnsi"/>
          <w:sz w:val="20"/>
          <w:szCs w:val="20"/>
          <w:lang w:eastAsia="en-US"/>
        </w:rPr>
        <w:t>Rady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Ministrów Ukrainy z dnia 19.06.2023 nr 622 „W sprawie zmian przepisów zatwierdzonych uchwałami </w:t>
      </w:r>
      <w:r w:rsidR="00D359FB">
        <w:rPr>
          <w:rFonts w:asciiTheme="minorHAnsi" w:eastAsia="Calibri" w:hAnsiTheme="minorHAnsi" w:cstheme="minorHAnsi"/>
          <w:sz w:val="20"/>
          <w:szCs w:val="20"/>
          <w:lang w:eastAsia="en-US"/>
        </w:rPr>
        <w:t>Rady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Ministrów Ukrainy z dnia 30 marca 1998 r. nr 391 i z dnia 19 kwietnia 2017 r. nr 275</w:t>
      </w:r>
      <w:r w:rsidR="004324F6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”.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Wprowadzono zmiany w „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Przepisach o Państwowym Systemie 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Monitoringu Środowisk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owego</w:t>
      </w:r>
      <w:r w:rsidR="00AB569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”.</w:t>
      </w:r>
    </w:p>
    <w:p w14:paraId="23911EED" w14:textId="4E595474" w:rsidR="00AB5693" w:rsidRPr="00565A8E" w:rsidRDefault="00AB5693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Ustawa Ukrainy z dnia </w:t>
      </w:r>
      <w:r w:rsidR="00F0337E" w:rsidRPr="00F0337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12.01.2023 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r. nr 2887-IX „O odprowadzaniu ścieków i oczyszczaniu ścieków”. Ustawa ta określa zasady prawne, ekonomiczne i organizacyjne funkcjonowania systemu </w:t>
      </w:r>
      <w:r w:rsidR="00F0337E">
        <w:rPr>
          <w:rFonts w:asciiTheme="minorHAnsi" w:eastAsia="Calibri" w:hAnsiTheme="minorHAnsi" w:cstheme="minorHAnsi"/>
          <w:sz w:val="20"/>
          <w:szCs w:val="20"/>
          <w:lang w:eastAsia="en-US"/>
        </w:rPr>
        <w:t>odprowadzania ścieków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, mające</w:t>
      </w:r>
      <w:r w:rsidR="00F0337E">
        <w:rPr>
          <w:rFonts w:asciiTheme="minorHAnsi" w:eastAsia="Calibri" w:hAnsiTheme="minorHAnsi" w:cstheme="minorHAnsi"/>
          <w:sz w:val="20"/>
          <w:szCs w:val="20"/>
          <w:lang w:eastAsia="en-US"/>
        </w:rPr>
        <w:t>go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na celu stworzenie korzystnych warunków dla życia ludzi i ochronę środowiska naturalnego przed negatywnym wpływem ścieków.</w:t>
      </w:r>
    </w:p>
    <w:p w14:paraId="115C2F8F" w14:textId="77777777" w:rsidR="008370D6" w:rsidRPr="00565A8E" w:rsidRDefault="008370D6" w:rsidP="00565A8E">
      <w:pPr>
        <w:pStyle w:val="Akapitzlist"/>
        <w:spacing w:line="276" w:lineRule="auto"/>
        <w:ind w:left="147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1899430A" w14:textId="77777777" w:rsidR="008370D6" w:rsidRPr="00565A8E" w:rsidRDefault="008370D6" w:rsidP="00565A8E">
      <w:pPr>
        <w:pStyle w:val="Akapitzlist"/>
        <w:numPr>
          <w:ilvl w:val="0"/>
          <w:numId w:val="15"/>
        </w:numPr>
        <w:spacing w:line="276" w:lineRule="auto"/>
        <w:ind w:left="709" w:hanging="425"/>
        <w:rPr>
          <w:rFonts w:asciiTheme="minorHAnsi" w:eastAsia="Calibri" w:hAnsiTheme="minorHAnsi" w:cstheme="minorHAnsi"/>
          <w:sz w:val="20"/>
          <w:szCs w:val="20"/>
          <w:lang w:eastAsia="en-US"/>
        </w:rPr>
      </w:pPr>
      <w:bookmarkStart w:id="0" w:name="_Hlk149119285"/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Strona polska przedstawiła informacje o zmianach w przepisach prawnych Rzeczpospolitej Polskiej dotyczących gospodarki wodnej, w tym:</w:t>
      </w:r>
    </w:p>
    <w:bookmarkEnd w:id="0"/>
    <w:p w14:paraId="4AAD920D" w14:textId="7D3D2ACB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</w:rPr>
        <w:t>Zmiany Prawa wodnego, któr</w:t>
      </w:r>
      <w:r w:rsidR="00F0337E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8370D6">
        <w:rPr>
          <w:rFonts w:asciiTheme="minorHAnsi" w:hAnsiTheme="minorHAnsi" w:cstheme="minorHAnsi"/>
          <w:b/>
          <w:bCs/>
          <w:sz w:val="20"/>
          <w:szCs w:val="20"/>
        </w:rPr>
        <w:t xml:space="preserve"> weszły w życie 10.11.2022 r.:</w:t>
      </w:r>
    </w:p>
    <w:p w14:paraId="7FC8D822" w14:textId="77777777" w:rsidR="008370D6" w:rsidRPr="008370D6" w:rsidRDefault="008370D6" w:rsidP="00565A8E">
      <w:pPr>
        <w:numPr>
          <w:ilvl w:val="0"/>
          <w:numId w:val="34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>Nowy podział na obszary dorzeczy i regiony wodne;</w:t>
      </w:r>
    </w:p>
    <w:p w14:paraId="57188144" w14:textId="77777777" w:rsidR="008370D6" w:rsidRPr="008370D6" w:rsidRDefault="008370D6" w:rsidP="00565A8E">
      <w:pPr>
        <w:numPr>
          <w:ilvl w:val="0"/>
          <w:numId w:val="34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 xml:space="preserve"> Do wniosku o wydanie pozwolenia wodnoprawnego lub zgłoszenia wodnoprawnego załącza się potwierdzenie </w:t>
      </w:r>
      <w:r w:rsidRPr="00F32131">
        <w:rPr>
          <w:rFonts w:asciiTheme="minorHAnsi" w:hAnsiTheme="minorHAnsi" w:cstheme="minorHAnsi"/>
          <w:sz w:val="20"/>
        </w:rPr>
        <w:t>skutecznego zgłoszenia</w:t>
      </w:r>
      <w:r w:rsidRPr="008370D6">
        <w:rPr>
          <w:rFonts w:asciiTheme="minorHAnsi" w:hAnsiTheme="minorHAnsi" w:cstheme="minorHAnsi"/>
          <w:sz w:val="20"/>
        </w:rPr>
        <w:t>, o którym mowa w art. 118 ust. 1 ustawy z dnia 16.04.</w:t>
      </w:r>
      <w:r w:rsidR="004324F6" w:rsidRPr="008370D6">
        <w:rPr>
          <w:rFonts w:asciiTheme="minorHAnsi" w:hAnsiTheme="minorHAnsi" w:cstheme="minorHAnsi"/>
          <w:sz w:val="20"/>
        </w:rPr>
        <w:t>2004 r.</w:t>
      </w:r>
      <w:r w:rsidRPr="008370D6">
        <w:rPr>
          <w:rFonts w:asciiTheme="minorHAnsi" w:hAnsiTheme="minorHAnsi" w:cstheme="minorHAnsi"/>
          <w:sz w:val="20"/>
        </w:rPr>
        <w:t xml:space="preserve"> O ochronie przyrody, jeżeli jest wymagane.  </w:t>
      </w:r>
    </w:p>
    <w:p w14:paraId="622403B7" w14:textId="77777777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</w:rPr>
        <w:t>Zmiana Prawa wodnego, która weszła w życie 01.01.2023 r.:</w:t>
      </w:r>
    </w:p>
    <w:p w14:paraId="1AAF608B" w14:textId="77777777" w:rsidR="008370D6" w:rsidRPr="008370D6" w:rsidRDefault="008370D6" w:rsidP="00565A8E">
      <w:pPr>
        <w:numPr>
          <w:ilvl w:val="0"/>
          <w:numId w:val="34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 xml:space="preserve">w art. 109 - podniesiono maksymalne stawki opłat m. in. za stosowanie nawozów niezgodnie z przepisami, za przechowywanie nawozów naturalnych niezgodnie </w:t>
      </w:r>
      <w:r w:rsidRPr="008370D6">
        <w:rPr>
          <w:rFonts w:asciiTheme="minorHAnsi" w:hAnsiTheme="minorHAnsi" w:cstheme="minorHAnsi"/>
          <w:sz w:val="20"/>
        </w:rPr>
        <w:br/>
        <w:t xml:space="preserve">z przepisami, prowadzenie dokumentacji realizacji programu działań niezgodnie </w:t>
      </w:r>
      <w:r w:rsidRPr="008370D6">
        <w:rPr>
          <w:rFonts w:asciiTheme="minorHAnsi" w:hAnsiTheme="minorHAnsi" w:cstheme="minorHAnsi"/>
          <w:sz w:val="20"/>
        </w:rPr>
        <w:br/>
        <w:t>z przepisami, brak planu nawożenia azotem</w:t>
      </w:r>
    </w:p>
    <w:p w14:paraId="55177EE6" w14:textId="77777777" w:rsidR="008370D6" w:rsidRPr="008370D6" w:rsidRDefault="008370D6" w:rsidP="00565A8E">
      <w:pPr>
        <w:numPr>
          <w:ilvl w:val="0"/>
          <w:numId w:val="34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>w art. 190 – legalizacja urządzeń wodnych – jednostkowa stawka opłaty 5000,15zł</w:t>
      </w:r>
    </w:p>
    <w:p w14:paraId="016C258F" w14:textId="77777777" w:rsidR="008370D6" w:rsidRPr="008370D6" w:rsidRDefault="008370D6" w:rsidP="00565A8E">
      <w:pPr>
        <w:numPr>
          <w:ilvl w:val="0"/>
          <w:numId w:val="34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>w art. 191 – maksymalne stawki opłaty podwyższonej za przekroczenia dopuszczalnych ilości i jakości składu wprowadzanych ścieków</w:t>
      </w:r>
    </w:p>
    <w:p w14:paraId="2CE996EC" w14:textId="77777777" w:rsidR="008370D6" w:rsidRPr="008370D6" w:rsidRDefault="008370D6" w:rsidP="00565A8E">
      <w:pPr>
        <w:numPr>
          <w:ilvl w:val="0"/>
          <w:numId w:val="34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 xml:space="preserve">w art. 398 – podniesiono stawki za: </w:t>
      </w:r>
    </w:p>
    <w:p w14:paraId="184FA984" w14:textId="77777777" w:rsidR="008370D6" w:rsidRPr="008370D6" w:rsidRDefault="008370D6" w:rsidP="00565A8E">
      <w:pPr>
        <w:numPr>
          <w:ilvl w:val="0"/>
          <w:numId w:val="33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>wydanie pozwolenia wodnoprawnego 250zł</w:t>
      </w:r>
    </w:p>
    <w:p w14:paraId="4326DA66" w14:textId="77777777" w:rsidR="008370D6" w:rsidRPr="008370D6" w:rsidRDefault="008370D6" w:rsidP="00565A8E">
      <w:pPr>
        <w:numPr>
          <w:ilvl w:val="0"/>
          <w:numId w:val="33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>przyjęcie zgłoszenia wodnoprawnego 100,23zł</w:t>
      </w:r>
    </w:p>
    <w:p w14:paraId="4495480B" w14:textId="77777777" w:rsidR="008370D6" w:rsidRPr="008370D6" w:rsidRDefault="008370D6" w:rsidP="00565A8E">
      <w:pPr>
        <w:numPr>
          <w:ilvl w:val="0"/>
          <w:numId w:val="33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>Wydanie oceny wodnoprawnej 1000,04zł</w:t>
      </w:r>
    </w:p>
    <w:p w14:paraId="2DF9AD02" w14:textId="77777777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sz w:val="20"/>
          <w:szCs w:val="20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</w:rPr>
        <w:t>w art. 555 w ust. 2 pkt 6 i 7</w:t>
      </w:r>
      <w:r w:rsidRPr="008370D6">
        <w:rPr>
          <w:rFonts w:asciiTheme="minorHAnsi" w:hAnsiTheme="minorHAnsi" w:cstheme="minorHAnsi"/>
          <w:sz w:val="20"/>
          <w:szCs w:val="20"/>
        </w:rPr>
        <w:t>:</w:t>
      </w:r>
    </w:p>
    <w:p w14:paraId="5E6EE57D" w14:textId="77777777" w:rsidR="008370D6" w:rsidRPr="008370D6" w:rsidRDefault="008370D6" w:rsidP="00565A8E">
      <w:pPr>
        <w:numPr>
          <w:ilvl w:val="0"/>
          <w:numId w:val="34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>"6) plany gospodarowania wodami na obszarach dorzeczy - stają się planami gospodarowania wodami na obszarach dorzeczy w rozumieniu art. 318 ust. 1 niniejszej ustawy i podlegają przeglądowi i aktualizacji do dnia 22 marca 2023 r.;</w:t>
      </w:r>
    </w:p>
    <w:p w14:paraId="5F66DC5A" w14:textId="77777777" w:rsidR="008370D6" w:rsidRPr="008370D6" w:rsidRDefault="008370D6" w:rsidP="00565A8E">
      <w:pPr>
        <w:numPr>
          <w:ilvl w:val="0"/>
          <w:numId w:val="34"/>
        </w:numPr>
        <w:shd w:val="clear" w:color="auto" w:fill="FFFFFF"/>
        <w:spacing w:line="276" w:lineRule="auto"/>
        <w:ind w:left="1701" w:firstLine="0"/>
        <w:contextualSpacing/>
        <w:jc w:val="left"/>
        <w:rPr>
          <w:rFonts w:asciiTheme="minorHAnsi" w:hAnsiTheme="minorHAnsi" w:cstheme="minorHAnsi"/>
          <w:sz w:val="20"/>
        </w:rPr>
      </w:pPr>
      <w:r w:rsidRPr="008370D6">
        <w:rPr>
          <w:rFonts w:asciiTheme="minorHAnsi" w:hAnsiTheme="minorHAnsi" w:cstheme="minorHAnsi"/>
          <w:sz w:val="20"/>
        </w:rPr>
        <w:t xml:space="preserve">7) plany zarządzania ryzykiem powodziowym dla obszarów dorzeczy - stają się planami zarządzania ryzykiem powodziowym dla obszarów dorzeczy w rozumieniu art. 172 ust. 1 niniejszej ustawy i podlegają przeglądowi do dnia 22 marca 2023 r. </w:t>
      </w:r>
      <w:r w:rsidRPr="008370D6">
        <w:rPr>
          <w:rFonts w:asciiTheme="minorHAnsi" w:hAnsiTheme="minorHAnsi" w:cstheme="minorHAnsi"/>
          <w:sz w:val="20"/>
        </w:rPr>
        <w:br/>
        <w:t>i w razie potrzeby aktualizacji;";</w:t>
      </w:r>
    </w:p>
    <w:p w14:paraId="082050C6" w14:textId="77777777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</w:rPr>
        <w:t>Aktualizacja planów gospodarowania wodami</w:t>
      </w:r>
    </w:p>
    <w:p w14:paraId="5AC77ADE" w14:textId="77777777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</w:rPr>
        <w:t>Aktualizacja planów zarządzania ryzykiem powodziowym</w:t>
      </w:r>
    </w:p>
    <w:p w14:paraId="31C186AB" w14:textId="77777777" w:rsidR="007168A5" w:rsidRPr="00565A8E" w:rsidRDefault="007168A5" w:rsidP="00565A8E">
      <w:p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</w:p>
    <w:p w14:paraId="685816CD" w14:textId="77777777" w:rsidR="007168A5" w:rsidRPr="00565A8E" w:rsidRDefault="007168A5" w:rsidP="00565A8E">
      <w:pPr>
        <w:numPr>
          <w:ilvl w:val="0"/>
          <w:numId w:val="13"/>
        </w:numPr>
        <w:tabs>
          <w:tab w:val="left" w:pos="709"/>
        </w:tabs>
        <w:spacing w:line="276" w:lineRule="auto"/>
        <w:ind w:left="426" w:hanging="426"/>
        <w:rPr>
          <w:rFonts w:asciiTheme="minorHAnsi" w:eastAsia="Calibri" w:hAnsiTheme="minorHAnsi" w:cstheme="minorHAnsi"/>
          <w:b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 Aktualne kierunki/obszary prac w zakresie planowania i gospodarowania zasobami wodnymi </w:t>
      </w:r>
    </w:p>
    <w:p w14:paraId="5219D20F" w14:textId="77777777" w:rsidR="00AE1602" w:rsidRPr="00565A8E" w:rsidRDefault="00AE1602" w:rsidP="00565A8E">
      <w:pPr>
        <w:spacing w:line="276" w:lineRule="auto"/>
        <w:rPr>
          <w:rFonts w:asciiTheme="minorHAnsi" w:eastAsia="Calibri" w:hAnsiTheme="minorHAnsi" w:cstheme="minorHAnsi"/>
          <w:b/>
          <w:sz w:val="20"/>
          <w:lang w:eastAsia="en-US"/>
        </w:rPr>
      </w:pPr>
    </w:p>
    <w:p w14:paraId="439C74F9" w14:textId="40B35C3F" w:rsidR="007168A5" w:rsidRPr="00565A8E" w:rsidRDefault="00544D96" w:rsidP="00565A8E">
      <w:pPr>
        <w:pStyle w:val="Akapitzlist"/>
        <w:numPr>
          <w:ilvl w:val="0"/>
          <w:numId w:val="15"/>
        </w:numPr>
        <w:spacing w:line="276" w:lineRule="auto"/>
        <w:ind w:left="709" w:hanging="425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Strona </w:t>
      </w:r>
      <w:r w:rsidR="00ED7F2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u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kraińska </w:t>
      </w:r>
      <w:r w:rsidR="006704CC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przedstawiła</w:t>
      </w:r>
      <w:r w:rsidR="00AE1602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aktualne kierunki gospodarowa</w:t>
      </w:r>
      <w:r w:rsidR="006704CC">
        <w:rPr>
          <w:rFonts w:asciiTheme="minorHAnsi" w:eastAsia="Calibri" w:hAnsiTheme="minorHAnsi" w:cstheme="minorHAnsi"/>
          <w:sz w:val="20"/>
          <w:szCs w:val="20"/>
          <w:lang w:eastAsia="en-US"/>
        </w:rPr>
        <w:t>nia</w:t>
      </w:r>
      <w:r w:rsidR="00AE1602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zasobami wodnymi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64404108" w14:textId="77777777" w:rsidR="008370D6" w:rsidRPr="00565A8E" w:rsidRDefault="008370D6" w:rsidP="00565A8E">
      <w:p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</w:p>
    <w:p w14:paraId="100BC22D" w14:textId="583540EB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 xml:space="preserve">Realizując postanowienia Ramowej Dyrektywy Wodnej, uchwałą </w:t>
      </w:r>
      <w:r w:rsidR="00D359FB">
        <w:rPr>
          <w:rFonts w:asciiTheme="minorHAnsi" w:hAnsiTheme="minorHAnsi" w:cstheme="minorHAnsi"/>
          <w:sz w:val="20"/>
        </w:rPr>
        <w:t>Rady</w:t>
      </w:r>
      <w:r w:rsidRPr="00565A8E">
        <w:rPr>
          <w:rFonts w:asciiTheme="minorHAnsi" w:hAnsiTheme="minorHAnsi" w:cstheme="minorHAnsi"/>
          <w:sz w:val="20"/>
        </w:rPr>
        <w:t xml:space="preserve"> Ministrów Ukrainy z dnia </w:t>
      </w:r>
      <w:r w:rsidR="006704CC" w:rsidRPr="006704CC">
        <w:rPr>
          <w:rFonts w:asciiTheme="minorHAnsi" w:hAnsiTheme="minorHAnsi" w:cstheme="minorHAnsi"/>
          <w:sz w:val="20"/>
        </w:rPr>
        <w:t>18.05.2017</w:t>
      </w:r>
      <w:r w:rsidR="006704CC">
        <w:rPr>
          <w:rFonts w:asciiTheme="minorHAnsi" w:hAnsiTheme="minorHAnsi" w:cstheme="minorHAnsi"/>
          <w:sz w:val="20"/>
        </w:rPr>
        <w:t xml:space="preserve"> </w:t>
      </w:r>
      <w:r w:rsidRPr="00565A8E">
        <w:rPr>
          <w:rFonts w:asciiTheme="minorHAnsi" w:hAnsiTheme="minorHAnsi" w:cstheme="minorHAnsi"/>
          <w:sz w:val="20"/>
        </w:rPr>
        <w:t>r. nr 336 zatwierdzono tryb opracowywania planów gospodarowania wodami w dorzeczach. Plan gospodarowania wodami w dorzeczu (PGWD) opracowywany jest w celu osiągnięcia celów środowiskowych określonych dla każdego obszaru dorzecza w ustalonych ramach czasowych.</w:t>
      </w:r>
    </w:p>
    <w:p w14:paraId="2E24EBE6" w14:textId="4188D134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Od 1 września 2023 roku Państwowa Agencja Wodna Ukrainy oraz Zarząd Dorzecza Zasobów Wodnych Bugu i Sanu opracowały następujące elementy planu zarządzania dla zlewni Bugu i Sanu Obszar Dorzecza Wisły:</w:t>
      </w:r>
    </w:p>
    <w:p w14:paraId="597AAF32" w14:textId="77777777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- opis dorzecza (strefy hydrograficzne i gospodarki wodnej, klimat, rzeźba terenu, geologia, hydrogeologia, gleby, roślinność, świat zwierząt, reżim hydrologiczny, specyfika dorzecza);</w:t>
      </w:r>
    </w:p>
    <w:p w14:paraId="529FE66F" w14:textId="3EB81B98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- zidentyfikowane jednolite części wód powierzchniowych – 269 jednolitych części wód (w tym: kandydaci na znacząco zmienione jednolite części wód– 160; sztuczne jednolite części wód– 7);</w:t>
      </w:r>
    </w:p>
    <w:p w14:paraId="5B57FEEC" w14:textId="77777777" w:rsidR="008370D6" w:rsidRPr="00565A8E" w:rsidRDefault="008370D6" w:rsidP="00565A8E">
      <w:pPr>
        <w:spacing w:line="276" w:lineRule="auto"/>
        <w:ind w:firstLine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- główne wpływy antropogeniczne na stan ilościowy i jakościowy wód powierzchniowych i podziemnych;</w:t>
      </w:r>
    </w:p>
    <w:p w14:paraId="59DB9254" w14:textId="77777777" w:rsidR="008370D6" w:rsidRPr="00565A8E" w:rsidRDefault="008370D6" w:rsidP="00565A8E">
      <w:pPr>
        <w:spacing w:line="276" w:lineRule="auto"/>
        <w:ind w:firstLine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- strefy (terytoria) podlegające ochronie i ich wyznaczanie;</w:t>
      </w:r>
    </w:p>
    <w:p w14:paraId="57897E40" w14:textId="77777777" w:rsidR="008370D6" w:rsidRPr="00565A8E" w:rsidRDefault="008370D6" w:rsidP="00565A8E">
      <w:pPr>
        <w:spacing w:line="276" w:lineRule="auto"/>
        <w:ind w:firstLine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- opracowano program monitoringu wód powierzchniowych;</w:t>
      </w:r>
    </w:p>
    <w:p w14:paraId="50BD4001" w14:textId="77777777" w:rsidR="008370D6" w:rsidRPr="00565A8E" w:rsidRDefault="008370D6" w:rsidP="00565A8E">
      <w:pPr>
        <w:spacing w:line="276" w:lineRule="auto"/>
        <w:ind w:firstLine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- zdefiniowane warunki referencyjne;</w:t>
      </w:r>
    </w:p>
    <w:p w14:paraId="074D4FA4" w14:textId="77777777" w:rsidR="008370D6" w:rsidRPr="00565A8E" w:rsidRDefault="008370D6" w:rsidP="00565A8E">
      <w:pPr>
        <w:spacing w:line="276" w:lineRule="auto"/>
        <w:ind w:firstLine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- przeprowadzono analizę ekonomiczną wykorzystania wody;</w:t>
      </w:r>
    </w:p>
    <w:p w14:paraId="3BF501EC" w14:textId="77777777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- mapowanie systemu monitoringu, wyniki prowadzonych programów monitoringu wód powierzchniowych (ekologicznych i chemicznych), wód podziemnych (chemicznego i ilościowego), stref (terytoriów) objętych ochroną;</w:t>
      </w:r>
    </w:p>
    <w:p w14:paraId="41578F2E" w14:textId="77777777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- przeprowadzono opis realizacji programów lub działań, w tym sposobów osiągnięcia określonych celów;</w:t>
      </w:r>
    </w:p>
    <w:p w14:paraId="571CA662" w14:textId="77777777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- określa się cele środowiskowe dla wód powierzchniowych, podziemnych i stref (terytoriów) podlegających ochronie oraz warunki ich osiągnięcia.</w:t>
      </w:r>
    </w:p>
    <w:p w14:paraId="0127F32B" w14:textId="77777777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Obecnie dobiegają końca prace nad opracowaniem programu działań na rzecz dorzecza Wisły, ich zawartości oraz problemów do rozwiązania.</w:t>
      </w:r>
    </w:p>
    <w:p w14:paraId="74A86BDF" w14:textId="417B943C" w:rsidR="008370D6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 xml:space="preserve">Do 1 grudnia 2023 roku planowane jest zakończenie prac nad projektem Planu gospodarowania wodami w dorzeczu Wisły oraz rozpoczęcie procedury jego strategicznej oceny oddziaływania na środowisko i </w:t>
      </w:r>
      <w:r w:rsidR="006704CC">
        <w:rPr>
          <w:rFonts w:asciiTheme="minorHAnsi" w:hAnsiTheme="minorHAnsi" w:cstheme="minorHAnsi"/>
          <w:sz w:val="20"/>
        </w:rPr>
        <w:t>konsultacji</w:t>
      </w:r>
      <w:r w:rsidRPr="00565A8E">
        <w:rPr>
          <w:rFonts w:asciiTheme="minorHAnsi" w:hAnsiTheme="minorHAnsi" w:cstheme="minorHAnsi"/>
          <w:sz w:val="20"/>
        </w:rPr>
        <w:t xml:space="preserve"> społeczn</w:t>
      </w:r>
      <w:r w:rsidR="006704CC">
        <w:rPr>
          <w:rFonts w:asciiTheme="minorHAnsi" w:hAnsiTheme="minorHAnsi" w:cstheme="minorHAnsi"/>
          <w:sz w:val="20"/>
        </w:rPr>
        <w:t>ych</w:t>
      </w:r>
      <w:r w:rsidRPr="00565A8E">
        <w:rPr>
          <w:rFonts w:asciiTheme="minorHAnsi" w:hAnsiTheme="minorHAnsi" w:cstheme="minorHAnsi"/>
          <w:sz w:val="20"/>
        </w:rPr>
        <w:t>.</w:t>
      </w:r>
    </w:p>
    <w:p w14:paraId="7C3F2D24" w14:textId="07F1EC91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bookmarkStart w:id="1" w:name="_Hlk149121072"/>
      <w:r w:rsidRPr="00CA53FE">
        <w:rPr>
          <w:rFonts w:asciiTheme="minorHAnsi" w:hAnsiTheme="minorHAnsi" w:cstheme="minorHAnsi"/>
          <w:sz w:val="20"/>
        </w:rPr>
        <w:t xml:space="preserve">Implementację Dyrektywy 2007/60/WE Parlamentu Europejskiego i Rady z dnia 23 października 2007 r. w sprawie oceny i zarządzania ryzykiem powodziowym (zwanej dalej Dyrektywą Powodziową) </w:t>
      </w:r>
      <w:r w:rsidR="006704CC" w:rsidRPr="00CA53FE">
        <w:rPr>
          <w:rFonts w:asciiTheme="minorHAnsi" w:hAnsiTheme="minorHAnsi" w:cstheme="minorHAnsi"/>
          <w:sz w:val="20"/>
        </w:rPr>
        <w:t xml:space="preserve">określa </w:t>
      </w:r>
      <w:r w:rsidRPr="00CA53FE">
        <w:rPr>
          <w:rFonts w:asciiTheme="minorHAnsi" w:hAnsiTheme="minorHAnsi" w:cstheme="minorHAnsi"/>
          <w:sz w:val="20"/>
        </w:rPr>
        <w:t xml:space="preserve"> załącznik XXX do rozdziału 6 „Środowisko„</w:t>
      </w:r>
      <w:r w:rsidR="006704CC" w:rsidRPr="00CA53FE">
        <w:rPr>
          <w:rFonts w:asciiTheme="minorHAnsi" w:hAnsiTheme="minorHAnsi" w:cstheme="minorHAnsi"/>
          <w:sz w:val="20"/>
        </w:rPr>
        <w:t xml:space="preserve"> </w:t>
      </w:r>
      <w:r w:rsidRPr="00CA53FE">
        <w:rPr>
          <w:rFonts w:asciiTheme="minorHAnsi" w:hAnsiTheme="minorHAnsi" w:cstheme="minorHAnsi"/>
          <w:sz w:val="20"/>
        </w:rPr>
        <w:t xml:space="preserve">Rozdziału V „Współpraca gospodarcza i sektorowa” Układu Stowarzyszeniowego, a także </w:t>
      </w:r>
      <w:r w:rsidR="006704CC" w:rsidRPr="00CA53FE">
        <w:rPr>
          <w:rFonts w:asciiTheme="minorHAnsi" w:hAnsiTheme="minorHAnsi" w:cstheme="minorHAnsi"/>
          <w:sz w:val="20"/>
        </w:rPr>
        <w:t>Rozporządzenie</w:t>
      </w:r>
      <w:r w:rsidRPr="00CA53FE">
        <w:rPr>
          <w:rFonts w:asciiTheme="minorHAnsi" w:hAnsiTheme="minorHAnsi" w:cstheme="minorHAnsi"/>
          <w:sz w:val="20"/>
        </w:rPr>
        <w:t xml:space="preserve"> </w:t>
      </w:r>
      <w:r w:rsidR="00D359FB" w:rsidRPr="00CA53FE">
        <w:rPr>
          <w:rFonts w:asciiTheme="minorHAnsi" w:hAnsiTheme="minorHAnsi" w:cstheme="minorHAnsi"/>
          <w:sz w:val="20"/>
        </w:rPr>
        <w:t>Rady</w:t>
      </w:r>
      <w:r w:rsidRPr="00CA53FE">
        <w:rPr>
          <w:rFonts w:asciiTheme="minorHAnsi" w:hAnsiTheme="minorHAnsi" w:cstheme="minorHAnsi"/>
          <w:sz w:val="20"/>
        </w:rPr>
        <w:t xml:space="preserve"> Ministrów Ukrainy z dnia 25 października 2017 r. nr 1106 „W sprawie wykonania Układu Stowarzyszeniowego”. Celem niniejszego dokumentu jest opracowanie planu działań w zakresie oceny i zarządzania ryzykiem powodziowym w celu ograniczenia negatywnych skutków powodzi dla zdrowia ludzi, środowiska, dziedzictwa kulturowego i działalności gospodarczej.</w:t>
      </w:r>
    </w:p>
    <w:bookmarkEnd w:id="1"/>
    <w:p w14:paraId="1EB3AF72" w14:textId="12285747" w:rsidR="008370D6" w:rsidRPr="00565A8E" w:rsidRDefault="00CA53FE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Rozporządzeniem</w:t>
      </w:r>
      <w:r w:rsidR="008370D6" w:rsidRPr="00565A8E">
        <w:rPr>
          <w:rFonts w:asciiTheme="minorHAnsi" w:hAnsiTheme="minorHAnsi" w:cstheme="minorHAnsi"/>
          <w:sz w:val="20"/>
        </w:rPr>
        <w:t xml:space="preserve"> </w:t>
      </w:r>
      <w:r w:rsidR="00D359FB">
        <w:rPr>
          <w:rFonts w:asciiTheme="minorHAnsi" w:hAnsiTheme="minorHAnsi" w:cstheme="minorHAnsi"/>
          <w:sz w:val="20"/>
        </w:rPr>
        <w:t>Rady</w:t>
      </w:r>
      <w:r w:rsidR="008370D6" w:rsidRPr="00565A8E">
        <w:rPr>
          <w:rFonts w:asciiTheme="minorHAnsi" w:hAnsiTheme="minorHAnsi" w:cstheme="minorHAnsi"/>
          <w:sz w:val="20"/>
        </w:rPr>
        <w:t xml:space="preserve"> Ministrów Ukrainy z dnia </w:t>
      </w:r>
      <w:r w:rsidRPr="00CA53FE">
        <w:rPr>
          <w:rFonts w:asciiTheme="minorHAnsi" w:hAnsiTheme="minorHAnsi" w:cstheme="minorHAnsi"/>
          <w:sz w:val="20"/>
        </w:rPr>
        <w:t xml:space="preserve">08.10.2022 </w:t>
      </w:r>
      <w:r w:rsidR="008370D6" w:rsidRPr="00565A8E">
        <w:rPr>
          <w:rFonts w:asciiTheme="minorHAnsi" w:hAnsiTheme="minorHAnsi" w:cstheme="minorHAnsi"/>
          <w:sz w:val="20"/>
        </w:rPr>
        <w:t>r. nr 895-r „W sprawie zatwierdzenia planów zarządzania ryzykiem powodziowym na niektórych terytoriach w obrębie obszarów dorzeczy” zatwierdzono Plan zarządzania ryzykiem powodziowym na niektórych obszarach obszaru dorzecza Wisły na lata 2023-2030.</w:t>
      </w:r>
    </w:p>
    <w:p w14:paraId="6E5E7B82" w14:textId="77777777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Plan zawiera cele zarządzania ryzykiem powodziowym, zestaw działań i kolejność ich realizacji mających na celu zapobieganie, ochronę, przygotowanie, prognozowanie i system wczesnego ostrzegania dla niektórych terytoriów znajdujących się na obszarze dorzecza Wisły, analizę kosztów i ekonomiczności korzyści wykorzystywane do oceny działań mających skutki transgraniczne, oceny i monitorowania stanu realizacji planu, wykazu właściwych organów oraz, w razie potrzeby, mechanizmów koordynacji w obszarach transgranicznych dorzeczy.</w:t>
      </w:r>
    </w:p>
    <w:p w14:paraId="39B514ED" w14:textId="1BEF353A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W celu harmonizacji z Planem Zarządzania Ryzykiem Powodziowym w Dorzeczu Wisły opracowywane są działania projektu Planu Zarządzania Ryzykiem Powodziowym w Dorzeczu Wisły na lata 2023-2030 z kolejną rewizją co 6 lat, co pozwoli zapewnić jednolity okres planistyczny dla obu plan</w:t>
      </w:r>
      <w:r w:rsidR="00CA53FE">
        <w:rPr>
          <w:rFonts w:asciiTheme="minorHAnsi" w:hAnsiTheme="minorHAnsi" w:cstheme="minorHAnsi"/>
          <w:sz w:val="20"/>
        </w:rPr>
        <w:t>ów</w:t>
      </w:r>
      <w:r w:rsidRPr="00565A8E">
        <w:rPr>
          <w:rFonts w:asciiTheme="minorHAnsi" w:hAnsiTheme="minorHAnsi" w:cstheme="minorHAnsi"/>
          <w:sz w:val="20"/>
        </w:rPr>
        <w:t xml:space="preserve"> i </w:t>
      </w:r>
      <w:r w:rsidR="00CA53FE" w:rsidRPr="00565A8E">
        <w:rPr>
          <w:rFonts w:asciiTheme="minorHAnsi" w:hAnsiTheme="minorHAnsi" w:cstheme="minorHAnsi"/>
          <w:sz w:val="20"/>
        </w:rPr>
        <w:t>wdrąż</w:t>
      </w:r>
      <w:r w:rsidR="00CA53FE">
        <w:rPr>
          <w:rFonts w:asciiTheme="minorHAnsi" w:hAnsiTheme="minorHAnsi" w:cstheme="minorHAnsi"/>
          <w:sz w:val="20"/>
        </w:rPr>
        <w:t>yć</w:t>
      </w:r>
      <w:r w:rsidRPr="00565A8E">
        <w:rPr>
          <w:rFonts w:asciiTheme="minorHAnsi" w:hAnsiTheme="minorHAnsi" w:cstheme="minorHAnsi"/>
          <w:sz w:val="20"/>
        </w:rPr>
        <w:t xml:space="preserve"> zintegrowane zarządzanie dorzeczem Wisły.</w:t>
      </w:r>
    </w:p>
    <w:p w14:paraId="72F094BF" w14:textId="6CAE6439" w:rsidR="008370D6" w:rsidRPr="00565A8E" w:rsidRDefault="008370D6" w:rsidP="00565A8E">
      <w:pPr>
        <w:spacing w:line="276" w:lineRule="auto"/>
        <w:ind w:left="708"/>
        <w:rPr>
          <w:rFonts w:asciiTheme="minorHAnsi" w:hAnsiTheme="minorHAnsi" w:cstheme="minorHAnsi"/>
          <w:sz w:val="20"/>
        </w:rPr>
      </w:pPr>
      <w:r w:rsidRPr="00565A8E">
        <w:rPr>
          <w:rFonts w:asciiTheme="minorHAnsi" w:hAnsiTheme="minorHAnsi" w:cstheme="minorHAnsi"/>
          <w:sz w:val="20"/>
        </w:rPr>
        <w:t>W latach 2022-</w:t>
      </w:r>
      <w:r w:rsidR="00E70E08">
        <w:rPr>
          <w:rFonts w:asciiTheme="minorHAnsi" w:hAnsiTheme="minorHAnsi" w:cstheme="minorHAnsi"/>
          <w:sz w:val="20"/>
        </w:rPr>
        <w:t>20</w:t>
      </w:r>
      <w:r w:rsidRPr="00565A8E">
        <w:rPr>
          <w:rFonts w:asciiTheme="minorHAnsi" w:hAnsiTheme="minorHAnsi" w:cstheme="minorHAnsi"/>
          <w:sz w:val="20"/>
        </w:rPr>
        <w:t>23 nie przeznaczono środków na realizację działań przewidzianych w Planie Zarządzania Ryzykiem Powodziowym dla Dorzecza Wisły.</w:t>
      </w:r>
    </w:p>
    <w:p w14:paraId="12875CA0" w14:textId="77777777" w:rsidR="00AE1602" w:rsidRPr="00565A8E" w:rsidRDefault="00AE1602" w:rsidP="00565A8E">
      <w:pPr>
        <w:spacing w:line="276" w:lineRule="auto"/>
        <w:ind w:left="720"/>
        <w:rPr>
          <w:rFonts w:asciiTheme="minorHAnsi" w:eastAsia="Calibri" w:hAnsiTheme="minorHAnsi" w:cstheme="minorHAnsi"/>
          <w:sz w:val="20"/>
          <w:lang w:eastAsia="en-US"/>
        </w:rPr>
      </w:pPr>
    </w:p>
    <w:p w14:paraId="6DF915B4" w14:textId="77777777" w:rsidR="008370D6" w:rsidRPr="008370D6" w:rsidRDefault="008370D6" w:rsidP="00565A8E">
      <w:pPr>
        <w:pStyle w:val="Akapitzlist"/>
        <w:numPr>
          <w:ilvl w:val="0"/>
          <w:numId w:val="15"/>
        </w:numPr>
        <w:spacing w:line="276" w:lineRule="auto"/>
        <w:ind w:left="709" w:hanging="425"/>
        <w:rPr>
          <w:rFonts w:asciiTheme="minorHAnsi" w:hAnsiTheme="minorHAnsi" w:cstheme="minorHAnsi"/>
          <w:sz w:val="20"/>
          <w:szCs w:val="20"/>
          <w:lang w:eastAsia="en-US"/>
        </w:rPr>
      </w:pPr>
      <w:r w:rsidRPr="008370D6">
        <w:rPr>
          <w:rFonts w:asciiTheme="minorHAnsi" w:eastAsia="Calibri" w:hAnsiTheme="minorHAnsi" w:cstheme="minorHAnsi"/>
          <w:sz w:val="20"/>
          <w:szCs w:val="20"/>
          <w:lang w:eastAsia="en-US"/>
        </w:rPr>
        <w:t>Strona</w:t>
      </w:r>
      <w:r w:rsidRPr="008370D6">
        <w:rPr>
          <w:rFonts w:asciiTheme="minorHAnsi" w:hAnsiTheme="minorHAnsi" w:cstheme="minorHAnsi"/>
          <w:sz w:val="20"/>
          <w:szCs w:val="20"/>
          <w:lang w:eastAsia="en-US"/>
        </w:rPr>
        <w:t xml:space="preserve"> polska przedstawiła bieżące kierunki/obszary zarządzania zasobami wodnymi w Polsce:  </w:t>
      </w:r>
    </w:p>
    <w:p w14:paraId="07C28159" w14:textId="77777777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Plan Gospodarowania Wodami</w:t>
      </w:r>
      <w:r w:rsidRPr="008370D6">
        <w:rPr>
          <w:rFonts w:asciiTheme="minorHAnsi" w:hAnsiTheme="minorHAnsi" w:cstheme="minorHAnsi"/>
          <w:sz w:val="20"/>
          <w:szCs w:val="20"/>
          <w:lang w:eastAsia="en-US"/>
        </w:rPr>
        <w:t> to jeden z najważniejszych dokumentów planistycznych w gospodarce wodnej, których projekty są opracowywane co 6 lat przez Państwowe Gospodarstwo Wodne Wody Polskie.</w:t>
      </w:r>
    </w:p>
    <w:p w14:paraId="4BE8D69F" w14:textId="77777777" w:rsidR="008370D6" w:rsidRPr="008370D6" w:rsidRDefault="008370D6" w:rsidP="00565A8E">
      <w:pPr>
        <w:spacing w:line="276" w:lineRule="auto"/>
        <w:ind w:left="720"/>
        <w:rPr>
          <w:rFonts w:asciiTheme="minorHAnsi" w:hAnsiTheme="minorHAnsi" w:cstheme="minorHAnsi"/>
          <w:sz w:val="20"/>
          <w:lang w:eastAsia="en-US"/>
        </w:rPr>
      </w:pPr>
      <w:r w:rsidRPr="008370D6">
        <w:rPr>
          <w:rFonts w:asciiTheme="minorHAnsi" w:hAnsiTheme="minorHAnsi" w:cstheme="minorHAnsi"/>
          <w:sz w:val="20"/>
          <w:lang w:eastAsia="en-US"/>
        </w:rPr>
        <w:t xml:space="preserve">W celu osiągnięcia i utrzymania dobrego stanu wszystkich wód i ekosystemów od wód zależnych oraz osiągnięcia celów środowiskowych, w obszarze dorzecza Wisły opracowano zestaw działań obejmujący łącznie 12 784 zadania, których szacunkowy koszt wynosi ponad 16,6 mld zł. Głównymi podmiotami odpowiedzialnymi za realizację tych działań są:  </w:t>
      </w:r>
    </w:p>
    <w:p w14:paraId="3E7E80CE" w14:textId="77777777" w:rsidR="008370D6" w:rsidRPr="008370D6" w:rsidRDefault="008370D6" w:rsidP="00565A8E">
      <w:pPr>
        <w:spacing w:line="276" w:lineRule="auto"/>
        <w:ind w:left="720"/>
        <w:rPr>
          <w:rFonts w:asciiTheme="minorHAnsi" w:hAnsiTheme="minorHAnsi" w:cstheme="minorHAnsi"/>
          <w:sz w:val="20"/>
          <w:lang w:eastAsia="en-US"/>
        </w:rPr>
      </w:pPr>
      <w:r w:rsidRPr="008370D6">
        <w:rPr>
          <w:rFonts w:asciiTheme="minorHAnsi" w:hAnsiTheme="minorHAnsi" w:cstheme="minorHAnsi"/>
          <w:sz w:val="20"/>
          <w:lang w:eastAsia="en-US"/>
        </w:rPr>
        <w:t>- sprawujący zarząd i sprawujący nadzór nad obszarami chronionymi (55,23% działań)</w:t>
      </w:r>
    </w:p>
    <w:p w14:paraId="16204005" w14:textId="77777777" w:rsidR="008370D6" w:rsidRPr="008370D6" w:rsidRDefault="008370D6" w:rsidP="00565A8E">
      <w:pPr>
        <w:spacing w:line="276" w:lineRule="auto"/>
        <w:ind w:left="720"/>
        <w:rPr>
          <w:rFonts w:asciiTheme="minorHAnsi" w:hAnsiTheme="minorHAnsi" w:cstheme="minorHAnsi"/>
          <w:sz w:val="20"/>
          <w:lang w:eastAsia="en-US"/>
        </w:rPr>
      </w:pPr>
      <w:r w:rsidRPr="00F32131">
        <w:rPr>
          <w:rFonts w:asciiTheme="minorHAnsi" w:hAnsiTheme="minorHAnsi" w:cstheme="minorHAnsi"/>
          <w:sz w:val="20"/>
          <w:lang w:eastAsia="en-US"/>
        </w:rPr>
        <w:t>- gmina lub przedsiębiorstwo wodociągowo-kanalizacyjne (18,55% działań)</w:t>
      </w:r>
    </w:p>
    <w:p w14:paraId="6E44C9D8" w14:textId="77777777" w:rsidR="008370D6" w:rsidRPr="008370D6" w:rsidRDefault="008370D6" w:rsidP="00565A8E">
      <w:pPr>
        <w:spacing w:line="276" w:lineRule="auto"/>
        <w:ind w:left="720"/>
        <w:rPr>
          <w:rFonts w:asciiTheme="minorHAnsi" w:hAnsiTheme="minorHAnsi" w:cstheme="minorHAnsi"/>
          <w:sz w:val="20"/>
          <w:lang w:eastAsia="en-US"/>
        </w:rPr>
      </w:pPr>
      <w:r w:rsidRPr="008370D6">
        <w:rPr>
          <w:rFonts w:asciiTheme="minorHAnsi" w:hAnsiTheme="minorHAnsi" w:cstheme="minorHAnsi"/>
          <w:sz w:val="20"/>
          <w:lang w:eastAsia="en-US"/>
        </w:rPr>
        <w:t>- PGW WP RZGW, ZZ; właściciel urządzenia wodnego (7,30% działań)</w:t>
      </w:r>
    </w:p>
    <w:p w14:paraId="60004EFD" w14:textId="77777777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Krajowy Program Oczyszczania Ścieków</w:t>
      </w:r>
      <w:r w:rsidRPr="008370D6">
        <w:rPr>
          <w:rFonts w:asciiTheme="minorHAnsi" w:hAnsiTheme="minorHAnsi" w:cstheme="minorHAnsi"/>
          <w:sz w:val="20"/>
          <w:szCs w:val="20"/>
          <w:lang w:eastAsia="en-US"/>
        </w:rPr>
        <w:t xml:space="preserve"> Komunalnych stanowi wykaz aglomeracji, które muszą zostać wyposażone w systemy kanalizacji zbiorczej i oczyszczalnie ścieków w terminach określonych w Programie. Program ten po raz pierwszy został przyjęty przez Radę Ministrów w dniu 16 grudnia 2003 r. VI aktualizację Krajowego programu oczyszczania ścieków komunalnych (VI AKPOŚK) Rada Ministrów przyjęła w dniu 5 maja 2022 r. </w:t>
      </w:r>
    </w:p>
    <w:p w14:paraId="06E332EE" w14:textId="77777777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Plan Przeciwdziałania Skutkom Suszy.</w:t>
      </w:r>
      <w:r w:rsidRPr="008370D6">
        <w:rPr>
          <w:rFonts w:asciiTheme="minorHAnsi" w:hAnsiTheme="minorHAnsi" w:cstheme="minorHAnsi"/>
          <w:sz w:val="20"/>
          <w:szCs w:val="20"/>
          <w:lang w:eastAsia="en-US"/>
        </w:rPr>
        <w:t xml:space="preserve"> PPSS ma przyczynić się do zintegrowanej ochrony wód i gospodarki wodami, mając na celu zapewnienie dobrej jakość oraz wystarczającej ilość wód służących wszystkim działom gospodarki narodowej oraz środowisku naturalnemu. </w:t>
      </w:r>
    </w:p>
    <w:p w14:paraId="552580F8" w14:textId="77777777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Program przeciwdziałania niedoborowi wody</w:t>
      </w:r>
      <w:r w:rsidRPr="008370D6">
        <w:rPr>
          <w:rFonts w:asciiTheme="minorHAnsi" w:hAnsiTheme="minorHAnsi" w:cstheme="minorHAnsi"/>
          <w:sz w:val="20"/>
          <w:szCs w:val="20"/>
          <w:lang w:eastAsia="en-US"/>
        </w:rPr>
        <w:t xml:space="preserve"> na lata 2021–2027 to kolejny strategiczny dokument planistyczny opracowywany przez Ministerstwo Infrastruktury. Program ma wskazać niezbędne do realizacji działania w obszarze m.in. budowy zbiorników retencyjnych, hydroenergetyki i melioracji, które pozwolą na zwiększenie poziomu retencji wód w Polsce z 6,5% do 15%. </w:t>
      </w:r>
    </w:p>
    <w:p w14:paraId="1AD17FE4" w14:textId="77777777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Wstępna Ocena Ryzyka Powodziowego</w:t>
      </w:r>
      <w:r w:rsidRPr="008370D6">
        <w:rPr>
          <w:rFonts w:asciiTheme="minorHAnsi" w:hAnsiTheme="minorHAnsi" w:cstheme="minorHAnsi"/>
          <w:sz w:val="20"/>
          <w:szCs w:val="20"/>
          <w:lang w:eastAsia="en-US"/>
        </w:rPr>
        <w:t xml:space="preserve"> – to podstawowy </w:t>
      </w:r>
      <w:r w:rsidR="004324F6" w:rsidRPr="008370D6">
        <w:rPr>
          <w:rFonts w:asciiTheme="minorHAnsi" w:hAnsiTheme="minorHAnsi" w:cstheme="minorHAnsi"/>
          <w:sz w:val="20"/>
          <w:szCs w:val="20"/>
          <w:lang w:eastAsia="en-US"/>
        </w:rPr>
        <w:t>dokument,</w:t>
      </w:r>
      <w:r w:rsidRPr="008370D6">
        <w:rPr>
          <w:rFonts w:asciiTheme="minorHAnsi" w:hAnsiTheme="minorHAnsi" w:cstheme="minorHAnsi"/>
          <w:sz w:val="20"/>
          <w:szCs w:val="20"/>
          <w:lang w:eastAsia="en-US"/>
        </w:rPr>
        <w:t xml:space="preserve"> którego celem jest wyznaczenie obszarów narażonych na niebezpieczeństwo powodzi, czyli obszarów, na których istnieje znaczące ryzyko powodziowe lub na których wystąpienie dużego ryzyka jest prawdopodobne.</w:t>
      </w:r>
    </w:p>
    <w:p w14:paraId="7224007A" w14:textId="77777777" w:rsidR="008370D6" w:rsidRPr="008370D6" w:rsidRDefault="008370D6" w:rsidP="00565A8E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Mapy zagrożenia powodziowego (MZP) i mapy ryzyka powodziowego (MRP)</w:t>
      </w:r>
      <w:r w:rsidRPr="008370D6">
        <w:rPr>
          <w:rFonts w:asciiTheme="minorHAnsi" w:hAnsiTheme="minorHAnsi" w:cstheme="minorHAnsi"/>
          <w:sz w:val="20"/>
          <w:szCs w:val="20"/>
          <w:lang w:eastAsia="en-US"/>
        </w:rPr>
        <w:t xml:space="preserve"> jako dokumenty planistyczne stanowią nietechniczny środek ochrony przeciwpowodziowej mający na celu ograniczenie potencjalnych negatywnych konsekwencji powodzi. </w:t>
      </w:r>
    </w:p>
    <w:p w14:paraId="4B3B9C65" w14:textId="6C869495" w:rsidR="008370D6" w:rsidRPr="00ED732B" w:rsidRDefault="008370D6" w:rsidP="00ED732B">
      <w:pPr>
        <w:pStyle w:val="Akapitzlist"/>
        <w:numPr>
          <w:ilvl w:val="0"/>
          <w:numId w:val="31"/>
        </w:numPr>
        <w:tabs>
          <w:tab w:val="left" w:pos="1560"/>
        </w:tabs>
        <w:spacing w:line="276" w:lineRule="auto"/>
        <w:ind w:left="1560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370D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Plany Zarządzania Ryzykiem Powodziowym</w:t>
      </w:r>
      <w:r w:rsidRPr="008370D6">
        <w:rPr>
          <w:rFonts w:asciiTheme="minorHAnsi" w:hAnsiTheme="minorHAnsi" w:cstheme="minorHAnsi"/>
          <w:sz w:val="20"/>
          <w:szCs w:val="20"/>
          <w:lang w:eastAsia="en-US"/>
        </w:rPr>
        <w:t xml:space="preserve"> to dokumenty, których głównym celem jest ograniczenie potencjalnych negatywnych skutków powodzi dla życia i zdrowia ludzi, środowiska, dziedzictwa kulturowego oraz działalności gospodarczej, poprzez realizację działań służących minimalizacji zidentyfikowanych zagrożeń. </w:t>
      </w:r>
    </w:p>
    <w:p w14:paraId="48EB9FC3" w14:textId="77777777" w:rsidR="007168A5" w:rsidRPr="00565A8E" w:rsidRDefault="007168A5" w:rsidP="00565A8E">
      <w:p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</w:p>
    <w:p w14:paraId="125CEA36" w14:textId="77777777" w:rsidR="0056710E" w:rsidRPr="00565A8E" w:rsidRDefault="0056710E" w:rsidP="00565A8E">
      <w:pPr>
        <w:numPr>
          <w:ilvl w:val="0"/>
          <w:numId w:val="13"/>
        </w:numPr>
        <w:tabs>
          <w:tab w:val="left" w:pos="709"/>
        </w:tabs>
        <w:spacing w:line="276" w:lineRule="auto"/>
        <w:ind w:left="426" w:hanging="426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Przedstawienie systemu zarządzania gospodarką wodną Rzeczpospolitej Polskiej i </w:t>
      </w:r>
      <w:r w:rsidR="004324F6" w:rsidRPr="00565A8E">
        <w:rPr>
          <w:rFonts w:asciiTheme="minorHAnsi" w:eastAsia="Calibri" w:hAnsiTheme="minorHAnsi" w:cstheme="minorHAnsi"/>
          <w:b/>
          <w:sz w:val="20"/>
          <w:lang w:eastAsia="en-US"/>
        </w:rPr>
        <w:t>Ukrainy w</w:t>
      </w: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 odniesieniu do instytucji rządowych i jednostek im podległych </w:t>
      </w:r>
    </w:p>
    <w:p w14:paraId="1191E273" w14:textId="77777777" w:rsidR="0056710E" w:rsidRPr="00565A8E" w:rsidRDefault="0056710E" w:rsidP="00565A8E">
      <w:pPr>
        <w:spacing w:line="276" w:lineRule="auto"/>
        <w:ind w:left="644"/>
        <w:rPr>
          <w:rFonts w:asciiTheme="minorHAnsi" w:eastAsia="Calibri" w:hAnsiTheme="minorHAnsi" w:cstheme="minorHAnsi"/>
          <w:sz w:val="20"/>
          <w:lang w:eastAsia="en-US"/>
        </w:rPr>
      </w:pPr>
    </w:p>
    <w:p w14:paraId="07052F8F" w14:textId="0D4BC71B" w:rsidR="008370D6" w:rsidRPr="00ED732B" w:rsidRDefault="00F622FE" w:rsidP="00ED732B">
      <w:pPr>
        <w:pStyle w:val="Akapitzlist"/>
        <w:numPr>
          <w:ilvl w:val="0"/>
          <w:numId w:val="15"/>
        </w:numPr>
        <w:spacing w:line="276" w:lineRule="auto"/>
        <w:ind w:left="709" w:hanging="425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Strona ukraińska przedstawiła informacje o Państwowej Agencji Zasobów Wodnych Ukrainy, jej strukturze i głównych zadaniach</w:t>
      </w:r>
      <w:r w:rsidR="00ED732B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  <w:bookmarkStart w:id="2" w:name="_GoBack"/>
      <w:bookmarkEnd w:id="2"/>
    </w:p>
    <w:p w14:paraId="6CFE46DB" w14:textId="77777777" w:rsidR="008370D6" w:rsidRPr="008370D6" w:rsidRDefault="008370D6" w:rsidP="00565A8E">
      <w:pPr>
        <w:pStyle w:val="Akapitzlist"/>
        <w:numPr>
          <w:ilvl w:val="0"/>
          <w:numId w:val="15"/>
        </w:numPr>
        <w:spacing w:line="276" w:lineRule="auto"/>
        <w:ind w:left="709" w:hanging="425"/>
        <w:rPr>
          <w:rFonts w:asciiTheme="minorHAnsi" w:hAnsiTheme="minorHAnsi" w:cstheme="minorHAnsi"/>
          <w:sz w:val="20"/>
          <w:szCs w:val="20"/>
          <w:lang w:eastAsia="en-US"/>
        </w:rPr>
      </w:pPr>
      <w:r w:rsidRPr="008370D6">
        <w:rPr>
          <w:rFonts w:asciiTheme="minorHAnsi" w:hAnsiTheme="minorHAnsi" w:cstheme="minorHAnsi"/>
          <w:sz w:val="20"/>
          <w:szCs w:val="20"/>
          <w:lang w:eastAsia="en-US"/>
        </w:rPr>
        <w:t>Strona polska przedstawiła informację o Państwowym Gospodarstwie Wodnym Wody Polskie, strukturę, kompetencje i obszar działania PGW WP.</w:t>
      </w:r>
    </w:p>
    <w:p w14:paraId="71F12B74" w14:textId="77777777" w:rsidR="008370D6" w:rsidRPr="00565A8E" w:rsidRDefault="008370D6" w:rsidP="00565A8E">
      <w:pPr>
        <w:spacing w:line="276" w:lineRule="auto"/>
        <w:ind w:left="644"/>
        <w:rPr>
          <w:rFonts w:asciiTheme="minorHAnsi" w:eastAsia="Calibri" w:hAnsiTheme="minorHAnsi" w:cstheme="minorHAnsi"/>
          <w:sz w:val="20"/>
          <w:lang w:eastAsia="en-US"/>
        </w:rPr>
      </w:pPr>
    </w:p>
    <w:p w14:paraId="4C1CF08F" w14:textId="38CE9C4C" w:rsidR="007168A5" w:rsidRPr="00565A8E" w:rsidRDefault="007168A5" w:rsidP="00565A8E">
      <w:pPr>
        <w:numPr>
          <w:ilvl w:val="0"/>
          <w:numId w:val="13"/>
        </w:numPr>
        <w:tabs>
          <w:tab w:val="left" w:pos="709"/>
        </w:tabs>
        <w:spacing w:line="276" w:lineRule="auto"/>
        <w:ind w:left="426" w:hanging="426"/>
        <w:rPr>
          <w:rFonts w:asciiTheme="minorHAnsi" w:eastAsia="Calibri" w:hAnsiTheme="minorHAnsi" w:cstheme="minorHAnsi"/>
          <w:b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>Informacje o przygotowaniu i realizacji projektów na Bugu i dorzeczu Sanu. Rozpatrzenie aktualnego stanu złożonych wniosków projektowych oraz planowanych w ramach międzynarodowych programów pomocy technicznej</w:t>
      </w:r>
    </w:p>
    <w:p w14:paraId="0D457BB0" w14:textId="77777777" w:rsidR="00F622FE" w:rsidRPr="00565A8E" w:rsidRDefault="00F622FE" w:rsidP="00565A8E">
      <w:pPr>
        <w:spacing w:line="276" w:lineRule="auto"/>
        <w:ind w:left="644"/>
        <w:rPr>
          <w:rFonts w:asciiTheme="minorHAnsi" w:eastAsia="Calibri" w:hAnsiTheme="minorHAnsi" w:cstheme="minorHAnsi"/>
          <w:b/>
          <w:sz w:val="20"/>
          <w:lang w:val="uk-UA" w:eastAsia="en-US"/>
        </w:rPr>
      </w:pPr>
    </w:p>
    <w:p w14:paraId="3DA6CB55" w14:textId="366DC734" w:rsidR="00F622FE" w:rsidRPr="00565A8E" w:rsidRDefault="00E17A38" w:rsidP="00565A8E">
      <w:pPr>
        <w:pStyle w:val="Akapitzlist"/>
        <w:numPr>
          <w:ilvl w:val="0"/>
          <w:numId w:val="15"/>
        </w:numPr>
        <w:spacing w:line="276" w:lineRule="auto"/>
        <w:ind w:left="709" w:hanging="425"/>
        <w:rPr>
          <w:rFonts w:asciiTheme="minorHAnsi" w:eastAsia="Calibri" w:hAnsiTheme="minorHAnsi" w:cstheme="minorHAnsi"/>
          <w:sz w:val="20"/>
          <w:szCs w:val="20"/>
          <w:lang w:val="uk-UA" w:eastAsia="en-US"/>
        </w:rPr>
      </w:pP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Strona </w:t>
      </w:r>
      <w:r w:rsidR="00ED7F23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u</w:t>
      </w:r>
      <w:r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kraińska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przedstawiła 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val="uk-UA" w:eastAsia="en-US"/>
        </w:rPr>
        <w:t>Informacj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e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val="uk-UA" w:eastAsia="en-US"/>
        </w:rPr>
        <w:t xml:space="preserve"> o 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stanie przygotowań 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val="uk-UA" w:eastAsia="en-US"/>
        </w:rPr>
        <w:t>i realizacji wspólnych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projektów 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val="uk-UA" w:eastAsia="en-US"/>
        </w:rPr>
        <w:t>ukraińsk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o-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val="uk-UA" w:eastAsia="en-US"/>
        </w:rPr>
        <w:t>polsk</w:t>
      </w:r>
      <w:r w:rsidR="002A4B1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ich </w:t>
      </w:r>
      <w:r w:rsidR="00F622FE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w d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val="uk-UA" w:eastAsia="en-US"/>
        </w:rPr>
        <w:t xml:space="preserve">orzeczach Bugu i </w:t>
      </w:r>
      <w:r w:rsidR="007168A5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Sanu</w:t>
      </w:r>
      <w:r w:rsidR="00F622FE" w:rsidRPr="00565A8E">
        <w:rPr>
          <w:rFonts w:asciiTheme="minorHAnsi" w:eastAsia="Calibri" w:hAnsiTheme="minorHAnsi" w:cstheme="minorHAnsi"/>
          <w:sz w:val="20"/>
          <w:szCs w:val="20"/>
          <w:lang w:eastAsia="en-US"/>
        </w:rPr>
        <w:t>, a mianowicie:</w:t>
      </w:r>
    </w:p>
    <w:p w14:paraId="42D33ECA" w14:textId="694ED25E" w:rsidR="00565A8E" w:rsidRPr="00E01ADB" w:rsidRDefault="00565A8E" w:rsidP="00565A8E">
      <w:pPr>
        <w:spacing w:line="276" w:lineRule="auto"/>
        <w:ind w:left="720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„Wzmocnienie rządu i samorządu lokalnego w ukraińskiej części zlewni Bugu, Sanu i Dniestru w zakresie efektywnego zarządzania środowiskiem wodnym oraz prawidłowego wdrażania systemu prawnego UE w zakresie gospodarki wodnej, łącznie z odbudową potencjału tych instytucji po stratach poniesionych w wyniku rosyjskiej agresji.” Projekt będzie realizowany do końca 2024 roku poprzez zapewnienie </w:t>
      </w:r>
      <w:r w:rsidRPr="00E01ADB">
        <w:rPr>
          <w:rFonts w:asciiTheme="minorHAnsi" w:eastAsia="Calibri" w:hAnsiTheme="minorHAnsi" w:cstheme="minorHAnsi"/>
          <w:sz w:val="20"/>
          <w:lang w:eastAsia="en-US"/>
        </w:rPr>
        <w:t>wsparcia technicznego stronie ukraińskiej oraz prowadzenie szkoleń dla służb Państwowej Agencji Zasobów Wodnych Ukrainy.</w:t>
      </w:r>
    </w:p>
    <w:p w14:paraId="61C71B29" w14:textId="77777777" w:rsidR="00E01ADB" w:rsidRDefault="00565A8E" w:rsidP="00E01ADB">
      <w:pPr>
        <w:pStyle w:val="Akapitzlist"/>
        <w:numPr>
          <w:ilvl w:val="0"/>
          <w:numId w:val="32"/>
        </w:numPr>
        <w:rPr>
          <w:rFonts w:asciiTheme="minorHAnsi" w:eastAsia="Calibri" w:hAnsiTheme="minorHAnsi" w:cstheme="minorHAnsi"/>
          <w:sz w:val="20"/>
          <w:lang w:eastAsia="en-US"/>
        </w:rPr>
      </w:pPr>
      <w:r w:rsidRPr="00E01ADB">
        <w:rPr>
          <w:rFonts w:asciiTheme="minorHAnsi" w:eastAsia="Calibri" w:hAnsiTheme="minorHAnsi" w:cstheme="minorHAnsi"/>
          <w:sz w:val="20"/>
          <w:lang w:eastAsia="en-US"/>
        </w:rPr>
        <w:t xml:space="preserve">„Czyste Bałtyckie Źródło – Ścieki Obwodu Lwowskiego i Wołyńskiego”. Celem projektu jest zapewnienie ukraińskim organizacjom i </w:t>
      </w:r>
      <w:r w:rsidR="00E01ADB" w:rsidRPr="00E01ADB">
        <w:rPr>
          <w:rFonts w:asciiTheme="minorHAnsi" w:eastAsia="Calibri" w:hAnsiTheme="minorHAnsi" w:cstheme="minorHAnsi"/>
          <w:sz w:val="20"/>
          <w:lang w:eastAsia="en-US"/>
        </w:rPr>
        <w:t xml:space="preserve">samorządom lokalnym </w:t>
      </w:r>
      <w:r w:rsidRPr="00E01ADB">
        <w:rPr>
          <w:rFonts w:asciiTheme="minorHAnsi" w:eastAsia="Calibri" w:hAnsiTheme="minorHAnsi" w:cstheme="minorHAnsi"/>
          <w:sz w:val="20"/>
          <w:lang w:eastAsia="en-US"/>
        </w:rPr>
        <w:t>jasnego zrozumienia narzędzi umożliwiających rozpoczęcie planowania skutecznego oczyszczania ścieków, wiedzy o najlepszych praktykach, modelach operacyjnych i finansowych, a także różnego rodzaju wyzwaniach, z którymi można się zmierzyć podczas zintegrowanych prac mających na celu osiągnięcie dobry stan środowiska Dorzecze Wisły.</w:t>
      </w:r>
    </w:p>
    <w:p w14:paraId="4E9BC273" w14:textId="2E69DFB8" w:rsidR="00102408" w:rsidRPr="00E01ADB" w:rsidRDefault="00E01ADB" w:rsidP="00E01ADB">
      <w:pPr>
        <w:pStyle w:val="Akapitzlist"/>
        <w:numPr>
          <w:ilvl w:val="0"/>
          <w:numId w:val="32"/>
        </w:numPr>
        <w:rPr>
          <w:rFonts w:asciiTheme="minorHAnsi" w:eastAsia="Calibri" w:hAnsiTheme="minorHAnsi" w:cstheme="minorHAnsi"/>
          <w:sz w:val="20"/>
          <w:lang w:eastAsia="en-US"/>
        </w:rPr>
      </w:pPr>
      <w:r w:rsidRPr="00E01ADB">
        <w:rPr>
          <w:rFonts w:asciiTheme="minorHAnsi" w:eastAsia="Calibri" w:hAnsiTheme="minorHAnsi" w:cstheme="minorHAnsi"/>
          <w:sz w:val="20"/>
          <w:lang w:eastAsia="en-US"/>
        </w:rPr>
        <w:t>„</w:t>
      </w:r>
      <w:r w:rsidR="00102408" w:rsidRPr="00E01ADB">
        <w:rPr>
          <w:rFonts w:asciiTheme="minorHAnsi" w:eastAsia="Calibri" w:hAnsiTheme="minorHAnsi" w:cstheme="minorHAnsi"/>
          <w:sz w:val="20"/>
          <w:lang w:eastAsia="en-US"/>
        </w:rPr>
        <w:t>Zapewnienie swobodnego przepływu w górnym biegu zachodniego Bugu (eliminacja 5 przeszkód)”. Realizacja tego projektu jest kolejnym krokiem w kierunku skutecznego i rozsądnego u</w:t>
      </w:r>
      <w:r w:rsidR="00102408" w:rsidRPr="00E01ADB">
        <w:rPr>
          <w:rFonts w:asciiTheme="minorHAnsi" w:eastAsia="Calibri" w:hAnsiTheme="minorHAnsi" w:cstheme="minorHAnsi"/>
          <w:sz w:val="20"/>
          <w:szCs w:val="20"/>
          <w:lang w:eastAsia="en-US"/>
        </w:rPr>
        <w:t>sunięcia sztucznych przeszkód i renaturyzacji rzek.</w:t>
      </w:r>
    </w:p>
    <w:p w14:paraId="10291FCE" w14:textId="77777777" w:rsidR="00565A8E" w:rsidRPr="002A4B1B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2A4B1B">
        <w:rPr>
          <w:rFonts w:asciiTheme="minorHAnsi" w:eastAsia="Calibri" w:hAnsiTheme="minorHAnsi" w:cstheme="minorHAnsi"/>
          <w:sz w:val="20"/>
          <w:lang w:eastAsia="en-US"/>
        </w:rPr>
        <w:t>„Przebudowa oczyszczalni i budowa stacji przeróbki osadów w celu oczyszczania i utylizacji ścieków oraz produkcji biogazu do kogeneracji na terenie miasta Lwowa”</w:t>
      </w:r>
    </w:p>
    <w:p w14:paraId="14B5CA26" w14:textId="74D05928" w:rsidR="00565A8E" w:rsidRPr="00565A8E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„Przebudowa oczyszczalni ścieków na ul. Rudnikowskiej, 192 w m. </w:t>
      </w:r>
      <w:r w:rsidR="002A4B1B" w:rsidRPr="002A4B1B">
        <w:rPr>
          <w:rFonts w:asciiTheme="minorHAnsi" w:eastAsia="Calibri" w:hAnsiTheme="minorHAnsi" w:cstheme="minorHAnsi"/>
          <w:sz w:val="20"/>
          <w:lang w:eastAsia="en-US"/>
        </w:rPr>
        <w:t>Mościska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, powiat jaworowski, obwód lwowski”</w:t>
      </w:r>
    </w:p>
    <w:p w14:paraId="1D18E302" w14:textId="77777777" w:rsidR="00565A8E" w:rsidRPr="00565A8E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>„Budowa oczyszczalni ścieków w miejscowości Bełz, powiat czerwonogradzki, obwód lwowski”</w:t>
      </w:r>
    </w:p>
    <w:p w14:paraId="5EC976FA" w14:textId="6B0E38BC" w:rsidR="00565A8E" w:rsidRPr="00565A8E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„Przebudowa oczyszczalni ścieków w </w:t>
      </w:r>
      <w:r w:rsidR="00275BC5" w:rsidRPr="00275BC5">
        <w:rPr>
          <w:rFonts w:asciiTheme="minorHAnsi" w:eastAsia="Calibri" w:hAnsiTheme="minorHAnsi" w:cstheme="minorHAnsi"/>
          <w:sz w:val="20"/>
          <w:lang w:eastAsia="en-US"/>
        </w:rPr>
        <w:t>Sosnów</w:t>
      </w:r>
      <w:r w:rsidR="00275BC5">
        <w:rPr>
          <w:rFonts w:asciiTheme="minorHAnsi" w:eastAsia="Calibri" w:hAnsiTheme="minorHAnsi" w:cstheme="minorHAnsi"/>
          <w:sz w:val="20"/>
          <w:lang w:eastAsia="en-US"/>
        </w:rPr>
        <w:t xml:space="preserve">ce w rejonie </w:t>
      </w:r>
      <w:r w:rsidR="00275BC5" w:rsidRPr="00275BC5">
        <w:rPr>
          <w:rFonts w:asciiTheme="minorHAnsi" w:eastAsia="Calibri" w:hAnsiTheme="minorHAnsi" w:cstheme="minorHAnsi"/>
          <w:sz w:val="20"/>
          <w:lang w:eastAsia="en-US"/>
        </w:rPr>
        <w:t>czerwonogrodzki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, obwód lwowski”</w:t>
      </w:r>
    </w:p>
    <w:p w14:paraId="71E637F3" w14:textId="77777777" w:rsidR="00565A8E" w:rsidRPr="00565A8E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>„Przebudowa i ponowne wyposażenie techniczne obiektów oczyszczania ścieków w mieście Żółkiew</w:t>
      </w:r>
    </w:p>
    <w:p w14:paraId="27FD4B08" w14:textId="2F05DFBE" w:rsidR="00565A8E" w:rsidRPr="00565A8E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„Budowa oczyszczalni ścieków w mieście </w:t>
      </w:r>
      <w:r w:rsidR="00275BC5" w:rsidRPr="00275BC5">
        <w:rPr>
          <w:rFonts w:asciiTheme="minorHAnsi" w:eastAsia="Calibri" w:hAnsiTheme="minorHAnsi" w:cstheme="minorHAnsi"/>
          <w:sz w:val="20"/>
          <w:lang w:eastAsia="en-US"/>
        </w:rPr>
        <w:t>Kamionka Bużańska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”</w:t>
      </w:r>
    </w:p>
    <w:p w14:paraId="3B343F28" w14:textId="14A02A52" w:rsidR="00565A8E" w:rsidRPr="00565A8E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„Budowa oczyszczalni ścieków na terenie wsi </w:t>
      </w:r>
      <w:r w:rsidR="00275BC5" w:rsidRPr="00275BC5">
        <w:rPr>
          <w:rFonts w:asciiTheme="minorHAnsi" w:eastAsia="Calibri" w:hAnsiTheme="minorHAnsi" w:cstheme="minorHAnsi"/>
          <w:sz w:val="20"/>
          <w:lang w:eastAsia="en-US"/>
        </w:rPr>
        <w:t xml:space="preserve">Sołonka </w:t>
      </w:r>
      <w:r w:rsidR="00275BC5">
        <w:rPr>
          <w:rFonts w:asciiTheme="minorHAnsi" w:eastAsia="Calibri" w:hAnsiTheme="minorHAnsi" w:cstheme="minorHAnsi"/>
          <w:sz w:val="20"/>
          <w:lang w:eastAsia="en-US"/>
        </w:rPr>
        <w:t xml:space="preserve">w </w:t>
      </w:r>
      <w:r w:rsidR="002A4B1B">
        <w:rPr>
          <w:rFonts w:asciiTheme="minorHAnsi" w:eastAsia="Calibri" w:hAnsiTheme="minorHAnsi" w:cstheme="minorHAnsi"/>
          <w:sz w:val="20"/>
          <w:lang w:eastAsia="en-US"/>
        </w:rPr>
        <w:t>rejon</w:t>
      </w:r>
      <w:r w:rsidR="00275BC5">
        <w:rPr>
          <w:rFonts w:asciiTheme="minorHAnsi" w:eastAsia="Calibri" w:hAnsiTheme="minorHAnsi" w:cstheme="minorHAnsi"/>
          <w:sz w:val="20"/>
          <w:lang w:eastAsia="en-US"/>
        </w:rPr>
        <w:t>ie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lwowski</w:t>
      </w:r>
      <w:r w:rsidR="00275BC5">
        <w:rPr>
          <w:rFonts w:asciiTheme="minorHAnsi" w:eastAsia="Calibri" w:hAnsiTheme="minorHAnsi" w:cstheme="minorHAnsi"/>
          <w:sz w:val="20"/>
          <w:lang w:eastAsia="en-US"/>
        </w:rPr>
        <w:t>m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</w:t>
      </w:r>
      <w:r w:rsidR="00275BC5">
        <w:rPr>
          <w:rFonts w:asciiTheme="minorHAnsi" w:eastAsia="Calibri" w:hAnsiTheme="minorHAnsi" w:cstheme="minorHAnsi"/>
          <w:sz w:val="20"/>
          <w:lang w:eastAsia="en-US"/>
        </w:rPr>
        <w:t xml:space="preserve">w 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obwod</w:t>
      </w:r>
      <w:r w:rsidR="00275BC5">
        <w:rPr>
          <w:rFonts w:asciiTheme="minorHAnsi" w:eastAsia="Calibri" w:hAnsiTheme="minorHAnsi" w:cstheme="minorHAnsi"/>
          <w:sz w:val="20"/>
          <w:lang w:eastAsia="en-US"/>
        </w:rPr>
        <w:t>zie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lwowski</w:t>
      </w:r>
      <w:r w:rsidR="00275BC5">
        <w:rPr>
          <w:rFonts w:asciiTheme="minorHAnsi" w:eastAsia="Calibri" w:hAnsiTheme="minorHAnsi" w:cstheme="minorHAnsi"/>
          <w:sz w:val="20"/>
          <w:lang w:eastAsia="en-US"/>
        </w:rPr>
        <w:t>m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”</w:t>
      </w:r>
    </w:p>
    <w:p w14:paraId="5E67C5C9" w14:textId="7CA5B3A7" w:rsidR="00565A8E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„Przebudowa oczyszczalni ścieków – kompleks przemysłowo-gospodarczy, blok zbiornikowy nr 2, budowa siatki, stabilizatory tlenowe, biopła</w:t>
      </w:r>
      <w:r w:rsidR="00275BC5">
        <w:rPr>
          <w:rFonts w:asciiTheme="minorHAnsi" w:eastAsia="Calibri" w:hAnsiTheme="minorHAnsi" w:cstheme="minorHAnsi"/>
          <w:sz w:val="20"/>
          <w:lang w:eastAsia="en-US"/>
        </w:rPr>
        <w:t>to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</w:t>
      </w:r>
      <w:r w:rsidR="00102408" w:rsidRPr="00102408">
        <w:rPr>
          <w:rFonts w:asciiTheme="minorHAnsi" w:eastAsia="Calibri" w:hAnsiTheme="minorHAnsi" w:cstheme="minorHAnsi"/>
          <w:sz w:val="20"/>
          <w:lang w:eastAsia="en-US"/>
        </w:rPr>
        <w:t>Rawa Ruska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, rejon </w:t>
      </w:r>
      <w:r w:rsidR="002A4B1B" w:rsidRPr="002A4B1B">
        <w:rPr>
          <w:rFonts w:asciiTheme="minorHAnsi" w:eastAsia="Calibri" w:hAnsiTheme="minorHAnsi" w:cstheme="minorHAnsi"/>
          <w:sz w:val="20"/>
          <w:lang w:eastAsia="en-US"/>
        </w:rPr>
        <w:t>żółkiewski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, obwód lwowski”</w:t>
      </w:r>
    </w:p>
    <w:p w14:paraId="4E1B8B35" w14:textId="77777777" w:rsidR="00565A8E" w:rsidRPr="00565A8E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>„Przebudowa oczyszczalni ścieków w mieście Mikołajów”</w:t>
      </w:r>
    </w:p>
    <w:p w14:paraId="11B84C45" w14:textId="108F3CBF" w:rsidR="00565A8E" w:rsidRPr="00565A8E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„Nowa budowa sieci kanalizacyjnych </w:t>
      </w:r>
      <w:r w:rsidR="002A4B1B">
        <w:rPr>
          <w:rFonts w:asciiTheme="minorHAnsi" w:eastAsia="Calibri" w:hAnsiTheme="minorHAnsi" w:cstheme="minorHAnsi"/>
          <w:sz w:val="20"/>
          <w:lang w:eastAsia="en-US"/>
        </w:rPr>
        <w:t xml:space="preserve">przy 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u</w:t>
      </w:r>
      <w:r w:rsidR="002A4B1B">
        <w:rPr>
          <w:rFonts w:asciiTheme="minorHAnsi" w:eastAsia="Calibri" w:hAnsiTheme="minorHAnsi" w:cstheme="minorHAnsi"/>
          <w:sz w:val="20"/>
          <w:lang w:eastAsia="en-US"/>
        </w:rPr>
        <w:t>l. Hałycka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, ul. Lisowa, ul. Wynnyk</w:t>
      </w:r>
      <w:r w:rsidR="002A4B1B">
        <w:rPr>
          <w:rFonts w:asciiTheme="minorHAnsi" w:eastAsia="Calibri" w:hAnsiTheme="minorHAnsi" w:cstheme="minorHAnsi"/>
          <w:sz w:val="20"/>
          <w:lang w:eastAsia="en-US"/>
        </w:rPr>
        <w:t>s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w</w:t>
      </w:r>
      <w:r w:rsidR="002A4B1B">
        <w:rPr>
          <w:rFonts w:asciiTheme="minorHAnsi" w:eastAsia="Calibri" w:hAnsiTheme="minorHAnsi" w:cstheme="minorHAnsi"/>
          <w:sz w:val="20"/>
          <w:lang w:eastAsia="en-US"/>
        </w:rPr>
        <w:t>śka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wraz z instalacją oczyszczalni ścieków we wsi. P</w:t>
      </w:r>
      <w:r w:rsidR="002A4B1B">
        <w:rPr>
          <w:rFonts w:asciiTheme="minorHAnsi" w:eastAsia="Calibri" w:hAnsiTheme="minorHAnsi" w:cstheme="minorHAnsi"/>
          <w:sz w:val="20"/>
          <w:lang w:eastAsia="en-US"/>
        </w:rPr>
        <w:t>i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dberizc</w:t>
      </w:r>
      <w:r w:rsidR="002A4B1B">
        <w:rPr>
          <w:rFonts w:asciiTheme="minorHAnsi" w:eastAsia="Calibri" w:hAnsiTheme="minorHAnsi" w:cstheme="minorHAnsi"/>
          <w:sz w:val="20"/>
          <w:lang w:eastAsia="en-US"/>
        </w:rPr>
        <w:t>i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</w:t>
      </w:r>
      <w:r w:rsidR="00102408">
        <w:rPr>
          <w:rFonts w:asciiTheme="minorHAnsi" w:eastAsia="Calibri" w:hAnsiTheme="minorHAnsi" w:cstheme="minorHAnsi"/>
          <w:sz w:val="20"/>
          <w:lang w:eastAsia="en-US"/>
        </w:rPr>
        <w:t xml:space="preserve">w 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obwod</w:t>
      </w:r>
      <w:r w:rsidR="00102408">
        <w:rPr>
          <w:rFonts w:asciiTheme="minorHAnsi" w:eastAsia="Calibri" w:hAnsiTheme="minorHAnsi" w:cstheme="minorHAnsi"/>
          <w:sz w:val="20"/>
          <w:lang w:eastAsia="en-US"/>
        </w:rPr>
        <w:t>zie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lwowski</w:t>
      </w:r>
      <w:r w:rsidR="00102408">
        <w:rPr>
          <w:rFonts w:asciiTheme="minorHAnsi" w:eastAsia="Calibri" w:hAnsiTheme="minorHAnsi" w:cstheme="minorHAnsi"/>
          <w:sz w:val="20"/>
          <w:lang w:eastAsia="en-US"/>
        </w:rPr>
        <w:t>m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</w:t>
      </w:r>
      <w:r w:rsidR="00102408">
        <w:rPr>
          <w:rFonts w:asciiTheme="minorHAnsi" w:eastAsia="Calibri" w:hAnsiTheme="minorHAnsi" w:cstheme="minorHAnsi"/>
          <w:sz w:val="20"/>
          <w:lang w:eastAsia="en-US"/>
        </w:rPr>
        <w:t xml:space="preserve">w 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obwod</w:t>
      </w:r>
      <w:r w:rsidR="00102408">
        <w:rPr>
          <w:rFonts w:asciiTheme="minorHAnsi" w:eastAsia="Calibri" w:hAnsiTheme="minorHAnsi" w:cstheme="minorHAnsi"/>
          <w:sz w:val="20"/>
          <w:lang w:eastAsia="en-US"/>
        </w:rPr>
        <w:t>zie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 lwowski</w:t>
      </w:r>
      <w:r w:rsidR="00102408">
        <w:rPr>
          <w:rFonts w:asciiTheme="minorHAnsi" w:eastAsia="Calibri" w:hAnsiTheme="minorHAnsi" w:cstheme="minorHAnsi"/>
          <w:sz w:val="20"/>
          <w:lang w:eastAsia="en-US"/>
        </w:rPr>
        <w:t>m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”</w:t>
      </w:r>
    </w:p>
    <w:p w14:paraId="6652A8A3" w14:textId="1622602A" w:rsidR="006D7294" w:rsidRPr="00565A8E" w:rsidRDefault="00565A8E" w:rsidP="00565A8E">
      <w:pPr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sz w:val="20"/>
          <w:lang w:val="uk-UA"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„Oczyszczalnie głębokiego biologicznego oczyszczania ścieków w miejscowości </w:t>
      </w:r>
      <w:r w:rsidR="00102408">
        <w:rPr>
          <w:rFonts w:asciiTheme="minorHAnsi" w:eastAsia="Calibri" w:hAnsiTheme="minorHAnsi" w:cstheme="minorHAnsi"/>
          <w:sz w:val="20"/>
          <w:lang w:eastAsia="en-US"/>
        </w:rPr>
        <w:t xml:space="preserve">wieś </w:t>
      </w:r>
      <w:r w:rsidR="00102408" w:rsidRPr="00102408">
        <w:rPr>
          <w:rFonts w:asciiTheme="minorHAnsi" w:eastAsia="Calibri" w:hAnsiTheme="minorHAnsi" w:cstheme="minorHAnsi"/>
          <w:sz w:val="20"/>
          <w:lang w:eastAsia="en-US"/>
        </w:rPr>
        <w:t>Obroszyn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".</w:t>
      </w:r>
    </w:p>
    <w:p w14:paraId="0C1C708D" w14:textId="77777777" w:rsidR="008370D6" w:rsidRPr="008370D6" w:rsidRDefault="008370D6" w:rsidP="00565A8E">
      <w:pPr>
        <w:shd w:val="clear" w:color="auto" w:fill="FFFFFF"/>
        <w:spacing w:line="276" w:lineRule="auto"/>
        <w:ind w:firstLine="567"/>
        <w:rPr>
          <w:rFonts w:asciiTheme="minorHAnsi" w:hAnsiTheme="minorHAnsi" w:cstheme="minorHAnsi"/>
          <w:bCs/>
          <w:sz w:val="20"/>
          <w:lang w:val="uk-UA" w:eastAsia="uk-UA"/>
        </w:rPr>
      </w:pPr>
    </w:p>
    <w:p w14:paraId="3A1683F3" w14:textId="77777777" w:rsidR="008370D6" w:rsidRPr="008370D6" w:rsidRDefault="008370D6" w:rsidP="00565A8E">
      <w:pPr>
        <w:pStyle w:val="Akapitzlist"/>
        <w:numPr>
          <w:ilvl w:val="0"/>
          <w:numId w:val="15"/>
        </w:numPr>
        <w:spacing w:line="276" w:lineRule="auto"/>
        <w:ind w:left="709" w:hanging="425"/>
        <w:rPr>
          <w:rFonts w:asciiTheme="minorHAnsi" w:hAnsiTheme="minorHAnsi" w:cstheme="minorHAnsi"/>
          <w:sz w:val="20"/>
          <w:szCs w:val="20"/>
          <w:lang w:val="uk-UA" w:eastAsia="en-US"/>
        </w:rPr>
      </w:pPr>
      <w:r w:rsidRPr="008370D6">
        <w:rPr>
          <w:rFonts w:asciiTheme="minorHAnsi" w:hAnsiTheme="minorHAnsi" w:cstheme="minorHAnsi"/>
          <w:sz w:val="20"/>
          <w:szCs w:val="20"/>
          <w:lang w:eastAsia="en-US"/>
        </w:rPr>
        <w:t>Strona polska przedstawiła informację w zakresie projektów realizowanych w zlewni Sanu i Bugu przez odpowiednio RZGW Rzeszów i RZGW Lublin a mianowicie:</w:t>
      </w:r>
    </w:p>
    <w:p w14:paraId="0CD0D9FF" w14:textId="77777777" w:rsidR="008370D6" w:rsidRPr="008370D6" w:rsidRDefault="008370D6" w:rsidP="00565A8E">
      <w:pPr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lang w:val="uk-UA" w:eastAsia="en-US"/>
        </w:rPr>
      </w:pPr>
      <w:r w:rsidRPr="008370D6">
        <w:rPr>
          <w:rFonts w:asciiTheme="minorHAnsi" w:hAnsiTheme="minorHAnsi" w:cstheme="minorHAnsi"/>
          <w:sz w:val="20"/>
          <w:lang w:val="uk-UA" w:eastAsia="en-US"/>
        </w:rPr>
        <w:t>odtworzenie pierwotnej pojemności zbiornika przystopniowego Rzeszów</w:t>
      </w:r>
    </w:p>
    <w:p w14:paraId="4347C183" w14:textId="77777777" w:rsidR="008370D6" w:rsidRPr="008370D6" w:rsidRDefault="008370D6" w:rsidP="00565A8E">
      <w:pPr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lang w:val="uk-UA" w:eastAsia="en-US"/>
        </w:rPr>
      </w:pPr>
      <w:r w:rsidRPr="008370D6">
        <w:rPr>
          <w:rFonts w:asciiTheme="minorHAnsi" w:hAnsiTheme="minorHAnsi" w:cstheme="minorHAnsi"/>
          <w:sz w:val="20"/>
          <w:lang w:val="uk-UA" w:eastAsia="en-US"/>
        </w:rPr>
        <w:t>ochrona przed powodzią i odprowadzenie wód powierzchniowych w zlewni potoku Motwica na terenie gminy Laszki i gminy Jarosław, woj. Podkarpackie</w:t>
      </w:r>
    </w:p>
    <w:p w14:paraId="32D78912" w14:textId="77777777" w:rsidR="008370D6" w:rsidRPr="008370D6" w:rsidRDefault="008370D6" w:rsidP="00565A8E">
      <w:pPr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lang w:val="uk-UA" w:eastAsia="en-US"/>
        </w:rPr>
      </w:pPr>
      <w:r w:rsidRPr="008370D6">
        <w:rPr>
          <w:rFonts w:asciiTheme="minorHAnsi" w:hAnsiTheme="minorHAnsi" w:cstheme="minorHAnsi"/>
          <w:sz w:val="20"/>
          <w:lang w:val="uk-UA" w:eastAsia="en-US"/>
        </w:rPr>
        <w:t>Zabezpieczeniu przed powodzią miasta Rzeszowa i gm. Tyczyn poprzez kształtowanie koryta rzeki Strug</w:t>
      </w:r>
    </w:p>
    <w:p w14:paraId="11B24026" w14:textId="77777777" w:rsidR="008370D6" w:rsidRPr="008370D6" w:rsidRDefault="008370D6" w:rsidP="00565A8E">
      <w:pPr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lang w:val="uk-UA" w:eastAsia="en-US"/>
        </w:rPr>
      </w:pPr>
      <w:r w:rsidRPr="008370D6">
        <w:rPr>
          <w:rFonts w:asciiTheme="minorHAnsi" w:hAnsiTheme="minorHAnsi" w:cstheme="minorHAnsi"/>
          <w:sz w:val="20"/>
          <w:lang w:val="uk-UA" w:eastAsia="en-US"/>
        </w:rPr>
        <w:t>rzeka Płonka - kształtowanie przekroju podłużnego i poprzecznego koryta rzeki wraz budowlami - 13,750 km</w:t>
      </w:r>
    </w:p>
    <w:p w14:paraId="7E53A5A7" w14:textId="77777777" w:rsidR="008370D6" w:rsidRPr="008370D6" w:rsidRDefault="008370D6" w:rsidP="00565A8E">
      <w:pPr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lang w:val="uk-UA" w:eastAsia="en-US"/>
        </w:rPr>
      </w:pPr>
      <w:r w:rsidRPr="008370D6">
        <w:rPr>
          <w:rFonts w:asciiTheme="minorHAnsi" w:hAnsiTheme="minorHAnsi" w:cstheme="minorHAnsi"/>
          <w:sz w:val="20"/>
          <w:lang w:val="uk-UA" w:eastAsia="en-US"/>
        </w:rPr>
        <w:t>rzeka Siennica - kształtowanie przekroju podłużnego i poprzecznego koryta rzeki wraz budowlami - 11,676km</w:t>
      </w:r>
    </w:p>
    <w:p w14:paraId="6A06EC2E" w14:textId="77777777" w:rsidR="008370D6" w:rsidRPr="008370D6" w:rsidRDefault="008370D6" w:rsidP="00565A8E">
      <w:pPr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lang w:val="uk-UA" w:eastAsia="en-US"/>
        </w:rPr>
      </w:pPr>
      <w:r w:rsidRPr="008370D6">
        <w:rPr>
          <w:rFonts w:asciiTheme="minorHAnsi" w:hAnsiTheme="minorHAnsi" w:cstheme="minorHAnsi"/>
          <w:sz w:val="20"/>
          <w:lang w:val="uk-UA" w:eastAsia="en-US"/>
        </w:rPr>
        <w:t>przebudowa przepompowni Wilczogęby gm. Sadowne, pow. Węgrowski</w:t>
      </w:r>
    </w:p>
    <w:p w14:paraId="269F8BEF" w14:textId="77777777" w:rsidR="008370D6" w:rsidRPr="008370D6" w:rsidRDefault="008370D6" w:rsidP="00565A8E">
      <w:pPr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lang w:val="uk-UA" w:eastAsia="en-US"/>
        </w:rPr>
      </w:pPr>
      <w:r w:rsidRPr="008370D6">
        <w:rPr>
          <w:rFonts w:asciiTheme="minorHAnsi" w:hAnsiTheme="minorHAnsi" w:cstheme="minorHAnsi"/>
          <w:sz w:val="20"/>
          <w:lang w:val="uk-UA" w:eastAsia="en-US"/>
        </w:rPr>
        <w:t>przebudowa koryta rzeki Kukawka w km 14+500 do 20+900</w:t>
      </w:r>
    </w:p>
    <w:p w14:paraId="0688D538" w14:textId="77777777" w:rsidR="008370D6" w:rsidRPr="00565A8E" w:rsidRDefault="008370D6" w:rsidP="00565A8E">
      <w:pPr>
        <w:spacing w:line="276" w:lineRule="auto"/>
        <w:ind w:left="720"/>
        <w:rPr>
          <w:rFonts w:asciiTheme="minorHAnsi" w:eastAsia="Calibri" w:hAnsiTheme="minorHAnsi" w:cstheme="minorHAnsi"/>
          <w:sz w:val="20"/>
          <w:lang w:val="uk-UA" w:eastAsia="en-US"/>
        </w:rPr>
      </w:pPr>
    </w:p>
    <w:p w14:paraId="4A687765" w14:textId="2C7FE863" w:rsidR="006D7294" w:rsidRPr="00565A8E" w:rsidRDefault="006D7294" w:rsidP="00565A8E">
      <w:pPr>
        <w:numPr>
          <w:ilvl w:val="0"/>
          <w:numId w:val="13"/>
        </w:numPr>
        <w:tabs>
          <w:tab w:val="left" w:pos="709"/>
        </w:tabs>
        <w:spacing w:line="276" w:lineRule="auto"/>
        <w:ind w:left="426" w:hanging="426"/>
        <w:rPr>
          <w:rFonts w:asciiTheme="minorHAnsi" w:eastAsia="Calibri" w:hAnsiTheme="minorHAnsi" w:cstheme="minorHAnsi"/>
          <w:b/>
          <w:sz w:val="20"/>
          <w:lang w:eastAsia="en-US"/>
        </w:rPr>
      </w:pPr>
      <w:bookmarkStart w:id="3" w:name="_Hlk149123451"/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Informacja o wielkościach poboru i zrzutu ścieków w dorzeczach Bugu i </w:t>
      </w:r>
      <w:r w:rsidR="004324F6" w:rsidRPr="00565A8E">
        <w:rPr>
          <w:rFonts w:asciiTheme="minorHAnsi" w:eastAsia="Calibri" w:hAnsiTheme="minorHAnsi" w:cstheme="minorHAnsi"/>
          <w:b/>
          <w:sz w:val="20"/>
          <w:lang w:eastAsia="en-US"/>
        </w:rPr>
        <w:t>Sanu w</w:t>
      </w: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 latach 2019-2021</w:t>
      </w:r>
    </w:p>
    <w:p w14:paraId="24B9446C" w14:textId="77777777" w:rsidR="006D7294" w:rsidRPr="00565A8E" w:rsidRDefault="006D7294" w:rsidP="00565A8E">
      <w:pPr>
        <w:spacing w:line="276" w:lineRule="auto"/>
        <w:ind w:left="720"/>
        <w:rPr>
          <w:rFonts w:asciiTheme="minorHAnsi" w:eastAsia="Calibri" w:hAnsiTheme="minorHAnsi" w:cstheme="minorHAnsi"/>
          <w:b/>
          <w:sz w:val="20"/>
          <w:lang w:eastAsia="en-US"/>
        </w:rPr>
      </w:pPr>
    </w:p>
    <w:p w14:paraId="728297D5" w14:textId="4202F748" w:rsidR="006D7294" w:rsidRPr="00565A8E" w:rsidRDefault="006D7294" w:rsidP="00565A8E">
      <w:pPr>
        <w:spacing w:line="276" w:lineRule="auto"/>
        <w:ind w:left="708"/>
        <w:rPr>
          <w:rFonts w:asciiTheme="minorHAnsi" w:eastAsia="Calibri" w:hAnsiTheme="minorHAnsi" w:cstheme="minorHAnsi"/>
          <w:b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>Strony przekazały szczegółowe informacje dotyczące wielkości poboru wody i zrzutów ścieków w dorzeczach Bugu i Sian w latach 2019-2021 na terytorium Rzeczypospolitej Polskiej i Ukrainy.</w:t>
      </w:r>
    </w:p>
    <w:bookmarkEnd w:id="3"/>
    <w:p w14:paraId="1707B3DA" w14:textId="77777777" w:rsidR="006D7294" w:rsidRPr="00565A8E" w:rsidRDefault="006D7294" w:rsidP="00565A8E">
      <w:pPr>
        <w:spacing w:line="276" w:lineRule="auto"/>
        <w:rPr>
          <w:rFonts w:asciiTheme="minorHAnsi" w:eastAsia="Calibri" w:hAnsiTheme="minorHAnsi" w:cstheme="minorHAnsi"/>
          <w:b/>
          <w:sz w:val="20"/>
          <w:lang w:eastAsia="en-US"/>
        </w:rPr>
      </w:pPr>
    </w:p>
    <w:p w14:paraId="1D8B7436" w14:textId="6FC577E5" w:rsidR="007168A5" w:rsidRPr="00565A8E" w:rsidRDefault="007168A5" w:rsidP="00565A8E">
      <w:pPr>
        <w:numPr>
          <w:ilvl w:val="0"/>
          <w:numId w:val="13"/>
        </w:numPr>
        <w:tabs>
          <w:tab w:val="left" w:pos="709"/>
        </w:tabs>
        <w:spacing w:line="276" w:lineRule="auto"/>
        <w:ind w:left="426" w:hanging="426"/>
        <w:rPr>
          <w:rFonts w:asciiTheme="minorHAnsi" w:eastAsia="Calibri" w:hAnsiTheme="minorHAnsi" w:cstheme="minorHAnsi"/>
          <w:b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Prezentacja dokumentów na </w:t>
      </w:r>
      <w:r w:rsidR="00DB252D" w:rsidRPr="00DB252D">
        <w:rPr>
          <w:rFonts w:asciiTheme="minorHAnsi" w:eastAsia="Calibri" w:hAnsiTheme="minorHAnsi" w:cstheme="minorHAnsi"/>
          <w:b/>
          <w:sz w:val="20"/>
          <w:lang w:eastAsia="en-US"/>
        </w:rPr>
        <w:t xml:space="preserve">XХІ </w:t>
      </w: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posiedzenie Komisji, a w tym: sprawozdanie pracy grupy PL za </w:t>
      </w:r>
      <w:r w:rsidR="00E70E08">
        <w:rPr>
          <w:rFonts w:asciiTheme="minorHAnsi" w:eastAsia="Calibri" w:hAnsiTheme="minorHAnsi" w:cstheme="minorHAnsi"/>
          <w:b/>
          <w:sz w:val="20"/>
          <w:lang w:eastAsia="en-US"/>
        </w:rPr>
        <w:t>rok</w:t>
      </w: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 20</w:t>
      </w:r>
      <w:r w:rsidR="006D7294" w:rsidRPr="00565A8E">
        <w:rPr>
          <w:rFonts w:asciiTheme="minorHAnsi" w:eastAsia="Calibri" w:hAnsiTheme="minorHAnsi" w:cstheme="minorHAnsi"/>
          <w:b/>
          <w:sz w:val="20"/>
          <w:lang w:eastAsia="en-US"/>
        </w:rPr>
        <w:t>2</w:t>
      </w:r>
      <w:r w:rsidR="00DB252D">
        <w:rPr>
          <w:rFonts w:asciiTheme="minorHAnsi" w:eastAsia="Calibri" w:hAnsiTheme="minorHAnsi" w:cstheme="minorHAnsi"/>
          <w:b/>
          <w:sz w:val="20"/>
          <w:lang w:eastAsia="en-US"/>
        </w:rPr>
        <w:t>3</w:t>
      </w: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 xml:space="preserve"> oraz Plan grupy PL na rok 202</w:t>
      </w:r>
      <w:r w:rsidR="00DB252D">
        <w:rPr>
          <w:rFonts w:asciiTheme="minorHAnsi" w:eastAsia="Calibri" w:hAnsiTheme="minorHAnsi" w:cstheme="minorHAnsi"/>
          <w:b/>
          <w:sz w:val="20"/>
          <w:lang w:eastAsia="en-US"/>
        </w:rPr>
        <w:t>4</w:t>
      </w: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>.</w:t>
      </w:r>
    </w:p>
    <w:p w14:paraId="09F5F012" w14:textId="77777777" w:rsidR="006D7294" w:rsidRPr="00565A8E" w:rsidRDefault="006D7294" w:rsidP="00565A8E">
      <w:pPr>
        <w:spacing w:line="276" w:lineRule="auto"/>
        <w:ind w:left="720"/>
        <w:rPr>
          <w:rFonts w:asciiTheme="minorHAnsi" w:eastAsia="Calibri" w:hAnsiTheme="minorHAnsi" w:cstheme="minorHAnsi"/>
          <w:sz w:val="20"/>
          <w:lang w:val="uk-UA" w:eastAsia="en-US"/>
        </w:rPr>
      </w:pPr>
    </w:p>
    <w:p w14:paraId="3B079BB6" w14:textId="0F00DF60" w:rsidR="007168A5" w:rsidRPr="00565A8E" w:rsidRDefault="006D7294" w:rsidP="00565A8E">
      <w:pPr>
        <w:spacing w:line="276" w:lineRule="auto"/>
        <w:ind w:left="708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>Strony</w:t>
      </w:r>
      <w:r w:rsidR="007168A5" w:rsidRPr="00565A8E">
        <w:rPr>
          <w:rFonts w:asciiTheme="minorHAnsi" w:eastAsia="Calibri" w:hAnsiTheme="minorHAnsi" w:cstheme="minorHAnsi"/>
          <w:sz w:val="20"/>
          <w:lang w:eastAsia="en-US"/>
        </w:rPr>
        <w:t xml:space="preserve"> przedstawiły informacje na temat realizacji planu pracy grupy PL za </w:t>
      </w:r>
      <w:r w:rsidR="00E70E08">
        <w:rPr>
          <w:rFonts w:asciiTheme="minorHAnsi" w:eastAsia="Calibri" w:hAnsiTheme="minorHAnsi" w:cstheme="minorHAnsi"/>
          <w:sz w:val="20"/>
          <w:lang w:eastAsia="en-US"/>
        </w:rPr>
        <w:t>rok 2023</w:t>
      </w:r>
      <w:r w:rsidR="007168A5" w:rsidRPr="00565A8E">
        <w:rPr>
          <w:rFonts w:asciiTheme="minorHAnsi" w:eastAsia="Calibri" w:hAnsiTheme="minorHAnsi" w:cstheme="minorHAnsi"/>
          <w:sz w:val="20"/>
          <w:lang w:eastAsia="en-US"/>
        </w:rPr>
        <w:t xml:space="preserve"> na XX</w:t>
      </w:r>
      <w:r w:rsidR="00565A8E" w:rsidRPr="00565A8E">
        <w:rPr>
          <w:rFonts w:asciiTheme="minorHAnsi" w:eastAsia="Calibri" w:hAnsiTheme="minorHAnsi" w:cstheme="minorHAnsi"/>
          <w:sz w:val="20"/>
          <w:lang w:eastAsia="en-US"/>
        </w:rPr>
        <w:t>I</w:t>
      </w:r>
      <w:r w:rsidR="007168A5" w:rsidRPr="00565A8E">
        <w:rPr>
          <w:rFonts w:asciiTheme="minorHAnsi" w:eastAsia="Calibri" w:hAnsiTheme="minorHAnsi" w:cstheme="minorHAnsi"/>
          <w:sz w:val="20"/>
          <w:lang w:eastAsia="en-US"/>
        </w:rPr>
        <w:t xml:space="preserve"> posiedzenie ukraińsko-polskiej komisji do spraw wód granicznych. Przedstawiono Plan pracy grupy PL na rok </w:t>
      </w:r>
      <w:r w:rsidR="00E70E08">
        <w:rPr>
          <w:rFonts w:asciiTheme="minorHAnsi" w:eastAsia="Calibri" w:hAnsiTheme="minorHAnsi" w:cstheme="minorHAnsi"/>
          <w:sz w:val="20"/>
          <w:lang w:eastAsia="en-US"/>
        </w:rPr>
        <w:t>20</w:t>
      </w:r>
      <w:r w:rsidR="00565A8E" w:rsidRPr="00565A8E">
        <w:rPr>
          <w:rFonts w:asciiTheme="minorHAnsi" w:eastAsia="Calibri" w:hAnsiTheme="minorHAnsi" w:cstheme="minorHAnsi"/>
          <w:sz w:val="20"/>
          <w:lang w:eastAsia="en-US"/>
        </w:rPr>
        <w:t>24</w:t>
      </w:r>
      <w:r w:rsidR="00B71D10" w:rsidRPr="00565A8E">
        <w:rPr>
          <w:rFonts w:asciiTheme="minorHAnsi" w:eastAsia="Calibri" w:hAnsiTheme="minorHAnsi" w:cstheme="minorHAnsi"/>
          <w:sz w:val="20"/>
          <w:lang w:eastAsia="en-US"/>
        </w:rPr>
        <w:t>.</w:t>
      </w:r>
    </w:p>
    <w:p w14:paraId="2DED5F4C" w14:textId="77777777" w:rsidR="007168A5" w:rsidRPr="00565A8E" w:rsidRDefault="007168A5" w:rsidP="00565A8E">
      <w:pPr>
        <w:spacing w:line="276" w:lineRule="auto"/>
        <w:ind w:left="720" w:hanging="720"/>
        <w:rPr>
          <w:rFonts w:asciiTheme="minorHAnsi" w:eastAsia="Calibri" w:hAnsiTheme="minorHAnsi" w:cstheme="minorHAnsi"/>
          <w:b/>
          <w:sz w:val="20"/>
          <w:lang w:val="uk-UA" w:eastAsia="en-US"/>
        </w:rPr>
      </w:pP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>I</w:t>
      </w:r>
      <w:r w:rsidRPr="00565A8E">
        <w:rPr>
          <w:rFonts w:asciiTheme="minorHAnsi" w:eastAsia="Calibri" w:hAnsiTheme="minorHAnsi" w:cstheme="minorHAnsi"/>
          <w:b/>
          <w:sz w:val="20"/>
          <w:lang w:val="uk-UA" w:eastAsia="en-US"/>
        </w:rPr>
        <w:t xml:space="preserve">II. </w:t>
      </w:r>
      <w:r w:rsidRPr="00565A8E">
        <w:rPr>
          <w:rFonts w:asciiTheme="minorHAnsi" w:eastAsia="Calibri" w:hAnsiTheme="minorHAnsi" w:cstheme="minorHAnsi"/>
          <w:b/>
          <w:sz w:val="20"/>
          <w:lang w:eastAsia="en-US"/>
        </w:rPr>
        <w:t>Zadanie n</w:t>
      </w:r>
      <w:r w:rsidRPr="00565A8E">
        <w:rPr>
          <w:rFonts w:asciiTheme="minorHAnsi" w:eastAsia="Calibri" w:hAnsiTheme="minorHAnsi" w:cstheme="minorHAnsi"/>
          <w:b/>
          <w:sz w:val="20"/>
          <w:lang w:val="uk-UA" w:eastAsia="en-US"/>
        </w:rPr>
        <w:t xml:space="preserve">iewykonane. </w:t>
      </w:r>
    </w:p>
    <w:p w14:paraId="066DB9B5" w14:textId="77777777" w:rsidR="007168A5" w:rsidRPr="00565A8E" w:rsidRDefault="007168A5" w:rsidP="00565A8E">
      <w:pPr>
        <w:spacing w:line="276" w:lineRule="auto"/>
        <w:ind w:left="720"/>
        <w:rPr>
          <w:rFonts w:asciiTheme="minorHAnsi" w:eastAsia="Calibri" w:hAnsiTheme="minorHAnsi" w:cstheme="minorHAnsi"/>
          <w:sz w:val="20"/>
          <w:lang w:eastAsia="en-US"/>
        </w:rPr>
      </w:pPr>
    </w:p>
    <w:p w14:paraId="3A7A1917" w14:textId="45F1EA18" w:rsidR="007168A5" w:rsidRPr="00565A8E" w:rsidRDefault="007168A5" w:rsidP="00565A8E">
      <w:pPr>
        <w:spacing w:line="276" w:lineRule="auto"/>
        <w:ind w:left="708"/>
        <w:rPr>
          <w:rFonts w:asciiTheme="minorHAnsi" w:eastAsia="Calibri" w:hAnsiTheme="minorHAnsi" w:cstheme="minorHAnsi"/>
          <w:sz w:val="20"/>
          <w:lang w:val="uk-UA" w:eastAsia="en-US"/>
        </w:rPr>
      </w:pPr>
      <w:r w:rsidRPr="00565A8E">
        <w:rPr>
          <w:rFonts w:asciiTheme="minorHAnsi" w:eastAsia="Calibri" w:hAnsiTheme="minorHAnsi" w:cstheme="minorHAnsi"/>
          <w:sz w:val="20"/>
          <w:lang w:val="uk-UA" w:eastAsia="en-US"/>
        </w:rPr>
        <w:t xml:space="preserve">Grupa </w:t>
      </w:r>
      <w:r w:rsidRPr="00565A8E">
        <w:rPr>
          <w:rFonts w:asciiTheme="minorHAnsi" w:eastAsia="Calibri" w:hAnsiTheme="minorHAnsi" w:cstheme="minorHAnsi"/>
          <w:sz w:val="20"/>
          <w:lang w:eastAsia="en-US"/>
        </w:rPr>
        <w:t>P</w:t>
      </w:r>
      <w:r w:rsidRPr="00565A8E">
        <w:rPr>
          <w:rFonts w:asciiTheme="minorHAnsi" w:eastAsia="Calibri" w:hAnsiTheme="minorHAnsi" w:cstheme="minorHAnsi"/>
          <w:sz w:val="20"/>
          <w:lang w:val="uk-UA" w:eastAsia="en-US"/>
        </w:rPr>
        <w:t xml:space="preserve">L zrealizowała zadania określone w planie na </w:t>
      </w:r>
      <w:r w:rsidR="00E70E08">
        <w:rPr>
          <w:rFonts w:asciiTheme="minorHAnsi" w:eastAsia="Calibri" w:hAnsiTheme="minorHAnsi" w:cstheme="minorHAnsi"/>
          <w:sz w:val="20"/>
          <w:lang w:eastAsia="en-US"/>
        </w:rPr>
        <w:t xml:space="preserve">rok </w:t>
      </w:r>
      <w:r w:rsidRPr="00565A8E">
        <w:rPr>
          <w:rFonts w:asciiTheme="minorHAnsi" w:eastAsia="Calibri" w:hAnsiTheme="minorHAnsi" w:cstheme="minorHAnsi"/>
          <w:sz w:val="20"/>
          <w:lang w:val="uk-UA" w:eastAsia="en-US"/>
        </w:rPr>
        <w:t>20</w:t>
      </w:r>
      <w:r w:rsidR="006D7294" w:rsidRPr="00565A8E">
        <w:rPr>
          <w:rFonts w:asciiTheme="minorHAnsi" w:eastAsia="Calibri" w:hAnsiTheme="minorHAnsi" w:cstheme="minorHAnsi"/>
          <w:sz w:val="20"/>
          <w:lang w:eastAsia="en-US"/>
        </w:rPr>
        <w:t>2</w:t>
      </w:r>
      <w:r w:rsidR="00565A8E" w:rsidRPr="00565A8E">
        <w:rPr>
          <w:rFonts w:asciiTheme="minorHAnsi" w:eastAsia="Calibri" w:hAnsiTheme="minorHAnsi" w:cstheme="minorHAnsi"/>
          <w:sz w:val="20"/>
          <w:lang w:eastAsia="en-US"/>
        </w:rPr>
        <w:t>3</w:t>
      </w:r>
      <w:r w:rsidRPr="00565A8E">
        <w:rPr>
          <w:rFonts w:asciiTheme="minorHAnsi" w:eastAsia="Calibri" w:hAnsiTheme="minorHAnsi" w:cstheme="minorHAnsi"/>
          <w:sz w:val="20"/>
          <w:lang w:val="uk-UA" w:eastAsia="en-US"/>
        </w:rPr>
        <w:t xml:space="preserve">. </w:t>
      </w:r>
    </w:p>
    <w:p w14:paraId="79215401" w14:textId="77777777" w:rsidR="001663DA" w:rsidRPr="00565A8E" w:rsidRDefault="007168A5" w:rsidP="00565A8E">
      <w:pPr>
        <w:spacing w:line="276" w:lineRule="auto"/>
        <w:ind w:left="708"/>
        <w:rPr>
          <w:rFonts w:asciiTheme="minorHAnsi" w:eastAsia="Calibri" w:hAnsiTheme="minorHAnsi" w:cstheme="minorHAnsi"/>
          <w:sz w:val="20"/>
          <w:lang w:eastAsia="en-US"/>
        </w:rPr>
      </w:pPr>
      <w:r w:rsidRPr="00565A8E">
        <w:rPr>
          <w:rFonts w:asciiTheme="minorHAnsi" w:eastAsia="Calibri" w:hAnsiTheme="minorHAnsi" w:cstheme="minorHAnsi"/>
          <w:sz w:val="20"/>
          <w:lang w:eastAsia="en-US"/>
        </w:rPr>
        <w:t xml:space="preserve">Opracowanie </w:t>
      </w:r>
      <w:r w:rsidRPr="00565A8E">
        <w:rPr>
          <w:rFonts w:asciiTheme="minorHAnsi" w:eastAsia="Calibri" w:hAnsiTheme="minorHAnsi" w:cstheme="minorHAnsi"/>
          <w:sz w:val="20"/>
          <w:lang w:val="uk-UA" w:eastAsia="en-US"/>
        </w:rPr>
        <w:t>informacji o zmianach w prawodawstwie wodnym</w:t>
      </w:r>
      <w:r w:rsidR="00565A8E" w:rsidRPr="00565A8E">
        <w:rPr>
          <w:rFonts w:asciiTheme="minorHAnsi" w:eastAsia="Calibri" w:hAnsiTheme="minorHAnsi" w:cstheme="minorHAnsi"/>
          <w:sz w:val="20"/>
          <w:lang w:val="uk-UA" w:eastAsia="en-US"/>
        </w:rPr>
        <w:t xml:space="preserve">, aktualnych trendach w planowaniu i zarządzaniu zasobami wodnymi, systemie gospodarki wodnej, a także o przygotowaniu i realizacji projektów w obu krajach ma charakter stały i będzie kontynuowane w nadchodzących </w:t>
      </w:r>
      <w:r w:rsidR="004324F6" w:rsidRPr="00565A8E">
        <w:rPr>
          <w:rFonts w:asciiTheme="minorHAnsi" w:eastAsia="Calibri" w:hAnsiTheme="minorHAnsi" w:cstheme="minorHAnsi"/>
          <w:sz w:val="20"/>
          <w:lang w:val="uk-UA" w:eastAsia="en-US"/>
        </w:rPr>
        <w:t>latach.</w:t>
      </w:r>
    </w:p>
    <w:sectPr w:rsidR="001663DA" w:rsidRPr="00565A8E" w:rsidSect="00E255C8">
      <w:headerReference w:type="even" r:id="rId8"/>
      <w:headerReference w:type="default" r:id="rId9"/>
      <w:footerReference w:type="default" r:id="rId10"/>
      <w:footerReference w:type="first" r:id="rId11"/>
      <w:pgSz w:w="11907" w:h="16840"/>
      <w:pgMar w:top="1134" w:right="1134" w:bottom="851" w:left="1701" w:header="709" w:footer="7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4DBF3" w14:textId="77777777" w:rsidR="00926ED9" w:rsidRDefault="00926ED9">
      <w:r>
        <w:separator/>
      </w:r>
    </w:p>
  </w:endnote>
  <w:endnote w:type="continuationSeparator" w:id="0">
    <w:p w14:paraId="24D51DCC" w14:textId="77777777" w:rsidR="00926ED9" w:rsidRDefault="0092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9256304"/>
      <w:docPartObj>
        <w:docPartGallery w:val="Page Numbers (Bottom of Page)"/>
        <w:docPartUnique/>
      </w:docPartObj>
    </w:sdtPr>
    <w:sdtContent>
      <w:p w14:paraId="36A2CF4B" w14:textId="0F49A686" w:rsidR="00ED732B" w:rsidRDefault="00ED73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E00BA49" w14:textId="77777777" w:rsidR="00ED732B" w:rsidRDefault="00ED73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6617129"/>
      <w:docPartObj>
        <w:docPartGallery w:val="Page Numbers (Bottom of Page)"/>
        <w:docPartUnique/>
      </w:docPartObj>
    </w:sdtPr>
    <w:sdtContent>
      <w:p w14:paraId="3A0B9C47" w14:textId="7A2E6A61" w:rsidR="00ED732B" w:rsidRDefault="00ED73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ED9">
          <w:rPr>
            <w:noProof/>
          </w:rPr>
          <w:t>1</w:t>
        </w:r>
        <w:r>
          <w:fldChar w:fldCharType="end"/>
        </w:r>
      </w:p>
    </w:sdtContent>
  </w:sdt>
  <w:p w14:paraId="0ACB6272" w14:textId="1935A51A" w:rsidR="00C04BDF" w:rsidRPr="00ED732B" w:rsidRDefault="00C04BDF" w:rsidP="00ED732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8D698" w14:textId="77777777" w:rsidR="00926ED9" w:rsidRDefault="00926ED9">
      <w:r>
        <w:separator/>
      </w:r>
    </w:p>
  </w:footnote>
  <w:footnote w:type="continuationSeparator" w:id="0">
    <w:p w14:paraId="7EFC8BD7" w14:textId="77777777" w:rsidR="00926ED9" w:rsidRDefault="00926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DE6D8" w14:textId="77777777" w:rsidR="00C04BDF" w:rsidRDefault="00C04BD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7DC1BD" w14:textId="77777777" w:rsidR="00C04BDF" w:rsidRDefault="00C04B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75892" w14:textId="77777777" w:rsidR="00983915" w:rsidRDefault="00983915">
    <w:pPr>
      <w:pStyle w:val="Nagwek"/>
    </w:pPr>
  </w:p>
  <w:p w14:paraId="1B7DB6C7" w14:textId="77777777" w:rsidR="00983915" w:rsidRDefault="009839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BC3"/>
    <w:multiLevelType w:val="hybridMultilevel"/>
    <w:tmpl w:val="7AE40EB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DDC2F9D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4B34EF"/>
    <w:multiLevelType w:val="hybridMultilevel"/>
    <w:tmpl w:val="EBBAC6D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CC2C90"/>
    <w:multiLevelType w:val="hybridMultilevel"/>
    <w:tmpl w:val="5B543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B1575"/>
    <w:multiLevelType w:val="hybridMultilevel"/>
    <w:tmpl w:val="08ACE9AA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D8C0CA12">
      <w:numFmt w:val="bullet"/>
      <w:lvlText w:val="•"/>
      <w:lvlJc w:val="left"/>
      <w:pPr>
        <w:ind w:left="1724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FA5E1B"/>
    <w:multiLevelType w:val="hybridMultilevel"/>
    <w:tmpl w:val="1190023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93F32"/>
    <w:multiLevelType w:val="hybridMultilevel"/>
    <w:tmpl w:val="0EB82AFE"/>
    <w:lvl w:ilvl="0" w:tplc="0415000F">
      <w:start w:val="1"/>
      <w:numFmt w:val="decimal"/>
      <w:lvlText w:val="%1."/>
      <w:lvlJc w:val="left"/>
      <w:pPr>
        <w:ind w:left="21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7" w15:restartNumberingAfterBreak="0">
    <w:nsid w:val="3CF300D7"/>
    <w:multiLevelType w:val="hybridMultilevel"/>
    <w:tmpl w:val="84C4C46E"/>
    <w:lvl w:ilvl="0" w:tplc="00D66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D384A"/>
    <w:multiLevelType w:val="hybridMultilevel"/>
    <w:tmpl w:val="35B24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64C14"/>
    <w:multiLevelType w:val="hybridMultilevel"/>
    <w:tmpl w:val="A1AA7862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6F27907"/>
    <w:multiLevelType w:val="hybridMultilevel"/>
    <w:tmpl w:val="9D52E6C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FF7055"/>
    <w:multiLevelType w:val="hybridMultilevel"/>
    <w:tmpl w:val="40460904"/>
    <w:lvl w:ilvl="0" w:tplc="B20E6D66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850E99"/>
    <w:multiLevelType w:val="hybridMultilevel"/>
    <w:tmpl w:val="65061342"/>
    <w:lvl w:ilvl="0" w:tplc="9B9897C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BEA254E"/>
    <w:multiLevelType w:val="multilevel"/>
    <w:tmpl w:val="C7F8F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D1333C"/>
    <w:multiLevelType w:val="hybridMultilevel"/>
    <w:tmpl w:val="9A74E9D8"/>
    <w:lvl w:ilvl="0" w:tplc="041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5" w15:restartNumberingAfterBreak="0">
    <w:nsid w:val="51126B96"/>
    <w:multiLevelType w:val="hybridMultilevel"/>
    <w:tmpl w:val="4A0AC9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C43F9"/>
    <w:multiLevelType w:val="hybridMultilevel"/>
    <w:tmpl w:val="BF6E9138"/>
    <w:lvl w:ilvl="0" w:tplc="FFFFFFFF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4806DF2"/>
    <w:multiLevelType w:val="hybridMultilevel"/>
    <w:tmpl w:val="7006F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54726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1760B"/>
    <w:multiLevelType w:val="hybridMultilevel"/>
    <w:tmpl w:val="80E083F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31439ED"/>
    <w:multiLevelType w:val="hybridMultilevel"/>
    <w:tmpl w:val="27EE5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F5774"/>
    <w:multiLevelType w:val="hybridMultilevel"/>
    <w:tmpl w:val="90D6C8C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C04A5"/>
    <w:multiLevelType w:val="hybridMultilevel"/>
    <w:tmpl w:val="FFFFFFFF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2257BB"/>
    <w:multiLevelType w:val="hybridMultilevel"/>
    <w:tmpl w:val="CE004CD8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9D55E4"/>
    <w:multiLevelType w:val="hybridMultilevel"/>
    <w:tmpl w:val="AAFAA6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AC7A02"/>
    <w:multiLevelType w:val="hybridMultilevel"/>
    <w:tmpl w:val="5D3AFAF0"/>
    <w:lvl w:ilvl="0" w:tplc="414200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124163"/>
    <w:multiLevelType w:val="hybridMultilevel"/>
    <w:tmpl w:val="AA786A12"/>
    <w:lvl w:ilvl="0" w:tplc="5BA2D128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05C3AD6"/>
    <w:multiLevelType w:val="hybridMultilevel"/>
    <w:tmpl w:val="AF38A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E5F03"/>
    <w:multiLevelType w:val="hybridMultilevel"/>
    <w:tmpl w:val="652A592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9661A42"/>
    <w:multiLevelType w:val="hybridMultilevel"/>
    <w:tmpl w:val="A62A21A6"/>
    <w:lvl w:ilvl="0" w:tplc="041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0" w15:restartNumberingAfterBreak="0">
    <w:nsid w:val="79CC48BE"/>
    <w:multiLevelType w:val="hybridMultilevel"/>
    <w:tmpl w:val="CD3AD69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D905266"/>
    <w:multiLevelType w:val="hybridMultilevel"/>
    <w:tmpl w:val="BF1C238C"/>
    <w:lvl w:ilvl="0" w:tplc="FB50E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F844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081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B6D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922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840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CA3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C08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DF3153D"/>
    <w:multiLevelType w:val="hybridMultilevel"/>
    <w:tmpl w:val="E15E84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 w15:restartNumberingAfterBreak="0">
    <w:nsid w:val="7E9E3D26"/>
    <w:multiLevelType w:val="hybridMultilevel"/>
    <w:tmpl w:val="D3924416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4"/>
  </w:num>
  <w:num w:numId="4">
    <w:abstractNumId w:val="19"/>
  </w:num>
  <w:num w:numId="5">
    <w:abstractNumId w:val="0"/>
  </w:num>
  <w:num w:numId="6">
    <w:abstractNumId w:val="7"/>
  </w:num>
  <w:num w:numId="7">
    <w:abstractNumId w:val="24"/>
  </w:num>
  <w:num w:numId="8">
    <w:abstractNumId w:val="17"/>
  </w:num>
  <w:num w:numId="9">
    <w:abstractNumId w:val="11"/>
  </w:num>
  <w:num w:numId="10">
    <w:abstractNumId w:val="5"/>
  </w:num>
  <w:num w:numId="11">
    <w:abstractNumId w:val="28"/>
  </w:num>
  <w:num w:numId="12">
    <w:abstractNumId w:val="6"/>
  </w:num>
  <w:num w:numId="13">
    <w:abstractNumId w:val="25"/>
  </w:num>
  <w:num w:numId="14">
    <w:abstractNumId w:val="32"/>
  </w:num>
  <w:num w:numId="15">
    <w:abstractNumId w:val="33"/>
  </w:num>
  <w:num w:numId="16">
    <w:abstractNumId w:val="29"/>
  </w:num>
  <w:num w:numId="17">
    <w:abstractNumId w:val="12"/>
  </w:num>
  <w:num w:numId="18">
    <w:abstractNumId w:val="16"/>
  </w:num>
  <w:num w:numId="19">
    <w:abstractNumId w:val="9"/>
  </w:num>
  <w:num w:numId="20">
    <w:abstractNumId w:val="2"/>
  </w:num>
  <w:num w:numId="21">
    <w:abstractNumId w:val="3"/>
  </w:num>
  <w:num w:numId="22">
    <w:abstractNumId w:val="27"/>
  </w:num>
  <w:num w:numId="23">
    <w:abstractNumId w:val="21"/>
  </w:num>
  <w:num w:numId="24">
    <w:abstractNumId w:val="15"/>
  </w:num>
  <w:num w:numId="25">
    <w:abstractNumId w:val="8"/>
  </w:num>
  <w:num w:numId="26">
    <w:abstractNumId w:val="13"/>
  </w:num>
  <w:num w:numId="27">
    <w:abstractNumId w:val="31"/>
  </w:num>
  <w:num w:numId="28">
    <w:abstractNumId w:val="23"/>
  </w:num>
  <w:num w:numId="29">
    <w:abstractNumId w:val="30"/>
  </w:num>
  <w:num w:numId="30">
    <w:abstractNumId w:val="20"/>
  </w:num>
  <w:num w:numId="31">
    <w:abstractNumId w:val="14"/>
  </w:num>
  <w:num w:numId="32">
    <w:abstractNumId w:val="1"/>
  </w:num>
  <w:num w:numId="33">
    <w:abstractNumId w:val="18"/>
  </w:num>
  <w:num w:numId="34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25"/>
    <w:rsid w:val="00015619"/>
    <w:rsid w:val="000250FA"/>
    <w:rsid w:val="00031B4D"/>
    <w:rsid w:val="00036074"/>
    <w:rsid w:val="00044A6A"/>
    <w:rsid w:val="00053602"/>
    <w:rsid w:val="000629DA"/>
    <w:rsid w:val="0006663B"/>
    <w:rsid w:val="00067150"/>
    <w:rsid w:val="0007691E"/>
    <w:rsid w:val="00092D63"/>
    <w:rsid w:val="000A64F5"/>
    <w:rsid w:val="000B4170"/>
    <w:rsid w:val="00102408"/>
    <w:rsid w:val="00106C88"/>
    <w:rsid w:val="00115162"/>
    <w:rsid w:val="001265DC"/>
    <w:rsid w:val="00131405"/>
    <w:rsid w:val="0013719E"/>
    <w:rsid w:val="0014616F"/>
    <w:rsid w:val="001621A9"/>
    <w:rsid w:val="00166356"/>
    <w:rsid w:val="001663DA"/>
    <w:rsid w:val="00166AF3"/>
    <w:rsid w:val="001760A6"/>
    <w:rsid w:val="001B2C08"/>
    <w:rsid w:val="001C2275"/>
    <w:rsid w:val="001C4193"/>
    <w:rsid w:val="001D6764"/>
    <w:rsid w:val="001E3D9E"/>
    <w:rsid w:val="0021400E"/>
    <w:rsid w:val="00216D01"/>
    <w:rsid w:val="00232C95"/>
    <w:rsid w:val="00234A26"/>
    <w:rsid w:val="0024190B"/>
    <w:rsid w:val="002429C4"/>
    <w:rsid w:val="002507D0"/>
    <w:rsid w:val="00252A65"/>
    <w:rsid w:val="00254E99"/>
    <w:rsid w:val="00266B6C"/>
    <w:rsid w:val="00271A15"/>
    <w:rsid w:val="00275BC5"/>
    <w:rsid w:val="0028074E"/>
    <w:rsid w:val="0029321D"/>
    <w:rsid w:val="00295429"/>
    <w:rsid w:val="002A4B1B"/>
    <w:rsid w:val="002B1DE5"/>
    <w:rsid w:val="002B31D0"/>
    <w:rsid w:val="002C716A"/>
    <w:rsid w:val="002E16A7"/>
    <w:rsid w:val="002E2B9F"/>
    <w:rsid w:val="002E2D1E"/>
    <w:rsid w:val="002E59A9"/>
    <w:rsid w:val="002F004A"/>
    <w:rsid w:val="002F2136"/>
    <w:rsid w:val="00325062"/>
    <w:rsid w:val="00356C25"/>
    <w:rsid w:val="003700A6"/>
    <w:rsid w:val="003903C3"/>
    <w:rsid w:val="00390C78"/>
    <w:rsid w:val="003A51CD"/>
    <w:rsid w:val="003B6E10"/>
    <w:rsid w:val="003C2054"/>
    <w:rsid w:val="00415DED"/>
    <w:rsid w:val="00420963"/>
    <w:rsid w:val="00430F11"/>
    <w:rsid w:val="0043223B"/>
    <w:rsid w:val="004324F6"/>
    <w:rsid w:val="00472846"/>
    <w:rsid w:val="00486BDE"/>
    <w:rsid w:val="00496263"/>
    <w:rsid w:val="00496BC9"/>
    <w:rsid w:val="004A391B"/>
    <w:rsid w:val="004A6A3E"/>
    <w:rsid w:val="004B58EF"/>
    <w:rsid w:val="004C0B3D"/>
    <w:rsid w:val="004C5809"/>
    <w:rsid w:val="004D1C20"/>
    <w:rsid w:val="004E2229"/>
    <w:rsid w:val="004E32EC"/>
    <w:rsid w:val="0050702F"/>
    <w:rsid w:val="00515148"/>
    <w:rsid w:val="00515999"/>
    <w:rsid w:val="00544B1C"/>
    <w:rsid w:val="00544D96"/>
    <w:rsid w:val="00550679"/>
    <w:rsid w:val="00553C72"/>
    <w:rsid w:val="00565A8E"/>
    <w:rsid w:val="0056710E"/>
    <w:rsid w:val="005B3EFE"/>
    <w:rsid w:val="005C251E"/>
    <w:rsid w:val="005C79BA"/>
    <w:rsid w:val="005D4DBA"/>
    <w:rsid w:val="005D5F6B"/>
    <w:rsid w:val="005F2BEE"/>
    <w:rsid w:val="00643213"/>
    <w:rsid w:val="00647855"/>
    <w:rsid w:val="006531E3"/>
    <w:rsid w:val="0066624E"/>
    <w:rsid w:val="006704CC"/>
    <w:rsid w:val="00672003"/>
    <w:rsid w:val="006A0DED"/>
    <w:rsid w:val="006B3ED6"/>
    <w:rsid w:val="006B451C"/>
    <w:rsid w:val="006C32B6"/>
    <w:rsid w:val="006D13E6"/>
    <w:rsid w:val="006D1CA4"/>
    <w:rsid w:val="006D7294"/>
    <w:rsid w:val="006F011F"/>
    <w:rsid w:val="006F17B5"/>
    <w:rsid w:val="007019B9"/>
    <w:rsid w:val="00707428"/>
    <w:rsid w:val="00707C49"/>
    <w:rsid w:val="007168A5"/>
    <w:rsid w:val="00757C2B"/>
    <w:rsid w:val="007658DC"/>
    <w:rsid w:val="00773FCB"/>
    <w:rsid w:val="00777625"/>
    <w:rsid w:val="00785315"/>
    <w:rsid w:val="00792B87"/>
    <w:rsid w:val="00796063"/>
    <w:rsid w:val="007A16E7"/>
    <w:rsid w:val="007A28C7"/>
    <w:rsid w:val="007A67DC"/>
    <w:rsid w:val="007D77CD"/>
    <w:rsid w:val="007E40F7"/>
    <w:rsid w:val="00813DD6"/>
    <w:rsid w:val="00823D7C"/>
    <w:rsid w:val="008256F3"/>
    <w:rsid w:val="008370D6"/>
    <w:rsid w:val="0083779B"/>
    <w:rsid w:val="00842164"/>
    <w:rsid w:val="0085602E"/>
    <w:rsid w:val="008D197D"/>
    <w:rsid w:val="008F13AA"/>
    <w:rsid w:val="008F23D0"/>
    <w:rsid w:val="00924749"/>
    <w:rsid w:val="00926ED9"/>
    <w:rsid w:val="009366AD"/>
    <w:rsid w:val="00953297"/>
    <w:rsid w:val="00972BBD"/>
    <w:rsid w:val="00974497"/>
    <w:rsid w:val="00983915"/>
    <w:rsid w:val="009A4AEA"/>
    <w:rsid w:val="009B5393"/>
    <w:rsid w:val="00A018F3"/>
    <w:rsid w:val="00A108DE"/>
    <w:rsid w:val="00A34269"/>
    <w:rsid w:val="00A47015"/>
    <w:rsid w:val="00A64E8F"/>
    <w:rsid w:val="00A72C53"/>
    <w:rsid w:val="00A74D60"/>
    <w:rsid w:val="00A95791"/>
    <w:rsid w:val="00AA55AA"/>
    <w:rsid w:val="00AB0058"/>
    <w:rsid w:val="00AB5693"/>
    <w:rsid w:val="00AC4B1B"/>
    <w:rsid w:val="00AD2739"/>
    <w:rsid w:val="00AD51B8"/>
    <w:rsid w:val="00AE1602"/>
    <w:rsid w:val="00AE6837"/>
    <w:rsid w:val="00B030FD"/>
    <w:rsid w:val="00B06C0B"/>
    <w:rsid w:val="00B27244"/>
    <w:rsid w:val="00B31211"/>
    <w:rsid w:val="00B3485D"/>
    <w:rsid w:val="00B422EA"/>
    <w:rsid w:val="00B52B66"/>
    <w:rsid w:val="00B60259"/>
    <w:rsid w:val="00B655F5"/>
    <w:rsid w:val="00B71D10"/>
    <w:rsid w:val="00B72B6C"/>
    <w:rsid w:val="00B90F66"/>
    <w:rsid w:val="00BC0E57"/>
    <w:rsid w:val="00BF1DFC"/>
    <w:rsid w:val="00C02124"/>
    <w:rsid w:val="00C04BDF"/>
    <w:rsid w:val="00C1196F"/>
    <w:rsid w:val="00C245B3"/>
    <w:rsid w:val="00C5766A"/>
    <w:rsid w:val="00C6531F"/>
    <w:rsid w:val="00C67BFB"/>
    <w:rsid w:val="00CA0585"/>
    <w:rsid w:val="00CA53FE"/>
    <w:rsid w:val="00CA5BEF"/>
    <w:rsid w:val="00CB1066"/>
    <w:rsid w:val="00CE34D9"/>
    <w:rsid w:val="00CE3F75"/>
    <w:rsid w:val="00CF20D8"/>
    <w:rsid w:val="00D0125B"/>
    <w:rsid w:val="00D01484"/>
    <w:rsid w:val="00D17C21"/>
    <w:rsid w:val="00D22BEE"/>
    <w:rsid w:val="00D255E7"/>
    <w:rsid w:val="00D32A42"/>
    <w:rsid w:val="00D359FB"/>
    <w:rsid w:val="00D87279"/>
    <w:rsid w:val="00DA0A52"/>
    <w:rsid w:val="00DB252D"/>
    <w:rsid w:val="00DB4315"/>
    <w:rsid w:val="00DB4D1C"/>
    <w:rsid w:val="00DC5371"/>
    <w:rsid w:val="00DD0531"/>
    <w:rsid w:val="00E0085D"/>
    <w:rsid w:val="00E01ADB"/>
    <w:rsid w:val="00E17A38"/>
    <w:rsid w:val="00E255C8"/>
    <w:rsid w:val="00E25E0B"/>
    <w:rsid w:val="00E31DB4"/>
    <w:rsid w:val="00E31EE1"/>
    <w:rsid w:val="00E32605"/>
    <w:rsid w:val="00E33EE6"/>
    <w:rsid w:val="00E348A5"/>
    <w:rsid w:val="00E37E9C"/>
    <w:rsid w:val="00E40B77"/>
    <w:rsid w:val="00E470B3"/>
    <w:rsid w:val="00E70E08"/>
    <w:rsid w:val="00E72163"/>
    <w:rsid w:val="00E74E73"/>
    <w:rsid w:val="00EA3040"/>
    <w:rsid w:val="00EA55BE"/>
    <w:rsid w:val="00EC3018"/>
    <w:rsid w:val="00EC3F21"/>
    <w:rsid w:val="00ED732B"/>
    <w:rsid w:val="00ED7F23"/>
    <w:rsid w:val="00EE3F94"/>
    <w:rsid w:val="00F0337E"/>
    <w:rsid w:val="00F061AA"/>
    <w:rsid w:val="00F06666"/>
    <w:rsid w:val="00F206A2"/>
    <w:rsid w:val="00F32131"/>
    <w:rsid w:val="00F464AE"/>
    <w:rsid w:val="00F622FE"/>
    <w:rsid w:val="00F74226"/>
    <w:rsid w:val="00F77510"/>
    <w:rsid w:val="00F842D7"/>
    <w:rsid w:val="00F91AA9"/>
    <w:rsid w:val="00F945CE"/>
    <w:rsid w:val="00F95AC0"/>
    <w:rsid w:val="00F97C3C"/>
    <w:rsid w:val="00FA154B"/>
    <w:rsid w:val="00FB3044"/>
    <w:rsid w:val="00FE4741"/>
    <w:rsid w:val="00F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C4CD42"/>
  <w15:chartTrackingRefBased/>
  <w15:docId w15:val="{829E8ACF-F8BF-43C5-A090-02F5DABA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819"/>
        <w:tab w:val="right" w:pos="9071"/>
      </w:tabs>
      <w:jc w:val="left"/>
    </w:pPr>
    <w:rPr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jc w:val="left"/>
    </w:pPr>
    <w:rPr>
      <w:sz w:val="20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3686" w:firstLine="15"/>
    </w:pPr>
  </w:style>
  <w:style w:type="paragraph" w:styleId="Tekstpodstawowywcity2">
    <w:name w:val="Body Text Indent 2"/>
    <w:basedOn w:val="Normalny"/>
    <w:pPr>
      <w:ind w:left="3675"/>
      <w:jc w:val="left"/>
    </w:p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629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3915"/>
    <w:pPr>
      <w:ind w:left="720"/>
      <w:contextualSpacing/>
      <w:jc w:val="left"/>
    </w:pPr>
    <w:rPr>
      <w:szCs w:val="24"/>
    </w:rPr>
  </w:style>
  <w:style w:type="paragraph" w:styleId="NormalnyWeb">
    <w:name w:val="Normal (Web)"/>
    <w:basedOn w:val="Normalny"/>
    <w:uiPriority w:val="99"/>
    <w:unhideWhenUsed/>
    <w:rsid w:val="00983915"/>
    <w:pPr>
      <w:spacing w:before="100" w:beforeAutospacing="1" w:after="100" w:afterAutospacing="1"/>
      <w:jc w:val="left"/>
    </w:pPr>
    <w:rPr>
      <w:szCs w:val="24"/>
    </w:rPr>
  </w:style>
  <w:style w:type="character" w:customStyle="1" w:styleId="StopkaZnak">
    <w:name w:val="Stopka Znak"/>
    <w:link w:val="Stopka"/>
    <w:uiPriority w:val="99"/>
    <w:rsid w:val="00983915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B43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B4315"/>
    <w:rPr>
      <w:rFonts w:ascii="Courier New" w:hAnsi="Courier New" w:cs="Courier New"/>
    </w:rPr>
  </w:style>
  <w:style w:type="character" w:customStyle="1" w:styleId="Nagwek2Znak">
    <w:name w:val="Nagłówek 2 Znak"/>
    <w:link w:val="Nagwek2"/>
    <w:rsid w:val="00472846"/>
    <w:rPr>
      <w:b/>
      <w:sz w:val="28"/>
      <w:u w:val="single"/>
    </w:rPr>
  </w:style>
  <w:style w:type="character" w:styleId="Hipercze">
    <w:name w:val="Hyperlink"/>
    <w:uiPriority w:val="99"/>
    <w:unhideWhenUsed/>
    <w:rsid w:val="00544D96"/>
    <w:rPr>
      <w:color w:val="0000FF"/>
      <w:u w:val="single"/>
    </w:rPr>
  </w:style>
  <w:style w:type="paragraph" w:styleId="Bezodstpw">
    <w:name w:val="No Spacing"/>
    <w:uiPriority w:val="1"/>
    <w:qFormat/>
    <w:rsid w:val="008370D6"/>
    <w:rPr>
      <w:rFonts w:asciiTheme="minorHAnsi" w:hAnsiTheme="minorHAnsi"/>
      <w:sz w:val="22"/>
      <w:szCs w:val="22"/>
      <w:lang w:val="ru-RU" w:eastAsia="en-US"/>
    </w:rPr>
  </w:style>
  <w:style w:type="paragraph" w:customStyle="1" w:styleId="xfmc5">
    <w:name w:val="xfmc5"/>
    <w:basedOn w:val="Normalny"/>
    <w:rsid w:val="008370D6"/>
    <w:pPr>
      <w:spacing w:before="100" w:beforeAutospacing="1" w:after="100" w:afterAutospacing="1"/>
      <w:jc w:val="left"/>
    </w:pPr>
    <w:rPr>
      <w:i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C053-FF8C-41DE-BF9B-E58E23DD4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3131</Words>
  <Characters>17847</Characters>
  <Application>Microsoft Office Word</Application>
  <DocSecurity>0</DocSecurity>
  <Lines>148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Seretariat</Company>
  <LinksUpToDate>false</LinksUpToDate>
  <CharactersWithSpaces>20937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ODGW Szczecin</dc:creator>
  <cp:keywords/>
  <cp:lastModifiedBy>Delis-Szeląg Katarzyna</cp:lastModifiedBy>
  <cp:revision>4</cp:revision>
  <cp:lastPrinted>2013-06-12T19:46:00Z</cp:lastPrinted>
  <dcterms:created xsi:type="dcterms:W3CDTF">2023-10-25T10:02:00Z</dcterms:created>
  <dcterms:modified xsi:type="dcterms:W3CDTF">2023-10-27T11:14:00Z</dcterms:modified>
</cp:coreProperties>
</file>