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744DC" w14:textId="55F43AE1" w:rsidR="006752F9" w:rsidRPr="0026598A" w:rsidRDefault="006752F9" w:rsidP="004E03AF">
      <w:pPr>
        <w:pStyle w:val="Akapitzlist"/>
        <w:spacing w:before="120" w:after="120" w:line="288"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 xml:space="preserve">Załącznik nr </w:t>
      </w:r>
      <w:r w:rsidR="00D526CF">
        <w:rPr>
          <w:rFonts w:ascii="Open Sans" w:eastAsia="Arial" w:hAnsi="Open Sans" w:cs="Open Sans"/>
          <w:sz w:val="20"/>
          <w:szCs w:val="20"/>
        </w:rPr>
        <w:t>5</w:t>
      </w:r>
      <w:r w:rsidRPr="0026598A">
        <w:rPr>
          <w:rFonts w:ascii="Open Sans" w:eastAsia="Arial" w:hAnsi="Open Sans" w:cs="Open Sans"/>
          <w:sz w:val="20"/>
          <w:szCs w:val="20"/>
        </w:rPr>
        <w:t xml:space="preserve"> do </w:t>
      </w:r>
      <w:r w:rsidR="006D7017" w:rsidRPr="006D7017">
        <w:rPr>
          <w:rFonts w:ascii="Open Sans" w:eastAsia="Arial" w:hAnsi="Open Sans" w:cs="Open Sans"/>
          <w:sz w:val="20"/>
          <w:szCs w:val="20"/>
        </w:rPr>
        <w:t>Regulaminu wyboru projektów FENX.0</w:t>
      </w:r>
      <w:r w:rsidR="00D526CF">
        <w:rPr>
          <w:rFonts w:ascii="Open Sans" w:eastAsia="Arial" w:hAnsi="Open Sans" w:cs="Open Sans"/>
          <w:sz w:val="20"/>
          <w:szCs w:val="20"/>
        </w:rPr>
        <w:t>1</w:t>
      </w:r>
      <w:r w:rsidR="006D7017" w:rsidRPr="006D7017">
        <w:rPr>
          <w:rFonts w:ascii="Open Sans" w:eastAsia="Arial" w:hAnsi="Open Sans" w:cs="Open Sans"/>
          <w:sz w:val="20"/>
          <w:szCs w:val="20"/>
        </w:rPr>
        <w:t>.0</w:t>
      </w:r>
      <w:r w:rsidR="00D526CF">
        <w:rPr>
          <w:rFonts w:ascii="Open Sans" w:eastAsia="Arial" w:hAnsi="Open Sans" w:cs="Open Sans"/>
          <w:sz w:val="20"/>
          <w:szCs w:val="20"/>
        </w:rPr>
        <w:t>5</w:t>
      </w:r>
      <w:r w:rsidR="006D7017" w:rsidRPr="006D7017">
        <w:rPr>
          <w:rFonts w:ascii="Open Sans" w:eastAsia="Arial" w:hAnsi="Open Sans" w:cs="Open Sans"/>
          <w:sz w:val="20"/>
          <w:szCs w:val="20"/>
        </w:rPr>
        <w:t>-IW.01-0</w:t>
      </w:r>
      <w:r w:rsidR="00D526CF">
        <w:rPr>
          <w:rFonts w:ascii="Open Sans" w:eastAsia="Arial" w:hAnsi="Open Sans" w:cs="Open Sans"/>
          <w:sz w:val="20"/>
          <w:szCs w:val="20"/>
        </w:rPr>
        <w:t>13</w:t>
      </w:r>
      <w:r w:rsidR="006D7017" w:rsidRPr="006D7017">
        <w:rPr>
          <w:rFonts w:ascii="Open Sans" w:eastAsia="Arial" w:hAnsi="Open Sans" w:cs="Open Sans"/>
          <w:sz w:val="20"/>
          <w:szCs w:val="20"/>
        </w:rPr>
        <w:t>/24</w:t>
      </w:r>
    </w:p>
    <w:p w14:paraId="6F1824CA" w14:textId="77777777" w:rsidR="003945F8" w:rsidRPr="0026598A" w:rsidRDefault="003945F8" w:rsidP="004E03AF">
      <w:pPr>
        <w:pStyle w:val="Tytu"/>
        <w:spacing w:line="288" w:lineRule="auto"/>
        <w:rPr>
          <w:rFonts w:ascii="Open Sans" w:hAnsi="Open Sans" w:cs="Open Sans"/>
        </w:rPr>
      </w:pPr>
    </w:p>
    <w:p w14:paraId="5E48D0B6" w14:textId="702CEA37" w:rsidR="0073442D" w:rsidRPr="0026598A" w:rsidRDefault="00A60C66" w:rsidP="004E03AF">
      <w:pPr>
        <w:pStyle w:val="Tytu"/>
        <w:spacing w:line="288" w:lineRule="auto"/>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164F14" w:rsidRPr="0026598A">
        <w:rPr>
          <w:rFonts w:ascii="Open Sans" w:hAnsi="Open Sans" w:cs="Open Sans"/>
        </w:rPr>
        <w:br/>
      </w:r>
      <w:r w:rsidRPr="0026598A">
        <w:rPr>
          <w:rFonts w:ascii="Open Sans" w:hAnsi="Open Sans" w:cs="Open Sans"/>
        </w:rPr>
        <w:t>na lata 2021-2027</w:t>
      </w:r>
    </w:p>
    <w:p w14:paraId="42488191" w14:textId="77777777" w:rsidR="006752F9" w:rsidRPr="0026598A" w:rsidRDefault="002560A8" w:rsidP="004E03AF">
      <w:pPr>
        <w:pStyle w:val="Nagwek2"/>
        <w:spacing w:before="720" w:line="288"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4E03AF">
      <w:pPr>
        <w:pStyle w:val="Nagwek2"/>
        <w:spacing w:line="288"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4E03AF">
      <w:pPr>
        <w:pStyle w:val="Nagwek2"/>
        <w:spacing w:line="288" w:lineRule="auto"/>
        <w:rPr>
          <w:rFonts w:ascii="Open Sans" w:hAnsi="Open Sans" w:cs="Open Sans"/>
        </w:rPr>
      </w:pPr>
      <w:r w:rsidRPr="0026598A">
        <w:rPr>
          <w:rFonts w:ascii="Open Sans" w:hAnsi="Open Sans" w:cs="Open Sans"/>
        </w:rPr>
        <w:t>Koszty pośrednie</w:t>
      </w:r>
    </w:p>
    <w:p w14:paraId="2DB8ED93" w14:textId="1BA0FB61" w:rsidR="00F85F25" w:rsidRPr="0026598A" w:rsidRDefault="00164F14" w:rsidP="004E03AF">
      <w:pPr>
        <w:spacing w:before="120" w:after="120" w:line="288"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w:t>
      </w:r>
      <w:r w:rsidR="00766B6F">
        <w:rPr>
          <w:rFonts w:ascii="Open Sans" w:hAnsi="Open Sans" w:cs="Open Sans"/>
          <w:iCs/>
          <w:sz w:val="24"/>
          <w:szCs w:val="24"/>
        </w:rPr>
        <w:t>6</w:t>
      </w:r>
      <w:r w:rsidR="003A49B3" w:rsidRPr="0026598A">
        <w:rPr>
          <w:rFonts w:ascii="Open Sans" w:hAnsi="Open Sans" w:cs="Open Sans"/>
          <w:iCs/>
          <w:sz w:val="24"/>
          <w:szCs w:val="24"/>
        </w:rPr>
        <w:t xml:space="preserve">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4E03AF">
      <w:pPr>
        <w:pStyle w:val="Nagwek2"/>
        <w:spacing w:line="288"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4E03AF">
      <w:pPr>
        <w:spacing w:before="120" w:after="120" w:line="288"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4E03AF">
      <w:pPr>
        <w:pStyle w:val="Nagwek2"/>
        <w:spacing w:line="288"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4E03AF">
      <w:pPr>
        <w:numPr>
          <w:ilvl w:val="0"/>
          <w:numId w:val="4"/>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4E03AF">
      <w:pPr>
        <w:pStyle w:val="Default"/>
        <w:numPr>
          <w:ilvl w:val="0"/>
          <w:numId w:val="4"/>
        </w:numPr>
        <w:spacing w:before="120" w:after="120" w:line="288"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lastRenderedPageBreak/>
        <w:t xml:space="preserve">sprzedający środek trwały wystawił deklarację określającą jego pochodzenie, </w:t>
      </w:r>
    </w:p>
    <w:p w14:paraId="6A18BC52" w14:textId="523C7882"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4E03AF">
      <w:pPr>
        <w:pStyle w:val="Akapitzlist"/>
        <w:numPr>
          <w:ilvl w:val="0"/>
          <w:numId w:val="4"/>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4E03AF">
      <w:pPr>
        <w:pStyle w:val="Nagwek2"/>
        <w:spacing w:line="288"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4E03AF">
      <w:pPr>
        <w:spacing w:before="120" w:after="120" w:line="288"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4E03AF">
      <w:pPr>
        <w:spacing w:before="120" w:after="120" w:line="288"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lastRenderedPageBreak/>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Działania informacyjne i promocyjne</w:t>
      </w:r>
      <w:r w:rsidR="00EE5A6E" w:rsidRPr="0026598A">
        <w:rPr>
          <w:rFonts w:ascii="Open Sans" w:hAnsi="Open Sans" w:cs="Open Sans"/>
          <w:sz w:val="24"/>
          <w:szCs w:val="24"/>
        </w:rPr>
        <w:t>:</w:t>
      </w:r>
    </w:p>
    <w:p w14:paraId="0DCACA33" w14:textId="00A994E9" w:rsidR="00552262" w:rsidRPr="0026598A" w:rsidRDefault="000A0F44" w:rsidP="004E03AF">
      <w:pPr>
        <w:pStyle w:val="Tekstpodstawowy2"/>
        <w:numPr>
          <w:ilvl w:val="1"/>
          <w:numId w:val="26"/>
        </w:numPr>
        <w:spacing w:before="120" w:after="120" w:line="288"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Wartości niematerialne i prawne</w:t>
      </w:r>
    </w:p>
    <w:p w14:paraId="3642C404" w14:textId="389EBC43" w:rsidR="002560A8" w:rsidRPr="0026598A" w:rsidRDefault="002560A8" w:rsidP="004E03AF">
      <w:pPr>
        <w:pStyle w:val="Akapitzlist"/>
        <w:numPr>
          <w:ilvl w:val="0"/>
          <w:numId w:val="15"/>
        </w:numPr>
        <w:autoSpaceDE w:val="0"/>
        <w:autoSpaceDN w:val="0"/>
        <w:adjustRightInd w:val="0"/>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Dz.U. z 2023 r. poz. 120 z późn. zm.)</w:t>
      </w:r>
      <w:r w:rsidRPr="0026598A">
        <w:rPr>
          <w:rFonts w:ascii="Open Sans" w:hAnsi="Open Sans" w:cs="Open Sans"/>
          <w:sz w:val="24"/>
          <w:szCs w:val="24"/>
        </w:rPr>
        <w:t>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4E03AF">
      <w:pPr>
        <w:numPr>
          <w:ilvl w:val="0"/>
          <w:numId w:val="1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4E03AF">
      <w:pPr>
        <w:pStyle w:val="mainpub"/>
        <w:spacing w:before="120" w:beforeAutospacing="0" w:after="120" w:afterAutospacing="0" w:line="288"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4E03AF">
      <w:pPr>
        <w:pStyle w:val="Akapitzlist"/>
        <w:numPr>
          <w:ilvl w:val="0"/>
          <w:numId w:val="15"/>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4E03AF">
      <w:pPr>
        <w:pStyle w:val="Akapitzlist"/>
        <w:numPr>
          <w:ilvl w:val="0"/>
          <w:numId w:val="15"/>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4E03AF">
      <w:pPr>
        <w:pStyle w:val="Nagwek2"/>
        <w:spacing w:line="288"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1583B557" w:rsidR="00D65ED4" w:rsidRPr="0026598A" w:rsidRDefault="000E1A2F"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ategoria opisana 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Roboty budowlane</w:t>
      </w:r>
    </w:p>
    <w:p w14:paraId="34B6EBA9" w14:textId="23FCEE82"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4E03AF">
      <w:pPr>
        <w:spacing w:before="120" w:after="120" w:line="288"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przeprowadzono ponowną ocenę oddziaływania na środowisko mogą być uznane za kwalifikowalne.</w:t>
      </w:r>
    </w:p>
    <w:p w14:paraId="39B6873D" w14:textId="6B796AB9"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środków trwałych nie zainstalowanych na stałe w projekcie, będą mogły być uznane za 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uwzględniony  w zamówieniu dotyczącym robót budowlanych w całości powinien być ujęty w kategorii roboty budowlane.</w:t>
      </w:r>
    </w:p>
    <w:p w14:paraId="2A6F0F72"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w:t>
      </w:r>
      <w:r w:rsidRPr="0026598A">
        <w:rPr>
          <w:rFonts w:ascii="Open Sans" w:hAnsi="Open Sans" w:cs="Open Sans"/>
          <w:sz w:val="24"/>
          <w:szCs w:val="24"/>
        </w:rPr>
        <w:lastRenderedPageBreak/>
        <w:t xml:space="preserve">związane z ww. pracami mogą być uznane za kwalifikowalne. Powyższe ma zastosowanie jedynie w 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Programu FE</w:t>
      </w:r>
      <w:r w:rsidR="00CA60D2" w:rsidRPr="0026598A">
        <w:rPr>
          <w:rFonts w:ascii="Open Sans" w:hAnsi="Open Sans" w:cs="Open Sans"/>
          <w:sz w:val="24"/>
          <w:szCs w:val="24"/>
        </w:rPr>
        <w:t>nIKS</w:t>
      </w:r>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4E03AF">
      <w:pPr>
        <w:pStyle w:val="Akapitzlist"/>
        <w:numPr>
          <w:ilvl w:val="0"/>
          <w:numId w:val="2"/>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lastRenderedPageBreak/>
        <w:t>dróg gruntowych. Przez drogi gruntowe należy rozumieć drogi z nawierzchnią z gruntu rodzimego oraz utrwalone kruszywem, np. żwirem, tłuczniem  itp.</w:t>
      </w:r>
    </w:p>
    <w:p w14:paraId="62C8AD92"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t>dróg utwardzonych (asfaltowych, kostka brukowa itp.) wyłącznie odtworzenie wierzchniej warstwy, bez warstw pozostałych związanych z podbudową.</w:t>
      </w:r>
    </w:p>
    <w:p w14:paraId="47B7B299" w14:textId="77777777" w:rsidR="006768FA" w:rsidRPr="0026598A" w:rsidRDefault="006768FA" w:rsidP="004E03AF">
      <w:pPr>
        <w:spacing w:before="120" w:after="120" w:line="288"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4E03AF">
      <w:pPr>
        <w:spacing w:before="120" w:after="120" w:line="288"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4E03AF">
      <w:pPr>
        <w:pStyle w:val="Nagwek2"/>
        <w:spacing w:line="288"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5E344C2B" w:rsidR="003D428E" w:rsidRPr="0026598A" w:rsidRDefault="00562CE8"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Wartość </w:t>
      </w:r>
      <w:r w:rsidR="003D428E" w:rsidRPr="0026598A">
        <w:rPr>
          <w:rFonts w:ascii="Open Sans" w:hAnsi="Open Sans" w:cs="Open Sans"/>
          <w:sz w:val="24"/>
          <w:szCs w:val="24"/>
        </w:rPr>
        <w:t xml:space="preserve">ww. </w:t>
      </w:r>
      <w:r w:rsidRPr="0026598A">
        <w:rPr>
          <w:rFonts w:ascii="Open Sans" w:hAnsi="Open Sans" w:cs="Open Sans"/>
          <w:sz w:val="24"/>
          <w:szCs w:val="24"/>
        </w:rPr>
        <w:t xml:space="preserve">dodatkowych </w:t>
      </w:r>
      <w:r w:rsidR="003D428E" w:rsidRPr="0026598A">
        <w:rPr>
          <w:rFonts w:ascii="Open Sans" w:hAnsi="Open Sans" w:cs="Open Sans"/>
          <w:sz w:val="24"/>
          <w:szCs w:val="24"/>
        </w:rPr>
        <w:t xml:space="preserve">elementów nie może </w:t>
      </w:r>
      <w:r w:rsidRPr="0026598A">
        <w:rPr>
          <w:rFonts w:ascii="Open Sans" w:hAnsi="Open Sans" w:cs="Open Sans"/>
          <w:sz w:val="24"/>
          <w:szCs w:val="24"/>
        </w:rPr>
        <w:t xml:space="preserve">przekroczyć </w:t>
      </w:r>
      <w:r w:rsidR="003D428E" w:rsidRPr="0026598A">
        <w:rPr>
          <w:rFonts w:ascii="Open Sans" w:hAnsi="Open Sans" w:cs="Open Sans"/>
          <w:sz w:val="24"/>
          <w:szCs w:val="24"/>
        </w:rPr>
        <w:t>15 % kosztów kwalifikowanych projektu.</w:t>
      </w:r>
    </w:p>
    <w:p w14:paraId="3B34218A" w14:textId="220AC264" w:rsidR="00C760F9" w:rsidRPr="0026598A" w:rsidRDefault="00A2333F" w:rsidP="004E03AF">
      <w:pPr>
        <w:pStyle w:val="Nagwek2"/>
        <w:spacing w:line="288" w:lineRule="auto"/>
        <w:rPr>
          <w:rFonts w:ascii="Open Sans" w:hAnsi="Open Sans" w:cs="Open Sans"/>
        </w:rPr>
      </w:pPr>
      <w:r w:rsidRPr="0026598A">
        <w:rPr>
          <w:rFonts w:ascii="Open Sans" w:hAnsi="Open Sans" w:cs="Open Sans"/>
        </w:rPr>
        <w:lastRenderedPageBreak/>
        <w:t>Nadzór</w:t>
      </w:r>
      <w:r w:rsidR="008F6DE7" w:rsidRPr="0026598A">
        <w:rPr>
          <w:rFonts w:ascii="Open Sans" w:hAnsi="Open Sans" w:cs="Open Sans"/>
        </w:rPr>
        <w:t>/zarządzanie inwestycją</w:t>
      </w:r>
    </w:p>
    <w:p w14:paraId="5332FEA4" w14:textId="3A1230D7"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r w:rsidR="000A0383" w:rsidRPr="0026598A">
        <w:rPr>
          <w:rFonts w:ascii="Open Sans" w:hAnsi="Open Sans" w:cs="Open Sans"/>
        </w:rPr>
        <w:t>eneficjenta</w:t>
      </w:r>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4E03AF">
      <w:pPr>
        <w:pStyle w:val="Nagwek2"/>
        <w:spacing w:line="288"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przypisana wkładowi niepieniężnemu nie przekracza stawek rynkowych,</w:t>
      </w:r>
    </w:p>
    <w:p w14:paraId="5508A23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z późn.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lastRenderedPageBreak/>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wycenę wkładu niepieniężnego są kwalifikowalne.</w:t>
      </w:r>
    </w:p>
    <w:p w14:paraId="54BB9B99" w14:textId="369D6E4F" w:rsidR="00063A8F" w:rsidRPr="0026598A" w:rsidRDefault="002F4671" w:rsidP="004E03AF">
      <w:pPr>
        <w:spacing w:before="120" w:after="120" w:line="288"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4E03AF">
      <w:pPr>
        <w:spacing w:before="120" w:after="120" w:line="288" w:lineRule="auto"/>
        <w:rPr>
          <w:rFonts w:ascii="Open Sans" w:hAnsi="Open Sans" w:cs="Open Sans"/>
          <w:sz w:val="24"/>
          <w:szCs w:val="24"/>
        </w:rPr>
      </w:pPr>
    </w:p>
    <w:sectPr w:rsidR="002F4671" w:rsidRPr="0026598A" w:rsidSect="000E1A2F">
      <w:headerReference w:type="default" r:id="rId8"/>
      <w:footerReference w:type="default" r:id="rId9"/>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2B74F" w14:textId="77777777" w:rsidR="007C7785" w:rsidRDefault="007C7785" w:rsidP="00100AD9">
      <w:pPr>
        <w:spacing w:after="0" w:line="240" w:lineRule="auto"/>
      </w:pPr>
      <w:r>
        <w:separator/>
      </w:r>
    </w:p>
  </w:endnote>
  <w:endnote w:type="continuationSeparator" w:id="0">
    <w:p w14:paraId="6FE12C4F" w14:textId="77777777" w:rsidR="007C7785" w:rsidRDefault="007C7785"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00293E32">
              <w:rPr>
                <w:rFonts w:cstheme="minorHAnsi"/>
                <w:noProof/>
                <w:sz w:val="20"/>
                <w:szCs w:val="20"/>
              </w:rPr>
              <w:t>9</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00293E32">
              <w:rPr>
                <w:rFonts w:cstheme="minorHAnsi"/>
                <w:noProof/>
                <w:sz w:val="20"/>
                <w:szCs w:val="20"/>
              </w:rPr>
              <w:t>9</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B90EF" w14:textId="77777777" w:rsidR="007C7785" w:rsidRDefault="007C7785" w:rsidP="00100AD9">
      <w:pPr>
        <w:spacing w:after="0" w:line="240" w:lineRule="auto"/>
      </w:pPr>
      <w:r>
        <w:separator/>
      </w:r>
    </w:p>
  </w:footnote>
  <w:footnote w:type="continuationSeparator" w:id="0">
    <w:p w14:paraId="76E90E18" w14:textId="77777777" w:rsidR="007C7785" w:rsidRDefault="007C7785"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9A4EF" w14:textId="49ACC8F5" w:rsidR="00637A1E" w:rsidRDefault="006752F9">
    <w:pPr>
      <w:pStyle w:val="Nagwek"/>
    </w:pPr>
    <w:r w:rsidRPr="007D38D8">
      <w:rPr>
        <w:noProof/>
        <w:lang w:eastAsia="pl-PL"/>
      </w:rPr>
      <w:drawing>
        <wp:inline distT="0" distB="0" distL="0" distR="0" wp14:anchorId="04A62A89" wp14:editId="75BA80D7">
          <wp:extent cx="5753100" cy="739140"/>
          <wp:effectExtent l="0" t="0" r="0" b="3810"/>
          <wp:docPr id="1550769190" name="Obraz 1550769190"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20176327">
    <w:abstractNumId w:val="22"/>
  </w:num>
  <w:num w:numId="2" w16cid:durableId="1745104922">
    <w:abstractNumId w:val="31"/>
  </w:num>
  <w:num w:numId="3" w16cid:durableId="391151119">
    <w:abstractNumId w:val="12"/>
  </w:num>
  <w:num w:numId="4" w16cid:durableId="295379362">
    <w:abstractNumId w:val="3"/>
  </w:num>
  <w:num w:numId="5" w16cid:durableId="2038461382">
    <w:abstractNumId w:val="26"/>
  </w:num>
  <w:num w:numId="6" w16cid:durableId="1467040981">
    <w:abstractNumId w:val="2"/>
  </w:num>
  <w:num w:numId="7" w16cid:durableId="132529708">
    <w:abstractNumId w:val="14"/>
  </w:num>
  <w:num w:numId="8" w16cid:durableId="829366576">
    <w:abstractNumId w:val="25"/>
  </w:num>
  <w:num w:numId="9" w16cid:durableId="1097363652">
    <w:abstractNumId w:val="16"/>
  </w:num>
  <w:num w:numId="10" w16cid:durableId="1839535821">
    <w:abstractNumId w:val="4"/>
  </w:num>
  <w:num w:numId="11" w16cid:durableId="2098012644">
    <w:abstractNumId w:val="19"/>
  </w:num>
  <w:num w:numId="12" w16cid:durableId="2056662045">
    <w:abstractNumId w:val="28"/>
  </w:num>
  <w:num w:numId="13" w16cid:durableId="1197738073">
    <w:abstractNumId w:val="6"/>
  </w:num>
  <w:num w:numId="14" w16cid:durableId="493302274">
    <w:abstractNumId w:val="23"/>
  </w:num>
  <w:num w:numId="15" w16cid:durableId="339356391">
    <w:abstractNumId w:val="17"/>
  </w:num>
  <w:num w:numId="16" w16cid:durableId="836773287">
    <w:abstractNumId w:val="7"/>
  </w:num>
  <w:num w:numId="17" w16cid:durableId="1333606728">
    <w:abstractNumId w:val="11"/>
  </w:num>
  <w:num w:numId="18" w16cid:durableId="282808109">
    <w:abstractNumId w:val="18"/>
  </w:num>
  <w:num w:numId="19" w16cid:durableId="1958220597">
    <w:abstractNumId w:val="27"/>
  </w:num>
  <w:num w:numId="20" w16cid:durableId="1963263613">
    <w:abstractNumId w:val="29"/>
  </w:num>
  <w:num w:numId="21" w16cid:durableId="1764495313">
    <w:abstractNumId w:val="10"/>
  </w:num>
  <w:num w:numId="22" w16cid:durableId="31924616">
    <w:abstractNumId w:val="1"/>
  </w:num>
  <w:num w:numId="23" w16cid:durableId="1973828145">
    <w:abstractNumId w:val="24"/>
  </w:num>
  <w:num w:numId="24" w16cid:durableId="973410737">
    <w:abstractNumId w:val="30"/>
  </w:num>
  <w:num w:numId="25" w16cid:durableId="1274287851">
    <w:abstractNumId w:val="15"/>
  </w:num>
  <w:num w:numId="26" w16cid:durableId="2081098444">
    <w:abstractNumId w:val="13"/>
  </w:num>
  <w:num w:numId="27" w16cid:durableId="665669726">
    <w:abstractNumId w:val="20"/>
  </w:num>
  <w:num w:numId="28" w16cid:durableId="438111167">
    <w:abstractNumId w:val="8"/>
  </w:num>
  <w:num w:numId="29" w16cid:durableId="45686668">
    <w:abstractNumId w:val="9"/>
  </w:num>
  <w:num w:numId="30" w16cid:durableId="1995378280">
    <w:abstractNumId w:val="21"/>
  </w:num>
  <w:num w:numId="31" w16cid:durableId="392510273">
    <w:abstractNumId w:val="0"/>
  </w:num>
  <w:num w:numId="32" w16cid:durableId="956914813">
    <w:abstractNumId w:val="5"/>
  </w:num>
  <w:num w:numId="33" w16cid:durableId="1363434318">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1A2F"/>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A2580"/>
    <w:rsid w:val="001A5B12"/>
    <w:rsid w:val="001A7448"/>
    <w:rsid w:val="001D3380"/>
    <w:rsid w:val="001D7393"/>
    <w:rsid w:val="001F45DC"/>
    <w:rsid w:val="001F52C0"/>
    <w:rsid w:val="001F5789"/>
    <w:rsid w:val="00205493"/>
    <w:rsid w:val="00214B3C"/>
    <w:rsid w:val="002261A8"/>
    <w:rsid w:val="0022628A"/>
    <w:rsid w:val="00226A0D"/>
    <w:rsid w:val="00243269"/>
    <w:rsid w:val="00250BDF"/>
    <w:rsid w:val="00252D18"/>
    <w:rsid w:val="002551B2"/>
    <w:rsid w:val="002560A8"/>
    <w:rsid w:val="00261852"/>
    <w:rsid w:val="0026598A"/>
    <w:rsid w:val="00275766"/>
    <w:rsid w:val="00287214"/>
    <w:rsid w:val="00292642"/>
    <w:rsid w:val="00292ABC"/>
    <w:rsid w:val="00293E32"/>
    <w:rsid w:val="002A4E09"/>
    <w:rsid w:val="002C015B"/>
    <w:rsid w:val="002D0729"/>
    <w:rsid w:val="002E0D8F"/>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C50DB"/>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81D97"/>
    <w:rsid w:val="005952A2"/>
    <w:rsid w:val="005A16D1"/>
    <w:rsid w:val="005B120C"/>
    <w:rsid w:val="005B5EA3"/>
    <w:rsid w:val="005D25E5"/>
    <w:rsid w:val="005D3556"/>
    <w:rsid w:val="005D6C73"/>
    <w:rsid w:val="005E1F10"/>
    <w:rsid w:val="005E35B1"/>
    <w:rsid w:val="005F0C95"/>
    <w:rsid w:val="005F2834"/>
    <w:rsid w:val="005F76CE"/>
    <w:rsid w:val="00602A44"/>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D7017"/>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66B6F"/>
    <w:rsid w:val="00772757"/>
    <w:rsid w:val="00775BFF"/>
    <w:rsid w:val="00797AD7"/>
    <w:rsid w:val="007A18EC"/>
    <w:rsid w:val="007A1946"/>
    <w:rsid w:val="007B3DCB"/>
    <w:rsid w:val="007C7417"/>
    <w:rsid w:val="007C7785"/>
    <w:rsid w:val="007D510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50B"/>
    <w:rsid w:val="00BC78A0"/>
    <w:rsid w:val="00BD3839"/>
    <w:rsid w:val="00BE527F"/>
    <w:rsid w:val="00BF5991"/>
    <w:rsid w:val="00C00641"/>
    <w:rsid w:val="00C1018D"/>
    <w:rsid w:val="00C17903"/>
    <w:rsid w:val="00C23E3B"/>
    <w:rsid w:val="00C40239"/>
    <w:rsid w:val="00C42687"/>
    <w:rsid w:val="00C43576"/>
    <w:rsid w:val="00C47FDA"/>
    <w:rsid w:val="00C5228B"/>
    <w:rsid w:val="00C56F01"/>
    <w:rsid w:val="00C614EE"/>
    <w:rsid w:val="00C62A30"/>
    <w:rsid w:val="00C732B1"/>
    <w:rsid w:val="00C738FD"/>
    <w:rsid w:val="00C760F9"/>
    <w:rsid w:val="00C8178F"/>
    <w:rsid w:val="00C86210"/>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526CF"/>
    <w:rsid w:val="00D65ED4"/>
    <w:rsid w:val="00D668E6"/>
    <w:rsid w:val="00D6692B"/>
    <w:rsid w:val="00D76D55"/>
    <w:rsid w:val="00D77DC3"/>
    <w:rsid w:val="00D92A20"/>
    <w:rsid w:val="00D95AAD"/>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2128"/>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3E4A1-DBCD-467E-8987-4186733EA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2832</Words>
  <Characters>16992</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5 do RWP dodatowe warunki kwalifikowalności</dc:title>
  <dc:subject/>
  <dc:creator>Bartłomiej Maliszewski</dc:creator>
  <cp:keywords/>
  <dc:description/>
  <cp:lastModifiedBy>Kowalski Piotr</cp:lastModifiedBy>
  <cp:revision>22</cp:revision>
  <cp:lastPrinted>2024-09-24T11:03:00Z</cp:lastPrinted>
  <dcterms:created xsi:type="dcterms:W3CDTF">2023-08-10T08:58:00Z</dcterms:created>
  <dcterms:modified xsi:type="dcterms:W3CDTF">2024-09-27T11:32:00Z</dcterms:modified>
</cp:coreProperties>
</file>