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17E15" w14:textId="77777777" w:rsidR="00094139" w:rsidRDefault="00840DDB" w:rsidP="00094139">
      <w:pPr>
        <w:pStyle w:val="Nagwek"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 - nabór</w:t>
      </w:r>
      <w:r w:rsidRPr="00B74AE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FENX.0</w:t>
      </w:r>
      <w:r w:rsidR="00105933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.0</w:t>
      </w:r>
      <w:r w:rsidR="00105933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-IW.01-01</w:t>
      </w:r>
      <w:r w:rsidR="00105933">
        <w:rPr>
          <w:rFonts w:ascii="Arial" w:eastAsia="Arial" w:hAnsi="Arial" w:cs="Arial"/>
          <w:b/>
          <w:color w:val="000000"/>
          <w:sz w:val="20"/>
          <w:szCs w:val="20"/>
        </w:rPr>
        <w:t>3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/24</w:t>
      </w:r>
    </w:p>
    <w:p w14:paraId="339EBFC6" w14:textId="77777777" w:rsidR="00840DDB" w:rsidRPr="00840DDB" w:rsidRDefault="00840DDB" w:rsidP="005B0AC0">
      <w:pPr>
        <w:pStyle w:val="Nagwek1"/>
        <w:jc w:val="center"/>
        <w:rPr>
          <w:rFonts w:eastAsia="Times New Roman"/>
        </w:rPr>
      </w:pPr>
      <w:r w:rsidRPr="00840DDB">
        <w:rPr>
          <w:rFonts w:eastAsia="Times New Roman"/>
        </w:rPr>
        <w:t xml:space="preserve">Zgodność projektu z regulacjami ochrony środowiska </w:t>
      </w:r>
      <w:r w:rsidRPr="00840DDB">
        <w:rPr>
          <w:rFonts w:eastAsia="Times New Roman"/>
        </w:rPr>
        <w:br/>
        <w:t xml:space="preserve">i wymogami klimatycznymi  </w:t>
      </w:r>
      <w:r w:rsidRPr="00840DDB">
        <w:rPr>
          <w:rFonts w:eastAsia="Times New Roman"/>
        </w:rPr>
        <w:br/>
        <w:t xml:space="preserve">(załącznik 4 do Wniosku o dofinansowanie w ramach </w:t>
      </w:r>
      <w:proofErr w:type="spellStart"/>
      <w:r w:rsidRPr="00840DDB">
        <w:rPr>
          <w:rFonts w:eastAsia="Times New Roman"/>
        </w:rPr>
        <w:t>FEnIKS</w:t>
      </w:r>
      <w:proofErr w:type="spellEnd"/>
      <w:r w:rsidRPr="00840DDB">
        <w:rPr>
          <w:rFonts w:eastAsia="Times New Roman"/>
        </w:rPr>
        <w:t xml:space="preserve">  - obowiązkowy)</w:t>
      </w:r>
    </w:p>
    <w:p w14:paraId="6C2FE818" w14:textId="77777777" w:rsidR="0097135E" w:rsidRPr="00516112" w:rsidRDefault="0097135E" w:rsidP="00BD7815">
      <w:pPr>
        <w:shd w:val="clear" w:color="auto" w:fill="C2D69B"/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E7C068" w14:textId="77777777" w:rsidR="00DB41F8" w:rsidRPr="00516112" w:rsidRDefault="00DB41F8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49CD079C" w14:textId="77777777" w:rsidR="00F50E0A" w:rsidRPr="00516112" w:rsidRDefault="00F50E0A" w:rsidP="00206CA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59A9BD7E" w14:textId="77777777" w:rsidR="00DD4426" w:rsidRPr="00516112" w:rsidRDefault="00DD4426" w:rsidP="00206CA3">
      <w:pPr>
        <w:keepNext/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5FD77219" w14:textId="77777777" w:rsidR="00DB41F8" w:rsidRPr="00516112" w:rsidRDefault="00DB41F8" w:rsidP="00BD7815">
      <w:p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6741156D" w14:textId="77777777" w:rsidR="00DB41F8" w:rsidRPr="00516112" w:rsidRDefault="00DB41F8" w:rsidP="00BD7815">
      <w:pPr>
        <w:numPr>
          <w:ilvl w:val="0"/>
          <w:numId w:val="9"/>
        </w:num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46DFE976" w14:textId="77777777" w:rsidR="00DB41F8" w:rsidRDefault="00DB41F8" w:rsidP="00BD7815">
      <w:pPr>
        <w:numPr>
          <w:ilvl w:val="0"/>
          <w:numId w:val="9"/>
        </w:num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0C3F2B" w14:textId="77777777" w:rsidR="004C3D38" w:rsidRPr="00516112" w:rsidRDefault="004C3D38" w:rsidP="00206CA3">
      <w:pPr>
        <w:spacing w:before="120" w:after="120" w:line="26" w:lineRule="atLeast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BE00C4B" w14:textId="77777777" w:rsidR="00DC271D" w:rsidRPr="00516112" w:rsidRDefault="00DC271D" w:rsidP="00206CA3">
      <w:pPr>
        <w:keepNext/>
        <w:numPr>
          <w:ilvl w:val="0"/>
          <w:numId w:val="5"/>
        </w:numPr>
        <w:spacing w:before="240" w:after="120" w:line="26" w:lineRule="atLeast"/>
        <w:ind w:left="714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6D447182" w14:textId="77777777" w:rsidR="00DC271D" w:rsidRPr="00516112" w:rsidRDefault="00DC271D" w:rsidP="00206CA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" w:lineRule="atLeast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5C38760" w14:textId="77777777" w:rsidR="00DC271D" w:rsidRPr="00516112" w:rsidRDefault="00DC271D" w:rsidP="00206CA3">
      <w:pPr>
        <w:keepNext/>
        <w:tabs>
          <w:tab w:val="left" w:pos="0"/>
        </w:tabs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692D7784" w14:textId="77777777" w:rsidR="0086618D" w:rsidRPr="009B092A" w:rsidRDefault="00DC271D" w:rsidP="00BD7815">
      <w:pPr>
        <w:spacing w:after="0" w:line="240" w:lineRule="auto"/>
        <w:jc w:val="both"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104EF6B8" w14:textId="77777777" w:rsidR="00F959EC" w:rsidRDefault="0086618D" w:rsidP="00BD781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 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405BBCAC" w14:textId="77777777" w:rsidR="00DC271D" w:rsidRPr="00516112" w:rsidRDefault="00DC271D" w:rsidP="00BD7815">
      <w:pPr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61E56F" w14:textId="77777777" w:rsidR="00DC271D" w:rsidRPr="001A4C3A" w:rsidRDefault="003246AB" w:rsidP="00206CA3">
      <w:pPr>
        <w:keepNext/>
        <w:numPr>
          <w:ilvl w:val="0"/>
          <w:numId w:val="5"/>
        </w:numPr>
        <w:spacing w:before="120" w:after="120" w:line="26" w:lineRule="atLeast"/>
        <w:ind w:hanging="357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z wymogami klimat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ycznymi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, 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z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uwzględni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eniem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>ryzyk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a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powodziowe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go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B74AE3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38AB89B9" w14:textId="77777777" w:rsidR="00F77D9F" w:rsidRDefault="00F77D9F" w:rsidP="00BD7815">
      <w:pPr>
        <w:tabs>
          <w:tab w:val="left" w:pos="0"/>
        </w:tabs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27CF531A" w14:textId="77777777" w:rsidR="00DC271D" w:rsidRPr="001A4C3A" w:rsidRDefault="00DC271D" w:rsidP="00206CA3">
      <w:pPr>
        <w:keepNext/>
        <w:numPr>
          <w:ilvl w:val="0"/>
          <w:numId w:val="5"/>
        </w:numPr>
        <w:spacing w:before="120" w:after="120" w:line="26" w:lineRule="atLeast"/>
        <w:ind w:hanging="357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lastRenderedPageBreak/>
        <w:t>Zgodność projektu z celem środowiskowym gospodarki o obiegu zamkniętym</w:t>
      </w:r>
      <w:r w:rsidR="003E5089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oraz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ochrony przyrody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57B3DE91" w14:textId="77777777" w:rsidR="00DC271D" w:rsidRPr="00516112" w:rsidRDefault="00DC271D" w:rsidP="00BD7815">
      <w:pPr>
        <w:tabs>
          <w:tab w:val="left" w:pos="0"/>
        </w:tabs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6E3D83" w14:textId="77777777" w:rsidR="00DB41F8" w:rsidRPr="00516112" w:rsidRDefault="00DB41F8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z zasadą „nie czyń poważnych szkód” środowisku tj. </w:t>
      </w:r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harm</w:t>
      </w:r>
      <w:proofErr w:type="spellEnd"/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(DNSH)</w:t>
      </w:r>
    </w:p>
    <w:p w14:paraId="623AA673" w14:textId="77777777" w:rsidR="00F50E0A" w:rsidRPr="00516112" w:rsidRDefault="00F50E0A" w:rsidP="00206CA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7F107E23" w14:textId="77777777" w:rsidR="00DD4426" w:rsidRPr="00516112" w:rsidRDefault="00DD4426" w:rsidP="00206CA3">
      <w:pPr>
        <w:keepNext/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6C4084A" w14:textId="77777777" w:rsidR="00903D54" w:rsidRPr="00516112" w:rsidRDefault="00903D54" w:rsidP="00BD7815">
      <w:pPr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>. W celu potwierdzenia zgodności należy wypełnić pole tekstowe.</w:t>
      </w:r>
    </w:p>
    <w:p w14:paraId="197ED73A" w14:textId="77777777" w:rsidR="00467DB3" w:rsidRPr="007665FB" w:rsidRDefault="00903D54" w:rsidP="00BD7815">
      <w:pPr>
        <w:jc w:val="both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32138577" w14:textId="77777777" w:rsidR="00DB41F8" w:rsidRPr="001A4C3A" w:rsidRDefault="00DB41F8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31F40551" w14:textId="77777777" w:rsidR="0097135E" w:rsidRPr="00516112" w:rsidRDefault="0097135E" w:rsidP="00BD7815">
      <w:pPr>
        <w:tabs>
          <w:tab w:val="left" w:pos="3607"/>
        </w:tabs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bookmarkStart w:id="2" w:name="_Hlk113959498"/>
    </w:p>
    <w:bookmarkEnd w:id="2"/>
    <w:p w14:paraId="797CBB28" w14:textId="77777777" w:rsidR="00225777" w:rsidRPr="00516112" w:rsidRDefault="00225777" w:rsidP="00BD7815">
      <w:pPr>
        <w:shd w:val="clear" w:color="auto" w:fill="C2D69B"/>
        <w:spacing w:before="120" w:after="120" w:line="26" w:lineRule="atLeast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, z późn.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124D95A" w14:textId="77777777" w:rsidR="004A0A2A" w:rsidRPr="00516112" w:rsidRDefault="004A0A2A" w:rsidP="00BD7815">
      <w:pPr>
        <w:shd w:val="clear" w:color="auto" w:fill="C2D69B"/>
        <w:spacing w:before="120" w:after="120" w:line="26" w:lineRule="atLeast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DB33A39" w14:textId="77777777" w:rsidR="0097135E" w:rsidRPr="00516112" w:rsidRDefault="0097135E" w:rsidP="00BD7815">
      <w:pPr>
        <w:spacing w:before="120" w:after="120" w:line="26" w:lineRule="atLeast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CD5F19" w14:textId="77777777" w:rsidR="004A0A2A" w:rsidRPr="00516112" w:rsidRDefault="004A0A2A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projekt jest realizowany w wyniku planu lub programu, innego niż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24C5F303" w14:textId="77777777" w:rsidR="006949F0" w:rsidRPr="00516112" w:rsidRDefault="004A0A2A" w:rsidP="00206CA3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59088504" w14:textId="77777777" w:rsidR="004A0A2A" w:rsidRDefault="004A0A2A" w:rsidP="00206CA3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36E3DCDF" w14:textId="77777777" w:rsidR="009D3368" w:rsidRPr="00516112" w:rsidRDefault="009D3368" w:rsidP="00206CA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5E9D187F" w14:textId="77777777" w:rsidR="000A1A16" w:rsidRPr="000A1A16" w:rsidRDefault="000A1A16" w:rsidP="00206CA3">
      <w:pPr>
        <w:keepNext/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4BC1B6E6" w14:textId="77777777" w:rsidR="004A0A2A" w:rsidRPr="00516112" w:rsidRDefault="004A0A2A" w:rsidP="00BD7815">
      <w:pPr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, w tym punkcie formularza należy wybrać odpowiedź NIE </w:t>
      </w:r>
    </w:p>
    <w:p w14:paraId="61926B92" w14:textId="77777777" w:rsidR="004A0A2A" w:rsidRPr="00516112" w:rsidRDefault="004A0A2A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jest traktowane jako istotny błąd we wniosku).</w:t>
      </w:r>
    </w:p>
    <w:p w14:paraId="4935ADF5" w14:textId="77777777" w:rsidR="00B833D2" w:rsidRPr="00516112" w:rsidRDefault="00B833D2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2B5F7BC1" w14:textId="77777777" w:rsidR="00B833D2" w:rsidRPr="00516112" w:rsidRDefault="00B833D2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091B563C" w14:textId="77777777" w:rsidR="00B833D2" w:rsidRPr="00516112" w:rsidRDefault="00B833D2" w:rsidP="00206CA3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8C7FB55" w14:textId="77777777" w:rsidR="00B833D2" w:rsidRPr="00516112" w:rsidRDefault="00B833D2" w:rsidP="00206CA3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2B01ED48" w14:textId="77777777" w:rsidR="00DD4426" w:rsidRPr="00516112" w:rsidRDefault="00DD4426" w:rsidP="00206CA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03F8B14F" w14:textId="77777777" w:rsidR="00DD4426" w:rsidRPr="00516112" w:rsidRDefault="00DD4426" w:rsidP="00206CA3">
      <w:pPr>
        <w:keepNext/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76B6E87B" w14:textId="77777777" w:rsidR="00B833D2" w:rsidRPr="00516112" w:rsidRDefault="00B833D2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201AD25" w14:textId="77777777" w:rsidR="00B833D2" w:rsidRPr="00516112" w:rsidRDefault="00B833D2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755C4505" w14:textId="77777777" w:rsidR="00564644" w:rsidRPr="004C3D38" w:rsidRDefault="00564644" w:rsidP="00206CA3">
      <w:pPr>
        <w:numPr>
          <w:ilvl w:val="0"/>
          <w:numId w:val="9"/>
        </w:num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6FD0D630" w14:textId="77777777" w:rsidR="00564644" w:rsidRPr="004C3D38" w:rsidRDefault="00564644" w:rsidP="00206CA3">
      <w:pPr>
        <w:numPr>
          <w:ilvl w:val="0"/>
          <w:numId w:val="9"/>
        </w:num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39B5D591" w14:textId="77777777" w:rsidR="00B833D2" w:rsidRPr="00516112" w:rsidRDefault="00B833D2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Zalecane jest również zamieszczenie informacji w jaki sposób SOOŚ (w szczególności prognoza) dla danego planu lub programu odnosi się do SOOŚ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FCEE555" w14:textId="77777777" w:rsidR="00B833D2" w:rsidRPr="00516112" w:rsidRDefault="00B833D2" w:rsidP="00BD7815">
      <w:pPr>
        <w:autoSpaceDE w:val="0"/>
        <w:autoSpaceDN w:val="0"/>
        <w:adjustRightInd w:val="0"/>
        <w:spacing w:before="120" w:after="120" w:line="26" w:lineRule="atLeast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F40B690" w14:textId="77777777" w:rsidR="00DE3461" w:rsidRPr="00516112" w:rsidRDefault="00DE3461" w:rsidP="00BD7815">
      <w:pPr>
        <w:autoSpaceDE w:val="0"/>
        <w:autoSpaceDN w:val="0"/>
        <w:adjustRightInd w:val="0"/>
        <w:spacing w:before="120" w:after="120" w:line="26" w:lineRule="atLeast"/>
        <w:ind w:left="495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0A86D22" w14:textId="77777777" w:rsidR="00DE3461" w:rsidRPr="001A4C3A" w:rsidRDefault="00DE3461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 przedsięwzięcie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zawsze znacząco oddziaływać na środowisko (art. 59 ust. 1 pk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t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1 ustawy </w:t>
      </w:r>
      <w:proofErr w:type="spellStart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ooś</w:t>
      </w:r>
      <w:proofErr w:type="spellEnd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)</w:t>
      </w:r>
      <w:r w:rsidR="00DF230E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objęte załącznikiem I do </w:t>
      </w:r>
      <w:r w:rsidR="00DF230E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3222BB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5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86F7B62" w14:textId="77777777" w:rsidR="007665FB" w:rsidRPr="007665FB" w:rsidRDefault="007665FB" w:rsidP="007665FB">
      <w:pPr>
        <w:rPr>
          <w:rFonts w:ascii="Arial" w:hAnsi="Arial" w:cs="Arial"/>
          <w:sz w:val="20"/>
          <w:szCs w:val="20"/>
          <w:lang w:eastAsia="pl-PL"/>
        </w:rPr>
      </w:pPr>
    </w:p>
    <w:p w14:paraId="07DD23C4" w14:textId="77777777" w:rsidR="00DD0E7F" w:rsidRPr="001A4C3A" w:rsidRDefault="00DD0E7F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</w:t>
      </w:r>
      <w:r w:rsidRPr="001A4C3A" w:rsidDel="00597046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przedsięwzięcie</w:t>
      </w:r>
      <w:r w:rsidR="005631A7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potencjalnie znacząco oddziaływać na środowisko</w:t>
      </w:r>
      <w:r w:rsidR="00704C1F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i/lub objęte załącznikiem II do </w:t>
      </w:r>
      <w:r w:rsidR="00704C1F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C90B86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6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49B1BC6B" w14:textId="77777777" w:rsidR="003222BB" w:rsidRPr="00516112" w:rsidRDefault="003222BB" w:rsidP="00BD7815">
      <w:p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429620C6" w14:textId="77777777" w:rsidR="00356653" w:rsidRPr="001A4C3A" w:rsidRDefault="00B96B5F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lastRenderedPageBreak/>
        <w:t>Stan przygotowania projektu na moment składania wniosku o dofinansowanie (umowy o roboty budowlane i kontrakty Buduj, Zaprojektuj Buduj itp.)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47425D9" w14:textId="77777777" w:rsidR="00D246B8" w:rsidRPr="001A4C3A" w:rsidRDefault="00D246B8" w:rsidP="00206CA3">
      <w:pPr>
        <w:tabs>
          <w:tab w:val="left" w:pos="850"/>
        </w:tabs>
        <w:spacing w:before="120" w:after="120" w:line="26" w:lineRule="atLeast"/>
        <w:jc w:val="both"/>
        <w:outlineLvl w:val="2"/>
        <w:rPr>
          <w:rFonts w:ascii="Arial" w:hAnsi="Arial" w:cs="Arial"/>
          <w:color w:val="ADADAD"/>
          <w:sz w:val="20"/>
          <w:szCs w:val="20"/>
        </w:rPr>
      </w:pPr>
    </w:p>
    <w:p w14:paraId="46DCA81C" w14:textId="77777777" w:rsidR="00B96B5F" w:rsidRPr="001A4C3A" w:rsidRDefault="00602AA7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Stan przygotowania projektu na moment składania wniosku o dofinansowanie (decyzje administracyjne)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>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A2A0F71" w14:textId="77777777" w:rsidR="0097135E" w:rsidRPr="00516112" w:rsidRDefault="0097135E" w:rsidP="00BD7815">
      <w:p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5A9F30A6" w14:textId="77777777" w:rsidR="00747CD1" w:rsidRPr="00516112" w:rsidRDefault="00747CD1" w:rsidP="00F959EC">
      <w:pPr>
        <w:shd w:val="clear" w:color="auto" w:fill="C2D69B"/>
        <w:spacing w:before="120" w:after="120" w:line="26" w:lineRule="atLeast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281A3EE7" w14:textId="77777777" w:rsidR="0097135E" w:rsidRPr="00516112" w:rsidRDefault="0097135E" w:rsidP="00BD7815">
      <w:pPr>
        <w:spacing w:before="120" w:after="120" w:line="26" w:lineRule="atLeast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EBDB4B" w14:textId="77777777" w:rsidR="00747CD1" w:rsidRPr="001A4C3A" w:rsidRDefault="00A74DAC" w:rsidP="00206CA3">
      <w:pPr>
        <w:keepNext/>
        <w:numPr>
          <w:ilvl w:val="0"/>
          <w:numId w:val="5"/>
        </w:numPr>
        <w:spacing w:before="120" w:after="120" w:line="26" w:lineRule="atLeast"/>
        <w:ind w:left="714" w:hanging="357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projekt może samodzielnie lub w połączeniu z innymi projektami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znacząco negatywnie wpłynąć na obszary, które są lub mają być objęte siecią Natura 2000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204888A4" w14:textId="77777777" w:rsidR="009D3368" w:rsidRPr="00516112" w:rsidRDefault="009D3368" w:rsidP="00BD7815">
      <w:pPr>
        <w:spacing w:before="120" w:after="120" w:line="26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19AEBE7E" w14:textId="77777777" w:rsidR="006801C3" w:rsidRPr="001A4C3A" w:rsidRDefault="000656C1" w:rsidP="00206CA3">
      <w:pPr>
        <w:keepNext/>
        <w:numPr>
          <w:ilvl w:val="0"/>
          <w:numId w:val="5"/>
        </w:numPr>
        <w:spacing w:before="120" w:after="120" w:line="26" w:lineRule="atLeast"/>
        <w:ind w:left="714" w:hanging="357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5FCEA31D" w14:textId="77777777" w:rsidR="000656C1" w:rsidRPr="00516112" w:rsidRDefault="000656C1" w:rsidP="00BD7815">
      <w:pPr>
        <w:keepNext/>
        <w:spacing w:before="120" w:after="120" w:line="26" w:lineRule="atLeast"/>
        <w:jc w:val="both"/>
        <w:outlineLvl w:val="2"/>
        <w:rPr>
          <w:rFonts w:ascii="Arial" w:hAnsi="Arial" w:cs="Arial"/>
          <w:bCs/>
          <w:color w:val="000000"/>
          <w:sz w:val="20"/>
          <w:szCs w:val="20"/>
        </w:rPr>
      </w:pPr>
    </w:p>
    <w:p w14:paraId="15548A58" w14:textId="77777777" w:rsidR="000656C1" w:rsidRPr="001A4C3A" w:rsidRDefault="00EA6CD6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674C20A4" w14:textId="77777777" w:rsidR="00D278D6" w:rsidRPr="00516112" w:rsidRDefault="00D278D6" w:rsidP="00BD7815">
      <w:pPr>
        <w:spacing w:before="120" w:after="120" w:line="26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E8D2923" w14:textId="77777777" w:rsidR="00D278D6" w:rsidRPr="001A4C3A" w:rsidRDefault="007A08E5" w:rsidP="00206CA3">
      <w:pPr>
        <w:keepNext/>
        <w:numPr>
          <w:ilvl w:val="0"/>
          <w:numId w:val="5"/>
        </w:numPr>
        <w:spacing w:before="120" w:after="120" w:line="26" w:lineRule="atLeast"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Stosowanie dyrektywy Rady 91/271/EWG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footnoteReference w:id="7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387023B1" w14:textId="77777777" w:rsidR="00F9688C" w:rsidRPr="00516112" w:rsidRDefault="00F9688C" w:rsidP="00206CA3">
      <w:pPr>
        <w:spacing w:before="120" w:after="120" w:line="26" w:lineRule="atLeast"/>
        <w:ind w:left="720"/>
        <w:jc w:val="both"/>
        <w:outlineLvl w:val="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16206E" w14:textId="77777777" w:rsidR="007A08E5" w:rsidRPr="009636BA" w:rsidRDefault="00F9688C" w:rsidP="00206CA3">
      <w:pPr>
        <w:keepNext/>
        <w:shd w:val="clear" w:color="auto" w:fill="C5E0B3"/>
        <w:spacing w:before="120" w:after="120" w:line="26" w:lineRule="atLeast"/>
        <w:jc w:val="both"/>
        <w:rPr>
          <w:rFonts w:ascii="Arial" w:eastAsia="Arial" w:hAnsi="Arial" w:cs="Arial"/>
          <w:b/>
          <w:strike/>
          <w:color w:val="000000"/>
          <w:sz w:val="20"/>
          <w:szCs w:val="20"/>
        </w:rPr>
      </w:pPr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>Załączniki do części środowiskowej wniosku o dofinansowanie w ramach FEnIKS</w:t>
      </w:r>
    </w:p>
    <w:p w14:paraId="08E701B8" w14:textId="77777777" w:rsidR="006C6055" w:rsidRPr="009636BA" w:rsidRDefault="006C6055" w:rsidP="00206CA3">
      <w:pPr>
        <w:keepNext/>
        <w:numPr>
          <w:ilvl w:val="0"/>
          <w:numId w:val="29"/>
        </w:numPr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Deklaracja organu odpowiedzialnego za monitorowanie obszarów Natura 2000</w:t>
      </w:r>
    </w:p>
    <w:p w14:paraId="21399695" w14:textId="77777777" w:rsidR="006C6055" w:rsidRPr="009636BA" w:rsidRDefault="007108B0" w:rsidP="00206CA3">
      <w:pPr>
        <w:keepNext/>
        <w:numPr>
          <w:ilvl w:val="0"/>
          <w:numId w:val="29"/>
        </w:numPr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Informacja </w:t>
      </w:r>
      <w:r w:rsidR="006C6055" w:rsidRPr="009636BA">
        <w:rPr>
          <w:rFonts w:ascii="Arial" w:hAnsi="Arial" w:cs="Arial"/>
          <w:strike/>
          <w:color w:val="000000"/>
          <w:sz w:val="20"/>
          <w:szCs w:val="20"/>
        </w:rPr>
        <w:t>właściwego organu odpowiedzialnego za gospodarkę wodną</w:t>
      </w:r>
    </w:p>
    <w:p w14:paraId="3952A872" w14:textId="77777777" w:rsidR="00B56C5B" w:rsidRPr="009636BA" w:rsidRDefault="006C6055" w:rsidP="00206CA3">
      <w:pPr>
        <w:keepNext/>
        <w:numPr>
          <w:ilvl w:val="0"/>
          <w:numId w:val="29"/>
        </w:numPr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</w:p>
    <w:p w14:paraId="331500D8" w14:textId="77777777" w:rsidR="00E00706" w:rsidRPr="009636BA" w:rsidRDefault="00E00706" w:rsidP="00206CA3">
      <w:pPr>
        <w:keepNext/>
        <w:numPr>
          <w:ilvl w:val="0"/>
          <w:numId w:val="29"/>
        </w:numPr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Wykaz do</w:t>
      </w:r>
      <w:r w:rsidR="00781FB6" w:rsidRPr="009636BA">
        <w:rPr>
          <w:rFonts w:ascii="Arial" w:hAnsi="Arial" w:cs="Arial"/>
          <w:strike/>
          <w:color w:val="000000"/>
          <w:sz w:val="20"/>
          <w:szCs w:val="20"/>
        </w:rPr>
        <w:t>kumentów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 xml:space="preserve"> gromadzonych w celu 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>potwierdz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enia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spełnieni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zasady DNSH w całym cyklu życia projektu</w:t>
      </w:r>
    </w:p>
    <w:p w14:paraId="47CE39BB" w14:textId="77777777" w:rsidR="00BE6A9E" w:rsidRPr="00516112" w:rsidRDefault="00BE6A9E" w:rsidP="00D9600B">
      <w:pPr>
        <w:keepNext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E6A9E" w:rsidRPr="005161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BFAE6" w14:textId="77777777" w:rsidR="009C4A3B" w:rsidRDefault="009C4A3B" w:rsidP="007A08E5">
      <w:pPr>
        <w:spacing w:after="0" w:line="240" w:lineRule="auto"/>
      </w:pPr>
      <w:r>
        <w:separator/>
      </w:r>
    </w:p>
  </w:endnote>
  <w:endnote w:type="continuationSeparator" w:id="0">
    <w:p w14:paraId="099AE445" w14:textId="77777777" w:rsidR="009C4A3B" w:rsidRDefault="009C4A3B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44926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5933">
      <w:rPr>
        <w:noProof/>
      </w:rPr>
      <w:t>4</w:t>
    </w:r>
    <w:r>
      <w:fldChar w:fldCharType="end"/>
    </w:r>
  </w:p>
  <w:p w14:paraId="54370986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BF1D3" w14:textId="77777777" w:rsidR="009C4A3B" w:rsidRDefault="009C4A3B" w:rsidP="007A08E5">
      <w:pPr>
        <w:spacing w:after="0" w:line="240" w:lineRule="auto"/>
      </w:pPr>
      <w:r>
        <w:separator/>
      </w:r>
    </w:p>
  </w:footnote>
  <w:footnote w:type="continuationSeparator" w:id="0">
    <w:p w14:paraId="4FA80C34" w14:textId="77777777" w:rsidR="009C4A3B" w:rsidRDefault="009C4A3B" w:rsidP="007A08E5">
      <w:pPr>
        <w:spacing w:after="0" w:line="240" w:lineRule="auto"/>
      </w:pPr>
      <w:r>
        <w:continuationSeparator/>
      </w:r>
    </w:p>
  </w:footnote>
  <w:footnote w:id="1">
    <w:p w14:paraId="3AEEB390" w14:textId="77777777" w:rsidR="004263B5" w:rsidRPr="00220245" w:rsidRDefault="004263B5" w:rsidP="00206CA3">
      <w:pPr>
        <w:pStyle w:val="Tekstprzypisudolnego"/>
        <w:ind w:left="113"/>
        <w:jc w:val="both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726B5C59" w14:textId="77777777" w:rsidR="00FC3906" w:rsidRPr="00BD3350" w:rsidRDefault="00FC3906" w:rsidP="00D640B0">
      <w:pPr>
        <w:pStyle w:val="Tekstprzypisudolnego"/>
        <w:ind w:left="142" w:hanging="142"/>
        <w:jc w:val="both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BC2B5A6" w14:textId="77777777" w:rsidR="00903D54" w:rsidRPr="00BD3350" w:rsidRDefault="00903D54" w:rsidP="00BD3350">
      <w:pPr>
        <w:pStyle w:val="Tekstprzypisudolnego"/>
        <w:jc w:val="both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17BF69C3" w14:textId="77777777" w:rsidR="00DA6E0F" w:rsidRPr="00BD3350" w:rsidRDefault="00DA6E0F" w:rsidP="00BD3350">
      <w:pPr>
        <w:pStyle w:val="Tekstprzypisudolnego"/>
        <w:jc w:val="both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25492A1E" w14:textId="77777777" w:rsidR="003222BB" w:rsidRPr="00BD3350" w:rsidRDefault="003222BB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02E1974B" w14:textId="77777777" w:rsidR="00C90B86" w:rsidRPr="00BD3350" w:rsidRDefault="00C90B86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2375DC48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2FB5B" w14:textId="21981856" w:rsidR="008125E7" w:rsidRDefault="005B0AC0" w:rsidP="008125E7">
    <w:pPr>
      <w:pStyle w:val="Nagwek"/>
    </w:pPr>
    <w:r w:rsidRPr="009F0E3B">
      <w:rPr>
        <w:noProof/>
        <w:lang w:eastAsia="pl-PL"/>
      </w:rPr>
      <w:drawing>
        <wp:inline distT="0" distB="0" distL="0" distR="0" wp14:anchorId="1B64D8AA" wp14:editId="16FDCC6C">
          <wp:extent cx="5753100" cy="742950"/>
          <wp:effectExtent l="0" t="0" r="0" b="0"/>
          <wp:docPr id="1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51ACCC" w14:textId="77777777" w:rsidR="008125E7" w:rsidRDefault="00812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9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2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5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37399">
    <w:abstractNumId w:val="16"/>
  </w:num>
  <w:num w:numId="2" w16cid:durableId="1452557264">
    <w:abstractNumId w:val="25"/>
  </w:num>
  <w:num w:numId="3" w16cid:durableId="1334407338">
    <w:abstractNumId w:val="13"/>
  </w:num>
  <w:num w:numId="4" w16cid:durableId="10838938">
    <w:abstractNumId w:val="32"/>
  </w:num>
  <w:num w:numId="5" w16cid:durableId="1464272600">
    <w:abstractNumId w:val="24"/>
  </w:num>
  <w:num w:numId="6" w16cid:durableId="728111620">
    <w:abstractNumId w:val="19"/>
  </w:num>
  <w:num w:numId="7" w16cid:durableId="915439445">
    <w:abstractNumId w:val="17"/>
  </w:num>
  <w:num w:numId="8" w16cid:durableId="750197052">
    <w:abstractNumId w:val="3"/>
  </w:num>
  <w:num w:numId="9" w16cid:durableId="1461874682">
    <w:abstractNumId w:val="33"/>
  </w:num>
  <w:num w:numId="10" w16cid:durableId="466897489">
    <w:abstractNumId w:val="12"/>
  </w:num>
  <w:num w:numId="11" w16cid:durableId="1500004270">
    <w:abstractNumId w:val="7"/>
  </w:num>
  <w:num w:numId="12" w16cid:durableId="919876627">
    <w:abstractNumId w:val="15"/>
  </w:num>
  <w:num w:numId="13" w16cid:durableId="1900940439">
    <w:abstractNumId w:val="6"/>
  </w:num>
  <w:num w:numId="14" w16cid:durableId="838421315">
    <w:abstractNumId w:val="34"/>
  </w:num>
  <w:num w:numId="15" w16cid:durableId="149641901">
    <w:abstractNumId w:val="1"/>
  </w:num>
  <w:num w:numId="16" w16cid:durableId="1537280732">
    <w:abstractNumId w:val="21"/>
  </w:num>
  <w:num w:numId="17" w16cid:durableId="1531843803">
    <w:abstractNumId w:val="31"/>
  </w:num>
  <w:num w:numId="18" w16cid:durableId="1324045706">
    <w:abstractNumId w:val="36"/>
  </w:num>
  <w:num w:numId="19" w16cid:durableId="1566991424">
    <w:abstractNumId w:val="10"/>
  </w:num>
  <w:num w:numId="20" w16cid:durableId="818230554">
    <w:abstractNumId w:val="14"/>
  </w:num>
  <w:num w:numId="21" w16cid:durableId="1871187356">
    <w:abstractNumId w:val="38"/>
  </w:num>
  <w:num w:numId="22" w16cid:durableId="1503396182">
    <w:abstractNumId w:val="27"/>
  </w:num>
  <w:num w:numId="23" w16cid:durableId="1758090073">
    <w:abstractNumId w:val="29"/>
  </w:num>
  <w:num w:numId="24" w16cid:durableId="1450467287">
    <w:abstractNumId w:val="2"/>
  </w:num>
  <w:num w:numId="25" w16cid:durableId="1943142482">
    <w:abstractNumId w:val="30"/>
  </w:num>
  <w:num w:numId="26" w16cid:durableId="1898122109">
    <w:abstractNumId w:val="35"/>
  </w:num>
  <w:num w:numId="27" w16cid:durableId="1934045395">
    <w:abstractNumId w:val="9"/>
  </w:num>
  <w:num w:numId="28" w16cid:durableId="1444109502">
    <w:abstractNumId w:val="4"/>
  </w:num>
  <w:num w:numId="29" w16cid:durableId="1035278841">
    <w:abstractNumId w:val="11"/>
  </w:num>
  <w:num w:numId="30" w16cid:durableId="440731807">
    <w:abstractNumId w:val="37"/>
  </w:num>
  <w:num w:numId="31" w16cid:durableId="2120172835">
    <w:abstractNumId w:val="28"/>
  </w:num>
  <w:num w:numId="32" w16cid:durableId="562563918">
    <w:abstractNumId w:val="23"/>
  </w:num>
  <w:num w:numId="33" w16cid:durableId="1798523950">
    <w:abstractNumId w:val="5"/>
  </w:num>
  <w:num w:numId="34" w16cid:durableId="1399203467">
    <w:abstractNumId w:val="26"/>
  </w:num>
  <w:num w:numId="35" w16cid:durableId="1693529551">
    <w:abstractNumId w:val="0"/>
  </w:num>
  <w:num w:numId="39" w16cid:durableId="569000465">
    <w:abstractNumId w:val="8"/>
  </w:num>
  <w:num w:numId="40" w16cid:durableId="1381595140">
    <w:abstractNumId w:val="20"/>
  </w:num>
  <w:num w:numId="41" w16cid:durableId="20034650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F60"/>
    <w:rsid w:val="0009633A"/>
    <w:rsid w:val="000A0DFF"/>
    <w:rsid w:val="000A1A16"/>
    <w:rsid w:val="000F162C"/>
    <w:rsid w:val="000F5809"/>
    <w:rsid w:val="00105933"/>
    <w:rsid w:val="00113A90"/>
    <w:rsid w:val="0011402F"/>
    <w:rsid w:val="00140A97"/>
    <w:rsid w:val="00145792"/>
    <w:rsid w:val="00147842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204D7C"/>
    <w:rsid w:val="00206CA3"/>
    <w:rsid w:val="00220245"/>
    <w:rsid w:val="00225777"/>
    <w:rsid w:val="002259DF"/>
    <w:rsid w:val="002468A1"/>
    <w:rsid w:val="00262F9D"/>
    <w:rsid w:val="002735D3"/>
    <w:rsid w:val="00282992"/>
    <w:rsid w:val="002907DE"/>
    <w:rsid w:val="002B364A"/>
    <w:rsid w:val="002E6E73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2B1E"/>
    <w:rsid w:val="004653C8"/>
    <w:rsid w:val="0046792D"/>
    <w:rsid w:val="00467DB3"/>
    <w:rsid w:val="00481724"/>
    <w:rsid w:val="0048205A"/>
    <w:rsid w:val="00484BAA"/>
    <w:rsid w:val="004917A9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0AC0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444FD"/>
    <w:rsid w:val="00747CD1"/>
    <w:rsid w:val="00763737"/>
    <w:rsid w:val="007665FB"/>
    <w:rsid w:val="0077799E"/>
    <w:rsid w:val="00781FB6"/>
    <w:rsid w:val="0078479C"/>
    <w:rsid w:val="007A08E5"/>
    <w:rsid w:val="007A3311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DDB"/>
    <w:rsid w:val="0085248F"/>
    <w:rsid w:val="0086618D"/>
    <w:rsid w:val="00866FC8"/>
    <w:rsid w:val="00870578"/>
    <w:rsid w:val="00871624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3649C"/>
    <w:rsid w:val="0094584C"/>
    <w:rsid w:val="009523C4"/>
    <w:rsid w:val="00957CA7"/>
    <w:rsid w:val="009636BA"/>
    <w:rsid w:val="0097135E"/>
    <w:rsid w:val="009928F4"/>
    <w:rsid w:val="009B092A"/>
    <w:rsid w:val="009B756C"/>
    <w:rsid w:val="009C4A3B"/>
    <w:rsid w:val="009D3368"/>
    <w:rsid w:val="009D60F2"/>
    <w:rsid w:val="009E26B0"/>
    <w:rsid w:val="009F3897"/>
    <w:rsid w:val="00A2473D"/>
    <w:rsid w:val="00A26D47"/>
    <w:rsid w:val="00A31439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4AE3"/>
    <w:rsid w:val="00B833D2"/>
    <w:rsid w:val="00B95D67"/>
    <w:rsid w:val="00B96B5F"/>
    <w:rsid w:val="00BA1706"/>
    <w:rsid w:val="00BB08BC"/>
    <w:rsid w:val="00BB4C2C"/>
    <w:rsid w:val="00BB60B6"/>
    <w:rsid w:val="00BC337C"/>
    <w:rsid w:val="00BC75E0"/>
    <w:rsid w:val="00BD1AEB"/>
    <w:rsid w:val="00BD3350"/>
    <w:rsid w:val="00BD7815"/>
    <w:rsid w:val="00BE6A9E"/>
    <w:rsid w:val="00BF679F"/>
    <w:rsid w:val="00BF68B6"/>
    <w:rsid w:val="00C111AF"/>
    <w:rsid w:val="00C163A4"/>
    <w:rsid w:val="00C34D8B"/>
    <w:rsid w:val="00C50A37"/>
    <w:rsid w:val="00C626FD"/>
    <w:rsid w:val="00C730BD"/>
    <w:rsid w:val="00C762E8"/>
    <w:rsid w:val="00C86B17"/>
    <w:rsid w:val="00C90B86"/>
    <w:rsid w:val="00C9612F"/>
    <w:rsid w:val="00CA042F"/>
    <w:rsid w:val="00CD136C"/>
    <w:rsid w:val="00CD6AFD"/>
    <w:rsid w:val="00CD6C6D"/>
    <w:rsid w:val="00CE0B80"/>
    <w:rsid w:val="00CE41FA"/>
    <w:rsid w:val="00CE7579"/>
    <w:rsid w:val="00D02772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13B5"/>
    <w:rsid w:val="00EF21A4"/>
    <w:rsid w:val="00EF75A3"/>
    <w:rsid w:val="00F0228F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0717367"/>
  <w15:chartTrackingRefBased/>
  <w15:docId w15:val="{26EBAAF0-A8DC-4C0A-945D-272EC136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A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 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593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B0AC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6563-CB8C-4C04-A4B5-488AD4B4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Falkiewicz Karolina</dc:creator>
  <cp:keywords/>
  <cp:lastModifiedBy>Kowalski Piotr</cp:lastModifiedBy>
  <cp:revision>2</cp:revision>
  <dcterms:created xsi:type="dcterms:W3CDTF">2024-09-27T11:12:00Z</dcterms:created>
  <dcterms:modified xsi:type="dcterms:W3CDTF">2024-09-27T11:12:00Z</dcterms:modified>
</cp:coreProperties>
</file>