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4B1B17B1" w14:textId="581A8147" w:rsidR="00387421" w:rsidRDefault="00387421" w:rsidP="00387421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>PROJEKT OBWIESZCZENIA REFUNDACYJNEGO NR 77 (1 STYCZNIA 2025 r.)</w:t>
      </w:r>
    </w:p>
    <w:p w14:paraId="6968CA93" w14:textId="058A4E08" w:rsidR="00387421" w:rsidRPr="00694E14" w:rsidRDefault="00387421" w:rsidP="00387421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Prezentowane podsumowanie projektu obwieszczenia refundacyjnego nr 77 </w:t>
      </w:r>
      <w:r>
        <w:rPr>
          <w:rFonts w:ascii="Lato" w:hAnsi="Lato"/>
          <w:b/>
          <w:bCs/>
        </w:rPr>
        <w:t>nie stanowi jego ostatecznej wersji</w:t>
      </w:r>
      <w:r>
        <w:rPr>
          <w:rFonts w:ascii="Lato" w:hAnsi="Lato"/>
        </w:rPr>
        <w:t xml:space="preserve">, bowiem nadal trwają prace </w:t>
      </w:r>
      <w:r w:rsidRPr="00694E14">
        <w:rPr>
          <w:rFonts w:ascii="Lato" w:hAnsi="Lato"/>
        </w:rPr>
        <w:t xml:space="preserve">administracyjne nad </w:t>
      </w:r>
      <w:proofErr w:type="gramStart"/>
      <w:r w:rsidRPr="00694E14">
        <w:rPr>
          <w:rFonts w:ascii="Lato" w:hAnsi="Lato"/>
        </w:rPr>
        <w:t>finalnym</w:t>
      </w:r>
      <w:proofErr w:type="gramEnd"/>
      <w:r w:rsidRPr="00694E14">
        <w:rPr>
          <w:rFonts w:ascii="Lato" w:hAnsi="Lato"/>
        </w:rPr>
        <w:t xml:space="preserve"> wykazem refundowanych leków, środków spożywczych specjalnego przeznaczenia żywieniowego oraz wyrobów medycznych obowiązującym od 1 </w:t>
      </w:r>
      <w:r>
        <w:rPr>
          <w:rFonts w:ascii="Lato" w:hAnsi="Lato"/>
        </w:rPr>
        <w:t>stycznia</w:t>
      </w:r>
      <w:r w:rsidRPr="00694E14">
        <w:rPr>
          <w:rFonts w:ascii="Lato" w:hAnsi="Lato"/>
        </w:rPr>
        <w:t xml:space="preserve"> 202</w:t>
      </w:r>
      <w:r>
        <w:rPr>
          <w:rFonts w:ascii="Lato" w:hAnsi="Lato"/>
        </w:rPr>
        <w:t>5</w:t>
      </w:r>
      <w:r w:rsidRPr="00694E14">
        <w:rPr>
          <w:rFonts w:ascii="Lato" w:hAnsi="Lato"/>
        </w:rPr>
        <w:t xml:space="preserve"> r. </w:t>
      </w:r>
    </w:p>
    <w:p w14:paraId="74304B1B" w14:textId="733EA777" w:rsidR="00387421" w:rsidRPr="00387421" w:rsidRDefault="00387421" w:rsidP="00387421">
      <w:pPr>
        <w:spacing w:after="120" w:line="360" w:lineRule="auto"/>
        <w:jc w:val="both"/>
        <w:rPr>
          <w:rFonts w:ascii="Lato" w:hAnsi="Lato"/>
          <w:highlight w:val="yellow"/>
        </w:rPr>
      </w:pPr>
      <w:r w:rsidRPr="00694E14">
        <w:rPr>
          <w:rFonts w:ascii="Lato" w:hAnsi="Lato"/>
        </w:rPr>
        <w:t xml:space="preserve">Uwzględniając niniejszy </w:t>
      </w:r>
      <w:r w:rsidRPr="00885CAE">
        <w:rPr>
          <w:rFonts w:ascii="Lato" w:hAnsi="Lato"/>
        </w:rPr>
        <w:t>projekt, w pierwszym wykazie w roku 202</w:t>
      </w:r>
      <w:r w:rsidR="00885CAE" w:rsidRPr="00885CAE">
        <w:rPr>
          <w:rFonts w:ascii="Lato" w:hAnsi="Lato"/>
        </w:rPr>
        <w:t>5</w:t>
      </w:r>
      <w:r w:rsidRPr="00885CAE">
        <w:rPr>
          <w:rFonts w:ascii="Lato" w:hAnsi="Lato"/>
        </w:rPr>
        <w:t xml:space="preserve">, finansowaniem ze środków publicznych zostanie objętych </w:t>
      </w:r>
      <w:r w:rsidR="00885CAE" w:rsidRPr="00885CAE">
        <w:rPr>
          <w:rFonts w:ascii="Lato" w:hAnsi="Lato"/>
          <w:b/>
          <w:bCs/>
        </w:rPr>
        <w:t>31</w:t>
      </w:r>
      <w:r w:rsidRPr="00885CAE">
        <w:rPr>
          <w:rFonts w:ascii="Lato" w:hAnsi="Lato"/>
          <w:b/>
          <w:bCs/>
        </w:rPr>
        <w:t xml:space="preserve"> nowych cząsteczko – wskazań</w:t>
      </w:r>
      <w:r w:rsidRPr="00885CAE">
        <w:rPr>
          <w:rFonts w:ascii="Lato" w:hAnsi="Lato"/>
        </w:rPr>
        <w:t>, w tym:</w:t>
      </w:r>
    </w:p>
    <w:p w14:paraId="7BBE459D" w14:textId="5CD16ED2" w:rsidR="00387421" w:rsidRPr="00107618" w:rsidRDefault="00885CAE" w:rsidP="00387421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13</w:t>
      </w:r>
      <w:r w:rsidR="00387421" w:rsidRPr="00107618">
        <w:rPr>
          <w:rFonts w:ascii="Lato" w:hAnsi="Lato"/>
        </w:rPr>
        <w:t xml:space="preserve"> cząsteczko – wskazań onkologicznych,</w:t>
      </w:r>
    </w:p>
    <w:p w14:paraId="4D818D26" w14:textId="47CA9DDA" w:rsidR="00387421" w:rsidRPr="00107618" w:rsidRDefault="00885CAE" w:rsidP="00387421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18</w:t>
      </w:r>
      <w:r w:rsidR="00387421" w:rsidRPr="00107618">
        <w:rPr>
          <w:rFonts w:ascii="Lato" w:hAnsi="Lato"/>
        </w:rPr>
        <w:t xml:space="preserve"> cząsteczko - wskazania nieonkologiczn</w:t>
      </w:r>
      <w:r w:rsidRPr="00107618">
        <w:rPr>
          <w:rFonts w:ascii="Lato" w:hAnsi="Lato"/>
        </w:rPr>
        <w:t>ych</w:t>
      </w:r>
      <w:r w:rsidR="00387421" w:rsidRPr="00107618">
        <w:rPr>
          <w:rFonts w:ascii="Lato" w:hAnsi="Lato"/>
        </w:rPr>
        <w:t>,</w:t>
      </w:r>
    </w:p>
    <w:p w14:paraId="7E10C10B" w14:textId="6B439415" w:rsidR="00387421" w:rsidRPr="00107618" w:rsidRDefault="00885CAE" w:rsidP="00387421">
      <w:pPr>
        <w:pStyle w:val="Akapitzlist"/>
        <w:numPr>
          <w:ilvl w:val="0"/>
          <w:numId w:val="25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07618">
        <w:rPr>
          <w:rFonts w:ascii="Lato" w:hAnsi="Lato"/>
        </w:rPr>
        <w:t>12</w:t>
      </w:r>
      <w:r w:rsidR="00387421" w:rsidRPr="00107618">
        <w:rPr>
          <w:rFonts w:ascii="Lato" w:hAnsi="Lato"/>
        </w:rPr>
        <w:t xml:space="preserve"> cząsteczko - wskazania dedykowan</w:t>
      </w:r>
      <w:r w:rsidRPr="00107618">
        <w:rPr>
          <w:rFonts w:ascii="Lato" w:hAnsi="Lato"/>
        </w:rPr>
        <w:t>ych</w:t>
      </w:r>
      <w:r w:rsidR="00387421" w:rsidRPr="00107618">
        <w:rPr>
          <w:rFonts w:ascii="Lato" w:hAnsi="Lato"/>
        </w:rPr>
        <w:t xml:space="preserve"> chorobom rzadkim.</w:t>
      </w:r>
    </w:p>
    <w:p w14:paraId="63CAC5D2" w14:textId="6D2947DA" w:rsidR="00387421" w:rsidRPr="00885CAE" w:rsidRDefault="00387421" w:rsidP="00387421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107618">
        <w:rPr>
          <w:rFonts w:ascii="Lato" w:hAnsi="Lato" w:cs="Arial"/>
        </w:rPr>
        <w:t>Najwięcej nowych cząsteczko - wskazań onkologicznych w 202</w:t>
      </w:r>
      <w:r w:rsidR="00107618" w:rsidRPr="00107618">
        <w:rPr>
          <w:rFonts w:ascii="Lato" w:hAnsi="Lato" w:cs="Arial"/>
        </w:rPr>
        <w:t>5</w:t>
      </w:r>
      <w:r w:rsidRPr="00107618">
        <w:rPr>
          <w:rFonts w:ascii="Lato" w:hAnsi="Lato" w:cs="Arial"/>
        </w:rPr>
        <w:t xml:space="preserve"> r. obserwujemy</w:t>
      </w:r>
      <w:r w:rsidRPr="00885CAE">
        <w:rPr>
          <w:rFonts w:ascii="Lato" w:hAnsi="Lato" w:cs="Arial"/>
        </w:rPr>
        <w:t xml:space="preserve"> w </w:t>
      </w:r>
      <w:proofErr w:type="spellStart"/>
      <w:r w:rsidRPr="00885CAE">
        <w:rPr>
          <w:rFonts w:ascii="Lato" w:hAnsi="Lato" w:cs="Arial"/>
        </w:rPr>
        <w:t>hematoonkologii</w:t>
      </w:r>
      <w:proofErr w:type="spellEnd"/>
      <w:r w:rsidRPr="00885CAE">
        <w:rPr>
          <w:rFonts w:ascii="Lato" w:hAnsi="Lato" w:cs="Arial"/>
        </w:rPr>
        <w:t xml:space="preserve"> (</w:t>
      </w:r>
      <w:r w:rsidR="00107618">
        <w:rPr>
          <w:rFonts w:ascii="Lato" w:hAnsi="Lato" w:cs="Arial"/>
        </w:rPr>
        <w:t>7</w:t>
      </w:r>
      <w:r w:rsidRPr="00885CAE">
        <w:rPr>
          <w:rFonts w:ascii="Lato" w:hAnsi="Lato" w:cs="Arial"/>
        </w:rPr>
        <w:t xml:space="preserve">), w nowotworach </w:t>
      </w:r>
      <w:r w:rsidR="00107618">
        <w:rPr>
          <w:rFonts w:ascii="Lato" w:hAnsi="Lato" w:cs="Arial"/>
        </w:rPr>
        <w:t>układu oddechowego</w:t>
      </w:r>
      <w:r w:rsidRPr="00885CAE">
        <w:rPr>
          <w:rFonts w:ascii="Lato" w:hAnsi="Lato" w:cs="Arial"/>
        </w:rPr>
        <w:t xml:space="preserve"> (</w:t>
      </w:r>
      <w:r w:rsidR="00107618">
        <w:rPr>
          <w:rFonts w:ascii="Lato" w:hAnsi="Lato" w:cs="Arial"/>
        </w:rPr>
        <w:t>2</w:t>
      </w:r>
      <w:r w:rsidRPr="00885CAE">
        <w:rPr>
          <w:rFonts w:ascii="Lato" w:hAnsi="Lato" w:cs="Arial"/>
        </w:rPr>
        <w:t>)</w:t>
      </w:r>
      <w:r w:rsidR="00107618">
        <w:rPr>
          <w:rFonts w:ascii="Lato" w:hAnsi="Lato" w:cs="Arial"/>
        </w:rPr>
        <w:t>.</w:t>
      </w:r>
    </w:p>
    <w:p w14:paraId="7513E8D2" w14:textId="160967F6" w:rsidR="00387421" w:rsidRPr="00885CAE" w:rsidRDefault="00387421" w:rsidP="00387421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885CAE">
        <w:rPr>
          <w:rFonts w:ascii="Lato" w:hAnsi="Lato" w:cs="Arial"/>
        </w:rPr>
        <w:t>Najwięcej nowych cząsteczko - wskazań nieonkologicznych w 202</w:t>
      </w:r>
      <w:r w:rsidR="00107618">
        <w:rPr>
          <w:rFonts w:ascii="Lato" w:hAnsi="Lato" w:cs="Arial"/>
        </w:rPr>
        <w:t>5</w:t>
      </w:r>
      <w:r w:rsidRPr="00885CAE">
        <w:rPr>
          <w:rFonts w:ascii="Lato" w:hAnsi="Lato" w:cs="Arial"/>
        </w:rPr>
        <w:t xml:space="preserve"> r. obserwujemy w kardiologii (</w:t>
      </w:r>
      <w:r w:rsidR="00107618">
        <w:rPr>
          <w:rFonts w:ascii="Lato" w:hAnsi="Lato" w:cs="Arial"/>
        </w:rPr>
        <w:t>5</w:t>
      </w:r>
      <w:r w:rsidRPr="00885CAE">
        <w:rPr>
          <w:rFonts w:ascii="Lato" w:hAnsi="Lato" w:cs="Arial"/>
        </w:rPr>
        <w:t xml:space="preserve">), </w:t>
      </w:r>
      <w:r w:rsidR="00107618">
        <w:rPr>
          <w:rFonts w:ascii="Lato" w:hAnsi="Lato" w:cs="Arial"/>
        </w:rPr>
        <w:t>neurologii</w:t>
      </w:r>
      <w:r w:rsidRPr="00885CAE">
        <w:rPr>
          <w:rFonts w:ascii="Lato" w:hAnsi="Lato" w:cs="Arial"/>
        </w:rPr>
        <w:t xml:space="preserve"> (</w:t>
      </w:r>
      <w:r w:rsidR="00107618">
        <w:rPr>
          <w:rFonts w:ascii="Lato" w:hAnsi="Lato" w:cs="Arial"/>
        </w:rPr>
        <w:t>3</w:t>
      </w:r>
      <w:r w:rsidRPr="00885CAE">
        <w:rPr>
          <w:rFonts w:ascii="Lato" w:hAnsi="Lato" w:cs="Arial"/>
        </w:rPr>
        <w:t>)</w:t>
      </w:r>
      <w:r w:rsidR="00107618">
        <w:rPr>
          <w:rFonts w:ascii="Lato" w:hAnsi="Lato" w:cs="Arial"/>
        </w:rPr>
        <w:t>.</w:t>
      </w:r>
    </w:p>
    <w:p w14:paraId="17D7B0D6" w14:textId="77777777" w:rsidR="00387421" w:rsidRPr="00885CAE" w:rsidRDefault="00387421" w:rsidP="00387421">
      <w:pPr>
        <w:suppressAutoHyphens w:val="0"/>
        <w:spacing w:line="276" w:lineRule="auto"/>
        <w:jc w:val="both"/>
        <w:textAlignment w:val="auto"/>
        <w:rPr>
          <w:rFonts w:ascii="Lato" w:hAnsi="Lato"/>
        </w:rPr>
      </w:pPr>
    </w:p>
    <w:p w14:paraId="48A7AEA0" w14:textId="6E3304E9" w:rsidR="00387421" w:rsidRPr="00387421" w:rsidRDefault="00387421" w:rsidP="00387421">
      <w:pPr>
        <w:suppressAutoHyphens w:val="0"/>
        <w:autoSpaceDE w:val="0"/>
        <w:spacing w:after="0" w:line="360" w:lineRule="auto"/>
        <w:rPr>
          <w:rFonts w:ascii="Lato" w:hAnsi="Lato"/>
          <w:sz w:val="24"/>
          <w:szCs w:val="24"/>
          <w:highlight w:val="yellow"/>
        </w:rPr>
      </w:pPr>
      <w:r w:rsidRPr="00885CAE">
        <w:rPr>
          <w:rFonts w:ascii="Lato" w:hAnsi="Lato"/>
          <w:sz w:val="24"/>
          <w:szCs w:val="24"/>
        </w:rPr>
        <w:br w:type="page"/>
      </w:r>
      <w:r w:rsidR="00885CAE">
        <w:rPr>
          <w:noProof/>
        </w:rPr>
        <w:lastRenderedPageBreak/>
        <w:drawing>
          <wp:inline distT="0" distB="0" distL="0" distR="0" wp14:anchorId="4C927E81" wp14:editId="0C3C6166">
            <wp:extent cx="4352925" cy="2803492"/>
            <wp:effectExtent l="0" t="0" r="9525" b="16510"/>
            <wp:docPr id="47253626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0D5CA79-D76A-46E2-96FB-49E66CAE0D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85CAE">
        <w:rPr>
          <w:rFonts w:ascii="Lato" w:hAnsi="Lato"/>
          <w:sz w:val="24"/>
          <w:szCs w:val="24"/>
        </w:rPr>
        <w:t xml:space="preserve"> </w:t>
      </w:r>
      <w:r w:rsidR="00885CAE">
        <w:rPr>
          <w:noProof/>
        </w:rPr>
        <w:drawing>
          <wp:inline distT="0" distB="0" distL="0" distR="0" wp14:anchorId="5A0BECC9" wp14:editId="75D2621A">
            <wp:extent cx="4232910" cy="2802511"/>
            <wp:effectExtent l="0" t="0" r="15240" b="17145"/>
            <wp:docPr id="143680381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104527A-4B7B-4B3E-B490-148695C593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466A0C" w14:textId="5590EF5E" w:rsidR="004D093B" w:rsidRDefault="00885CAE" w:rsidP="00387421">
      <w:pPr>
        <w:suppressAutoHyphens w:val="0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562A7213" wp14:editId="7177CF9A">
            <wp:extent cx="4333875" cy="2796639"/>
            <wp:effectExtent l="0" t="0" r="9525" b="3810"/>
            <wp:docPr id="190292223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19C8C64-7E08-4BD1-B749-283AD55A8E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874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3BC529" wp14:editId="573C95FF">
            <wp:extent cx="4251366" cy="2795905"/>
            <wp:effectExtent l="0" t="0" r="15875" b="4445"/>
            <wp:docPr id="170436023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C9CAC52-56A2-4432-8150-D06BD397DF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D093B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701"/>
        <w:gridCol w:w="1701"/>
        <w:gridCol w:w="1983"/>
        <w:gridCol w:w="3262"/>
        <w:gridCol w:w="4781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FF7111" w:rsidRPr="004D093B" w14:paraId="57D9CCB7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345" w14:textId="74CACBF9" w:rsidR="004448D7" w:rsidRPr="004D093B" w:rsidRDefault="004448D7" w:rsidP="004448D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9CF6" w14:textId="04016958" w:rsidR="00FF7111" w:rsidRDefault="00FF7111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Lonsurf</w:t>
            </w:r>
            <w:proofErr w:type="spellEnd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F79B9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+</w:t>
            </w:r>
            <w:proofErr w:type="gramEnd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BF7A4C2" w14:textId="3EDB10A6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</w:t>
            </w:r>
            <w:r w:rsid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óżne produkty handlowe z </w:t>
            </w:r>
            <w:proofErr w:type="spellStart"/>
            <w:r w:rsid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bewacyzumabem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8663" w14:textId="6F471F97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triflurydyna</w:t>
            </w:r>
            <w:proofErr w:type="spellEnd"/>
            <w:r w:rsidR="00FF7111" w:rsidRPr="003D51FE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typiracyl</w:t>
            </w:r>
            <w:proofErr w:type="spellEnd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bewacyzumab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4AA0" w14:textId="695BCA54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9A9E" w14:textId="6629C5CF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JELITA GRUBEGO (ICD-10: C18 – C20)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659C" w14:textId="7A3F7931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obecnie finansowanej opcji terapeutycznej o leczenie</w:t>
            </w:r>
            <w:r w:rsidR="002E748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II</w:t>
            </w:r>
            <w:r w:rsidR="002E7482"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kolejnych liniach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</w:t>
            </w:r>
            <w:r w:rsidRPr="003D51F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zaawansowanym rakiem jelita grubego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triflurydyną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typiracylem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bewacyzumabem</w:t>
            </w:r>
            <w:proofErr w:type="spellEnd"/>
            <w:r w:rsidR="002E748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1B09D19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D7C9" w14:textId="55234F9B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F24A" w14:textId="67F578F4" w:rsidR="00FF7111" w:rsidRP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FF711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EA88" w14:textId="4F2E24A5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</w:t>
            </w:r>
            <w:r w:rsidRPr="00CC2A2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emiplimab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4197" w14:textId="016DEDA2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240E" w14:textId="26FAEC98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400" w14:textId="58B9E6BC" w:rsidR="00FF7111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cemiplimabem</w:t>
            </w:r>
            <w:proofErr w:type="spellEnd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opartą na związkach platyny </w:t>
            </w:r>
            <w:r w:rsidR="00FF711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</w:t>
            </w:r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na niedrobnokomórkowego raka płuca z ekspresją PD-L1 ≥1%, bez mutacji w genie EGFR oraz </w:t>
            </w:r>
            <w:proofErr w:type="spellStart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rearanżacji</w:t>
            </w:r>
            <w:proofErr w:type="spellEnd"/>
            <w:r w:rsidR="00FF7111"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genów ALK i ROS1</w:t>
            </w:r>
            <w:r w:rsidR="00FF7111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55BB30CE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161D" w14:textId="2DA7A92D" w:rsidR="00FF7111" w:rsidRPr="00E64860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BEB3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  <w:proofErr w:type="spellEnd"/>
          </w:p>
          <w:p w14:paraId="28BB06CA" w14:textId="71612FD1" w:rsidR="002E7482" w:rsidRPr="00E64860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>(forma podskórna)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8FAA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  <w:proofErr w:type="spellEnd"/>
          </w:p>
          <w:p w14:paraId="2A004C53" w14:textId="3F8D43D3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s.c.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D6EE" w14:textId="71420FA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4CF1" w14:textId="41D9A20C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8349" w14:textId="0A79A68C" w:rsidR="00FF7111" w:rsidRPr="00E64860" w:rsidRDefault="002E748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atezolizumab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w formie</w:t>
            </w:r>
            <w:r w:rsidR="00FF7111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podań podskórnych we wszystkich refundowanych wskazaniach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tej cząsteczki w aktualnym programie lekowym.</w:t>
            </w:r>
          </w:p>
        </w:tc>
      </w:tr>
      <w:tr w:rsidR="007F79B9" w:rsidRPr="004D093B" w14:paraId="2F304C7B" w14:textId="77777777" w:rsidTr="00D85772">
        <w:trPr>
          <w:cantSplit/>
          <w:trHeight w:val="88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1595AC31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FC19" w14:textId="38DCF496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>Cabometyx</w:t>
            </w:r>
            <w:proofErr w:type="spellEnd"/>
            <w:r w:rsidRPr="00E64860"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+</w:t>
            </w:r>
          </w:p>
          <w:p w14:paraId="51270B9C" w14:textId="54262FAB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4585" w14:textId="6E67EC80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sz w:val="18"/>
                <w:szCs w:val="18"/>
              </w:rPr>
              <w:t>Kabozantynib</w:t>
            </w:r>
            <w:proofErr w:type="spellEnd"/>
            <w:r w:rsidRPr="00E64860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</w:t>
            </w:r>
          </w:p>
          <w:p w14:paraId="61F52E7F" w14:textId="5B51C646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1FAAF8BE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9670D0E" w:rsidR="007F79B9" w:rsidRPr="00E64860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>LECZENIE CHORYCH NA RAKA NERKI (ICD-10 C64)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5220F671" w:rsidR="007F79B9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kabozantynibem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 linii terapii raka nerki w populacji pacjentów z pośrednim lub niekorzystnym rokowaniem wg IMDC. </w:t>
            </w:r>
          </w:p>
        </w:tc>
      </w:tr>
      <w:tr w:rsidR="00FF7111" w:rsidRPr="004D093B" w14:paraId="33D5AA32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3632" w14:textId="19E14F08" w:rsidR="00FF7111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E333" w14:textId="5DE516BB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Brukinsa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D67E" w14:textId="38A5DE9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zanubrutynib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9E1A" w14:textId="4E59652E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2EE0" w14:textId="568B6822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2B3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zanubrutynibem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opornego lub nawrotowego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strefy brzeżnej (MZL), po wcześniejszym zastosowaniu co najmniej 1 linii leczenia systemowego, w tym zawierającej przeciwciało anty-CD20.</w:t>
            </w:r>
          </w:p>
          <w:p w14:paraId="787822A2" w14:textId="10A2486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35D585A5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C3DE" w14:textId="73DF7EC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F08C" w14:textId="6498A852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Zynlonta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D69E" w14:textId="4F7E4BB2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lonkastuksymab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tezyryny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483B" w14:textId="3B2AD9CF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1AA" w14:textId="75F2B47C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F487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lonkastuksymabem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tezyryny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</w:t>
            </w:r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opornego lub nawrotowego </w:t>
            </w:r>
            <w:proofErr w:type="spellStart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rozlanego z dużych komórek B (DLBCL) lub </w:t>
            </w:r>
            <w:proofErr w:type="spellStart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2C6E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komórek B o wysokim stopniu złośliwości (HGBCL)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5FA7E8B" w14:textId="3B6BC612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4193F70D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570F8CD8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</w:t>
            </w:r>
            <w:r w:rsidR="007F79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6AE0317A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7482">
              <w:rPr>
                <w:rFonts w:ascii="Lato" w:hAnsi="Lato" w:cstheme="majorHAnsi"/>
                <w:b/>
                <w:bCs/>
                <w:sz w:val="18"/>
                <w:szCs w:val="18"/>
              </w:rPr>
              <w:t>Akeega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35D711E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</w:t>
            </w:r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>iraparyb</w:t>
            </w:r>
            <w:proofErr w:type="spellEnd"/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a</w:t>
            </w:r>
            <w:r w:rsidRPr="00CC2A27">
              <w:rPr>
                <w:rFonts w:ascii="Lato" w:hAnsi="Lato" w:cstheme="majorHAnsi"/>
                <w:i/>
                <w:iCs/>
                <w:sz w:val="18"/>
                <w:szCs w:val="18"/>
              </w:rPr>
              <w:t>birateron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7F2C84CB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66616634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537681D8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w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skojarzeniu z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prednizonem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prednizolonem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u dorosłych pacjentów z opornym na kastrację rakiem gruczołu krokowego z przerzutami (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mCRPC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) i mutacjami genów BRCA 1/2 (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germinalną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i/lub somatyczną),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u których nie jest wskazana chemioterapia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7F79B9" w:rsidRPr="004D093B" w14:paraId="79F6918C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7E0482BA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="007F79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24C10BC3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Tibsovo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1CECFC2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iwosydenib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4A93170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B.114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07E62DE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OSTRĄ BIAŁACZKĘ SZPIKOWĄ (ICD-10: C92.0)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99CE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 linii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iwosydenibem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azacytydyn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nowo rozpoznaną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ostrą białaczk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szpikową z mutacją w genie kodującym dehydrogenazę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izocytrynianu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1 (IDH1) R132,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niekwalifikujących się do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standardow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chemioterapi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induk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ującej.</w:t>
            </w:r>
          </w:p>
          <w:p w14:paraId="4B78C48F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- Technologia lekowa o wysokim stopniu innowacyjności</w:t>
            </w: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F6D2A24" w14:textId="457018F1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59AF2A0C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4A2C3A82" w:rsidR="007F79B9" w:rsidRPr="004D093B" w:rsidRDefault="002A56D5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9</w:t>
            </w:r>
            <w:r w:rsidR="007F79B9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7879B5E8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Ayvakyt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704475BF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awaprytynib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0D6612F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B.115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1FF1EA24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LECZENIE AGRESYWNEJ MASTOCYTOZY UKŁADOWEJ, MASTOCYTOZY UKŁADOWEJ Z WSPÓŁISTNIEJĄCYM NOWOTWOREM UKŁADU KRWIOTWÓRCZEGO ORAZ BIAŁACZKI MASTOCYTARNEJ (ICD-10: C96.2, C94.3, D47.9)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3634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awaprytynibem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agresywn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zę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układow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 (ASM)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mastocytoz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proofErr w:type="spellEnd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układow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współistniejącym nowotworem układu krwiotwórczego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(SM-AHN)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lub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białaczk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ę</w:t>
            </w:r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102">
              <w:rPr>
                <w:rFonts w:ascii="Lato" w:hAnsi="Lato" w:cstheme="majorHAnsi"/>
                <w:color w:val="000000"/>
                <w:sz w:val="18"/>
                <w:szCs w:val="18"/>
              </w:rPr>
              <w:t>mastocytarn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(MCL), po wcześniejszym zastosowaniu co najmniej 1 linii leczenia ogólnoustrojowego.</w:t>
            </w:r>
          </w:p>
          <w:p w14:paraId="2749EA53" w14:textId="6352A7F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2EAEEA5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6D7057E7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0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6A194A2E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2E748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673FBFA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</w:t>
            </w:r>
            <w:r w:rsidRPr="00CC2A2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emiplimab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69EF6E42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B.159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EAA5D35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SZYJKI MACICY (ICD-10: C53)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58C68A8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cemiplimab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pacjentek z nawrotowym lub przerzutowym rakiem szyjki macicy i progresją choroby w trakcie lub po chemioterapii opartej na związkach platyny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7F79B9" w:rsidRPr="004D093B" w14:paraId="47236D55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5971" w14:textId="52C5917E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1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00AB" w14:textId="35A2EAF8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7EF" w14:textId="461D0509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0787" w14:textId="6256F50C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C.101.a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C20C" w14:textId="3D03B1D7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4ED6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refundacyjnego w leczeniu dorosłych pacjentów na opornego lub nawrotowego szpiczaka plazmocytowego o leczenie od V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bortezomibem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(schemat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PVd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), po wcześniejszym zastosowaniu leczenia zawierającego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  <w:p w14:paraId="292337E1" w14:textId="593F3764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527B1708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6844" w14:textId="3717187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2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C641" w14:textId="693CD463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8561" w14:textId="5DACCABB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A4F2" w14:textId="48EA4FEF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C.101.b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8F0F" w14:textId="60096228" w:rsidR="007F79B9" w:rsidRPr="00CC2A27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8CAB" w14:textId="77777777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skojarzeniu z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cyklofosfamidem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(schemat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PCd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</w:t>
            </w:r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ze szpiczakiem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plazmocytowym</w:t>
            </w:r>
            <w:proofErr w:type="spellEnd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których stosowano uprzednio co najmniej jedną linię leczenia, w tym zawierającą </w:t>
            </w:r>
            <w:proofErr w:type="spellStart"/>
            <w:r w:rsidRPr="000E5F94"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</w:p>
          <w:p w14:paraId="33AC6ACB" w14:textId="77777777" w:rsidR="007F79B9" w:rsidRPr="000E5F94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37FF26AA" w14:textId="7889AC15" w:rsidR="007F79B9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7F79B9" w:rsidRPr="004D093B" w14:paraId="189EA4B0" w14:textId="77777777" w:rsidTr="004448D7">
        <w:trPr>
          <w:cantSplit/>
          <w:trHeight w:val="2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91D6931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="002A56D5">
              <w:rPr>
                <w:rFonts w:ascii="Lato" w:hAnsi="Lato" w:cstheme="majorHAnsi"/>
                <w:sz w:val="18"/>
                <w:szCs w:val="18"/>
              </w:rPr>
              <w:t>3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549BA6A0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C4A7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725431D9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pomalidomid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230936FD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C.101.b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338F43C7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985D" w14:textId="77777777" w:rsidR="007F79B9" w:rsidRPr="00F64053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eczeni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 od II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(schemat Pd) </w:t>
            </w:r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ze szpiczakiem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plazmocytowym</w:t>
            </w:r>
            <w:proofErr w:type="spellEnd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których stosowano uprzednio co najmniej jedną linię leczenia, w tym zawierającą </w:t>
            </w:r>
            <w:proofErr w:type="spellStart"/>
            <w:r w:rsidRPr="00F64053"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</w:p>
          <w:p w14:paraId="465AD33E" w14:textId="77777777" w:rsidR="007F79B9" w:rsidRPr="000E5F94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0B1AA7A9" w14:textId="2566D8DA" w:rsidR="007F79B9" w:rsidRPr="004D093B" w:rsidRDefault="007F79B9" w:rsidP="007F79B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F6405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7F9CCF36" w14:textId="51B74B46" w:rsidR="004D093B" w:rsidRDefault="004D093B"/>
    <w:p w14:paraId="7FCF9A29" w14:textId="61C65501" w:rsidR="00E530B9" w:rsidRDefault="00E530B9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387421" w:rsidRPr="004D093B" w14:paraId="7522F87A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7C7375EE" w:rsidR="00387421" w:rsidRPr="004D093B" w:rsidRDefault="004448D7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250BE3BF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6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Ilaris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5CDF494E" w:rsidR="00387421" w:rsidRPr="004D093B" w:rsidRDefault="00387421" w:rsidP="002A56D5">
            <w:pPr>
              <w:spacing w:after="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4689">
              <w:rPr>
                <w:rFonts w:ascii="Lato" w:hAnsi="Lato"/>
                <w:i/>
                <w:iCs/>
                <w:sz w:val="18"/>
                <w:szCs w:val="18"/>
              </w:rPr>
              <w:t>kanakinumab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076733C5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4689">
              <w:rPr>
                <w:rFonts w:ascii="Lato" w:hAnsi="Lato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1D39C404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4689">
              <w:rPr>
                <w:rFonts w:ascii="Lato" w:hAnsi="Lato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90D0" w14:textId="3638BBB4" w:rsidR="00387421" w:rsidRDefault="0038742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Leczenie</w:t>
            </w:r>
            <w:r w:rsidRPr="004D35D9">
              <w:rPr>
                <w:rFonts w:ascii="Lato" w:hAnsi="Lato"/>
                <w:sz w:val="18"/>
                <w:szCs w:val="18"/>
              </w:rPr>
              <w:t xml:space="preserve"> pacjentów dorosłych z rozpoznaniem choroby </w:t>
            </w:r>
            <w:proofErr w:type="spellStart"/>
            <w:r w:rsidRPr="004D35D9">
              <w:rPr>
                <w:rFonts w:ascii="Lato" w:hAnsi="Lato"/>
                <w:sz w:val="18"/>
                <w:szCs w:val="18"/>
              </w:rPr>
              <w:t>Stilla</w:t>
            </w:r>
            <w:proofErr w:type="spellEnd"/>
            <w:r w:rsidRPr="004D35D9">
              <w:rPr>
                <w:rFonts w:ascii="Lato" w:hAnsi="Lato"/>
                <w:sz w:val="18"/>
                <w:szCs w:val="18"/>
              </w:rPr>
              <w:t xml:space="preserve"> </w:t>
            </w:r>
            <w:r w:rsidR="005C1412">
              <w:rPr>
                <w:rFonts w:ascii="Lato" w:hAnsi="Lato"/>
                <w:sz w:val="18"/>
                <w:szCs w:val="18"/>
              </w:rPr>
              <w:t>(</w:t>
            </w:r>
            <w:r w:rsidRPr="004D35D9">
              <w:rPr>
                <w:rFonts w:ascii="Lato" w:hAnsi="Lato"/>
                <w:sz w:val="18"/>
                <w:szCs w:val="18"/>
              </w:rPr>
              <w:t>AOSD</w:t>
            </w:r>
            <w:r w:rsidR="005C1412">
              <w:rPr>
                <w:rFonts w:ascii="Lato" w:hAnsi="Lato"/>
                <w:sz w:val="18"/>
                <w:szCs w:val="18"/>
              </w:rPr>
              <w:t>)</w:t>
            </w:r>
            <w:r w:rsidRPr="004D35D9">
              <w:rPr>
                <w:rFonts w:ascii="Lato" w:hAnsi="Lato"/>
                <w:sz w:val="18"/>
                <w:szCs w:val="18"/>
              </w:rPr>
              <w:t xml:space="preserve"> z dużą aktywnością choroby lub ze współistniejącym reumatoidalnym zapaleniem stawów oraz w populacji od 2 r.ż. z młodzieńczym idiopatycznym zapaleniem stawów </w:t>
            </w:r>
            <w:r w:rsidR="005C1412">
              <w:rPr>
                <w:rFonts w:ascii="Lato" w:hAnsi="Lato"/>
                <w:sz w:val="18"/>
                <w:szCs w:val="18"/>
              </w:rPr>
              <w:t>(</w:t>
            </w:r>
            <w:r w:rsidRPr="004D35D9">
              <w:rPr>
                <w:rFonts w:ascii="Lato" w:hAnsi="Lato"/>
                <w:sz w:val="18"/>
                <w:szCs w:val="18"/>
              </w:rPr>
              <w:t>MIZS</w:t>
            </w:r>
            <w:r w:rsidR="005C1412">
              <w:rPr>
                <w:rFonts w:ascii="Lato" w:hAnsi="Lato"/>
                <w:sz w:val="18"/>
                <w:szCs w:val="18"/>
              </w:rPr>
              <w:t>)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  <w:p w14:paraId="5797C9BB" w14:textId="72CBA6A2" w:rsidR="00387421" w:rsidRPr="004D093B" w:rsidRDefault="0038742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Nowy l</w:t>
            </w:r>
            <w:r w:rsidRPr="00944689">
              <w:rPr>
                <w:rFonts w:ascii="Lato" w:hAnsi="Lato"/>
                <w:sz w:val="18"/>
                <w:szCs w:val="18"/>
              </w:rPr>
              <w:t>ek biologiczny, inhibitor interleukiny -1 beta (IL-1 beta)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2A56D5" w:rsidRPr="004D093B" w14:paraId="61217492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2EBC" w14:textId="010625C1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818C" w14:textId="6EBC20F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8186" w14:textId="424985BD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i/>
                <w:iCs/>
                <w:sz w:val="18"/>
                <w:szCs w:val="18"/>
              </w:rPr>
              <w:t>toksyna botulinowa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A4DB" w14:textId="199C6D9E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color w:val="000000"/>
                <w:sz w:val="18"/>
                <w:szCs w:val="18"/>
              </w:rPr>
              <w:t>B.30.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41B8" w14:textId="2126049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/>
                <w:bCs/>
                <w:sz w:val="18"/>
                <w:szCs w:val="18"/>
              </w:rPr>
              <w:t>LECZENIE PACJENTÓW PEDIATRYCZNYCH ZE SPASTYCZNOŚCIĄ KOŃCZYN Z UŻYCIEM TOKSYNY BOTULINOWEJ TYPU A (ICD–10: I61, I63, I69, G35, G80, G82, G83, T90, T91)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E58E" w14:textId="77777777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color w:val="000000"/>
                <w:sz w:val="18"/>
                <w:szCs w:val="18"/>
              </w:rPr>
              <w:t>Rozszerzeni zakresu wskazań klinicznych dla toksyny botulinowej o pacjentów pediatrycznych ze spastycznością o etiologii innej niż w wyniku mózgowego porażenia dziecięcego, tj.: po przebytym niedokrwiennym lub krwotocznym udarze mózgu, po przebytym urazie OUN, z rozpoznaniem stwardnienia rozsianego, z rozpoznaniem paraplegii spastycznej.</w:t>
            </w:r>
          </w:p>
          <w:p w14:paraId="738219B7" w14:textId="4D95441D" w:rsidR="002A56D5" w:rsidRP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(Wskazanie off-</w:t>
            </w:r>
            <w:proofErr w:type="spellStart"/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label</w:t>
            </w:r>
            <w:proofErr w:type="spellEnd"/>
            <w:r w:rsidRPr="002A56D5">
              <w:rPr>
                <w:rFonts w:ascii="Lato" w:hAnsi="Lato" w:cstheme="majorHAnsi"/>
                <w:b/>
                <w:bCs/>
                <w:sz w:val="18"/>
                <w:szCs w:val="18"/>
              </w:rPr>
              <w:t>)</w:t>
            </w:r>
          </w:p>
        </w:tc>
      </w:tr>
      <w:tr w:rsidR="00FF7111" w:rsidRPr="004D093B" w14:paraId="3308228E" w14:textId="77777777" w:rsidTr="00E64860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6609" w14:textId="1A02F6E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551E" w14:textId="4945E8EF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Omvoh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1E77" w14:textId="1A05F942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mirikizumab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867" w14:textId="1D39B416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DB11" w14:textId="6FB1FCBA" w:rsidR="00FF7111" w:rsidRPr="008120BF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27364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2206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</w:t>
            </w:r>
            <w:r w:rsidRPr="00227364">
              <w:rPr>
                <w:rFonts w:ascii="Lato" w:hAnsi="Lato" w:cstheme="majorHAnsi"/>
                <w:color w:val="000000"/>
                <w:sz w:val="18"/>
                <w:szCs w:val="18"/>
              </w:rPr>
              <w:t>w wieku od 18 lat z rozpoznaną ciężką lub umiarkowaną postacią WZJG</w:t>
            </w:r>
            <w:r w:rsidR="005C141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573BFA8F" w14:textId="469D2A2D" w:rsidR="005C1412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dla pacjentów z WZJG.</w:t>
            </w:r>
          </w:p>
        </w:tc>
      </w:tr>
      <w:tr w:rsidR="00FF7111" w:rsidRPr="004D093B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1993850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24DC3939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Vesoxx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08F13BB5" w:rsidR="00FF7111" w:rsidRPr="004D093B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o</w:t>
            </w:r>
            <w:r w:rsidRPr="005C1412">
              <w:rPr>
                <w:rFonts w:ascii="Lato" w:hAnsi="Lato" w:cstheme="majorHAnsi"/>
                <w:i/>
                <w:iCs/>
                <w:sz w:val="18"/>
                <w:szCs w:val="18"/>
              </w:rPr>
              <w:t>ksybutyniny</w:t>
            </w:r>
            <w:proofErr w:type="spellEnd"/>
            <w:r w:rsidRPr="005C1412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chlorowodorek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2ACB97E8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B.73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F8F68B6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120B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NEUROGENNĄ NADREAKTYWNOŚCIĄ WYPIERACZA (ICD-10: N31)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4DF96C4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neurogennej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nadreaktywności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wypieracza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wynikającej z uszkodzenia rdzenia kręgowego lub z rozszczepienia kręgosłupa, u dzieci i młodzieży w wieku 6-18 lat.</w:t>
            </w:r>
          </w:p>
        </w:tc>
      </w:tr>
      <w:tr w:rsidR="00FF7111" w:rsidRPr="004D093B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20F58946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4404955A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Takhzyro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7EE27DC0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lanadelumab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1FF29B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44EFE171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C75C1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6881" w14:textId="77777777" w:rsidR="005C1412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Poszerzenie populacji pacjentów z dziedzicznym obrzękiem naczynioruchowym leczonych profilaktycznie w programie poprzez zmniejszenie liczny ataków w okresie 6 miesięcy (z 12 na 6) oraz usunięcie lokalizacji ataków branych pod uwagę</w:t>
            </w:r>
            <w:r w:rsidR="005C141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0AFE6806" w14:textId="7C8F3334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5C1412" w:rsidRPr="000E5F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6D899FDB" w14:textId="77777777" w:rsidTr="002A56D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441C3AC3" w:rsidR="00FF7111" w:rsidRPr="00E64860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</w:t>
            </w:r>
            <w:r w:rsidR="004448D7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5EDA7EA3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/>
                <w:b/>
                <w:bCs/>
                <w:sz w:val="18"/>
                <w:szCs w:val="18"/>
              </w:rPr>
              <w:t>Dupixent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4D180857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/>
                <w:i/>
                <w:iCs/>
                <w:sz w:val="18"/>
                <w:szCs w:val="18"/>
              </w:rPr>
              <w:t>dupilumab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0A3F979B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>B.124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44A7C723" w:rsidR="00FF7111" w:rsidRPr="00E64860" w:rsidRDefault="00FF7111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>LECZENIE CHORYCH Z CIĘŻKĄ POSTACIĄ ATOPOWEGO ZAPALENIA SKÓRY (ICD-10: L20)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6057F7B5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 xml:space="preserve">Rozszerzenie </w:t>
            </w:r>
            <w:r w:rsidR="0012601A" w:rsidRPr="00E64860">
              <w:rPr>
                <w:rFonts w:ascii="Lato" w:hAnsi="Lato"/>
                <w:sz w:val="18"/>
                <w:szCs w:val="18"/>
              </w:rPr>
              <w:t>wskazań refundacyjnych</w:t>
            </w:r>
            <w:r w:rsidRPr="00E64860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/>
                <w:sz w:val="18"/>
                <w:szCs w:val="18"/>
              </w:rPr>
              <w:t>dupilumabu</w:t>
            </w:r>
            <w:proofErr w:type="spellEnd"/>
            <w:r w:rsidRPr="00E64860">
              <w:rPr>
                <w:rFonts w:ascii="Lato" w:hAnsi="Lato"/>
                <w:sz w:val="18"/>
                <w:szCs w:val="18"/>
              </w:rPr>
              <w:t xml:space="preserve"> </w:t>
            </w:r>
            <w:r w:rsidR="0012601A" w:rsidRPr="00E64860">
              <w:rPr>
                <w:rFonts w:ascii="Lato" w:hAnsi="Lato"/>
                <w:sz w:val="18"/>
                <w:szCs w:val="18"/>
              </w:rPr>
              <w:t>w programie lekowym dedykowanym pacjentom z ciężkim atopowym zapaleniem skóry poprzez redukcję minimalnego progu wiekowego z 6 lat na 6 miesięcy.</w:t>
            </w:r>
          </w:p>
        </w:tc>
      </w:tr>
      <w:tr w:rsidR="00FF7111" w:rsidRPr="004D093B" w14:paraId="1AF8AB9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4C9E9556" w:rsidR="00FF7111" w:rsidRPr="00E64860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7</w:t>
            </w:r>
            <w:r w:rsidR="004448D7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66517AFA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Fintepla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5EE7ACFF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fenfluramina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1CAC431C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B.154.FM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77D61D79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ZESPOŁEM LENNOXA-GASTAUTA LUB Z ZESPOŁEM DRAVET (ICD-10: G40.4)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ACF5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zespołem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Lennoxa-Gastauta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z zespołem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Dravet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wieku 2 lat i powyżej, u których napady padaczkowe nie są w pełni kontrolowane pomimo zastosowania co najmniej trzech leków przeciwpadaczkowych.</w:t>
            </w:r>
          </w:p>
          <w:p w14:paraId="62391289" w14:textId="77777777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Kolejna opcja terapeutyczna dla pacjentów z rzadkimi zespołami padaczkowymi.</w:t>
            </w:r>
          </w:p>
          <w:p w14:paraId="64E75D71" w14:textId="42890263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2ACDF664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1D2D6A08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7249751E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17974E55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49682D3B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17FC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dla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seropozytywnych -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rawulizumab</w:t>
            </w:r>
            <w:proofErr w:type="spellEnd"/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wskazany do stosowania jako terapia dodatkowa do standardowego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7616BE">
              <w:rPr>
                <w:rFonts w:ascii="Lato" w:hAnsi="Lato" w:cstheme="majorHAnsi"/>
                <w:color w:val="000000"/>
                <w:sz w:val="18"/>
                <w:szCs w:val="18"/>
              </w:rPr>
              <w:t>leczenia dorosłych pacjentów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 miastenię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gravis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686710F4" w14:textId="4B50F96F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616B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1BF7A7CF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1AB3" w14:textId="494B32AC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3BB8" w14:textId="62E8BFB5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Voxzogo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AA89" w14:textId="160F6CEE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wosorytyd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EF15" w14:textId="49FDE25E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E64860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E401" w14:textId="749EA461" w:rsidR="00FF7111" w:rsidRPr="007616BE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5534C">
              <w:rPr>
                <w:rFonts w:ascii="Lato" w:hAnsi="Lato" w:cstheme="majorHAnsi"/>
                <w:color w:val="000000"/>
                <w:sz w:val="18"/>
                <w:szCs w:val="18"/>
              </w:rPr>
              <w:t>LECZENIE PACJETÓW Z ACHONDROPLAZJĄ (ICD-10: Q77.4)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16C7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643C5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achondroplazji u pacjentów w wieku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643C52">
              <w:rPr>
                <w:rFonts w:ascii="Lato" w:hAnsi="Lato" w:cstheme="majorHAnsi"/>
                <w:color w:val="000000"/>
                <w:sz w:val="18"/>
                <w:szCs w:val="18"/>
              </w:rPr>
              <w:t>4 miesięcy lub starszych, których nasady kości długiej nie są zamknięte.</w:t>
            </w:r>
          </w:p>
          <w:p w14:paraId="6ECBD001" w14:textId="15177563" w:rsidR="00FF7111" w:rsidRPr="007616BE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052C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FF7111" w:rsidRPr="004D093B" w14:paraId="286708CA" w14:textId="77777777" w:rsidTr="007F79B9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E1E8" w14:textId="26242A55" w:rsidR="00FF7111" w:rsidRPr="004D093B" w:rsidRDefault="002A56D5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</w:t>
            </w:r>
            <w:r w:rsidR="004448D7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65C3" w14:textId="63A14FE3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Luxturna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B3A6" w14:textId="256A1C47" w:rsidR="00FF7111" w:rsidRDefault="005C1412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</w:t>
            </w:r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oretygen</w:t>
            </w:r>
            <w:proofErr w:type="spellEnd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F711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neparwowek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978F" w14:textId="44012F32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E64860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21E3" w14:textId="5FA2D2A1" w:rsidR="00FF7111" w:rsidRPr="00D96CA5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WRODZONĄ ŚLEPOTĘ LEBERA (LCA) Z BIALLELICZNĄ MUTACJĄ GENU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RPE65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(ICD-10: H35.5)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1A7" w14:textId="77777777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w wieku od 4 do 35 lat chorujących na wrodzoną ślepotę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Lebera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wywołaną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bialleliczną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mutacją genu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RPE65</w:t>
            </w:r>
            <w:r w:rsid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0BF29C" w14:textId="60F62E86" w:rsidR="004448D7" w:rsidRPr="004448D7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052C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195"/>
        <w:gridCol w:w="3545"/>
        <w:gridCol w:w="8608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FF7111" w:rsidRPr="004D093B" w14:paraId="7E3371E2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8BB3" w14:textId="449E0277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2FEA" w14:textId="3C6232BC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EE57" w14:textId="2FDB8D06" w:rsidR="00FF7111" w:rsidRPr="00387421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CC2A2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3A46" w14:textId="533684B5" w:rsidR="00FF7111" w:rsidRDefault="00FF7111" w:rsidP="00FF7111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Zmiany w programie lekowym o charakterze porządkującym. W części badania diagnostyczne wykonywane w ramach programu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dokonano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modyfikacji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zapisów 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związanych 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częstotliwością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wykonywania badań diagnostycznych w ramach monitorowania leczenia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Dodano 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>również wskaźnik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6D2E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oceny skuteczności terapii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F7111" w:rsidRPr="004D093B" w14:paraId="50DA02B0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09A73E7B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bookmarkStart w:id="1" w:name="_Hlk184723454"/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1E411FF4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B.30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6574A330" w:rsidR="00FF7111" w:rsidRPr="00387421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87421">
              <w:rPr>
                <w:rFonts w:ascii="Lato" w:hAnsi="Lato"/>
                <w:bCs/>
                <w:sz w:val="18"/>
                <w:szCs w:val="18"/>
              </w:rPr>
              <w:t>LECZENIE PACJENTÓW PEDIATRYCZNYCH ZE SPASTYCZNOŚCIĄ KOŃCZYN Z UŻYCIEM TOKSYNY BOTULINOWEJ TYPU A (ICD–10: I61, I63, I69, G35, G80, G82, G83, T90, T91)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E2D4" w14:textId="69A21933" w:rsidR="004448D7" w:rsidRPr="004448D7" w:rsidRDefault="00FF7111" w:rsidP="004448D7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Odpowi</w:t>
            </w:r>
            <w:r w:rsidR="004448D7">
              <w:rPr>
                <w:rFonts w:ascii="Lato" w:hAnsi="Lato" w:cstheme="majorHAnsi"/>
                <w:sz w:val="18"/>
                <w:szCs w:val="18"/>
              </w:rPr>
              <w:t xml:space="preserve">adając </w:t>
            </w:r>
            <w:r>
              <w:rPr>
                <w:rFonts w:ascii="Lato" w:hAnsi="Lato" w:cstheme="majorHAnsi"/>
                <w:sz w:val="18"/>
                <w:szCs w:val="18"/>
              </w:rPr>
              <w:t>na niezaspokojoną dotychczas potrzebę terapeutyczną</w:t>
            </w:r>
            <w:r w:rsidR="004448D7">
              <w:rPr>
                <w:rFonts w:ascii="Lato" w:hAnsi="Lato" w:cstheme="majorHAnsi"/>
                <w:sz w:val="18"/>
                <w:szCs w:val="18"/>
              </w:rPr>
              <w:t xml:space="preserve">, dokonano kompleksowej 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>zmian</w:t>
            </w:r>
            <w:r w:rsidR="004448D7">
              <w:rPr>
                <w:rFonts w:ascii="Lato" w:hAnsi="Lato" w:cstheme="majorHAnsi"/>
                <w:sz w:val="18"/>
                <w:szCs w:val="18"/>
              </w:rPr>
              <w:t>y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 xml:space="preserve"> programu lekowego, który został wprowadzony </w:t>
            </w:r>
            <w:r w:rsidR="004448D7">
              <w:rPr>
                <w:rFonts w:ascii="Lato" w:hAnsi="Lato" w:cstheme="majorHAnsi"/>
                <w:sz w:val="18"/>
                <w:szCs w:val="18"/>
              </w:rPr>
              <w:t>ponad dekadę temu</w:t>
            </w:r>
            <w:r w:rsidR="004448D7" w:rsidRPr="004448D7">
              <w:rPr>
                <w:rFonts w:ascii="Lato" w:hAnsi="Lato" w:cstheme="majorHAnsi"/>
                <w:sz w:val="18"/>
                <w:szCs w:val="18"/>
              </w:rPr>
              <w:t xml:space="preserve"> wraz z rozszerzeniem wskazań dla pacjentów pediatrycznych ze spastycznością o etiologii innej niż w wyniku mózgowego porażenia dziecięcego, tj.:</w:t>
            </w:r>
          </w:p>
          <w:p w14:paraId="6DBBC524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po przebytym niedokrwiennym lub krwotocznym udarze mózgu,</w:t>
            </w:r>
          </w:p>
          <w:p w14:paraId="5786E605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po przebytym urazie OUN,</w:t>
            </w:r>
          </w:p>
          <w:p w14:paraId="6D33360A" w14:textId="77777777" w:rsidR="004448D7" w:rsidRPr="004448D7" w:rsidRDefault="004448D7" w:rsidP="004448D7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z rozpoznaniem stwardnienia rozsianego,</w:t>
            </w:r>
          </w:p>
          <w:p w14:paraId="4BC7F39F" w14:textId="7EE323E5" w:rsidR="00FF7111" w:rsidRPr="004448D7" w:rsidRDefault="004448D7" w:rsidP="00FF7111">
            <w:pPr>
              <w:numPr>
                <w:ilvl w:val="0"/>
                <w:numId w:val="30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sz w:val="18"/>
                <w:szCs w:val="18"/>
              </w:rPr>
              <w:t>z rozpoznaniem paraplegii spastycznej.</w:t>
            </w:r>
          </w:p>
        </w:tc>
      </w:tr>
      <w:bookmarkEnd w:id="1"/>
      <w:tr w:rsidR="00FF7111" w:rsidRPr="004D093B" w14:paraId="557463F1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E056" w14:textId="63F139A6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0AF4" w14:textId="1247300D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DF9A" w14:textId="500B0FC1" w:rsidR="00FF7111" w:rsidRPr="00387421" w:rsidRDefault="00FF7111" w:rsidP="00FF7111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9E36F4">
              <w:rPr>
                <w:rFonts w:ascii="Lato" w:hAnsi="Lato"/>
                <w:bCs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3F52" w14:textId="77777777" w:rsidR="00FF7111" w:rsidRDefault="00FF7111" w:rsidP="00FF7111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Zmiany techniczne w programie lekowym polegające na:</w:t>
            </w:r>
          </w:p>
          <w:p w14:paraId="61520F51" w14:textId="77777777" w:rsidR="00FF7111" w:rsidRPr="009E36F4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wykreśleniu zapisów dotyczących terapii Pd i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PVd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związku ze z</w:t>
            </w:r>
            <w:r w:rsidRPr="00FF7111">
              <w:rPr>
                <w:rFonts w:ascii="Lato" w:hAnsi="Lato" w:cstheme="majorHAnsi"/>
                <w:sz w:val="18"/>
                <w:szCs w:val="18"/>
              </w:rPr>
              <w:t xml:space="preserve">mianą kategorii dostępności refundacyjnej dla </w:t>
            </w:r>
            <w:proofErr w:type="spellStart"/>
            <w:r w:rsidRPr="00FF7111">
              <w:rPr>
                <w:rFonts w:ascii="Lato" w:hAnsi="Lato" w:cstheme="majorHAnsi"/>
                <w:sz w:val="18"/>
                <w:szCs w:val="18"/>
              </w:rPr>
              <w:t>pomalidomidu</w:t>
            </w:r>
            <w:proofErr w:type="spellEnd"/>
            <w:r w:rsidRPr="00FF7111">
              <w:rPr>
                <w:rFonts w:ascii="Lato" w:hAnsi="Lato" w:cstheme="majorHAnsi"/>
                <w:sz w:val="18"/>
                <w:szCs w:val="18"/>
              </w:rPr>
              <w:t xml:space="preserve"> do katalogu chemioterapii C.101.a,</w:t>
            </w:r>
          </w:p>
          <w:p w14:paraId="17E0AA2C" w14:textId="77777777" w:rsidR="00FF7111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wykreśleniu zapisów dotyczących dawkowania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formie do podania dożylnego w związku z niezłożeniem przez Wnioskodawcę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 wniosk</w:t>
            </w:r>
            <w:r>
              <w:rPr>
                <w:rFonts w:ascii="Lato" w:hAnsi="Lato" w:cstheme="majorHAnsi"/>
                <w:sz w:val="18"/>
                <w:szCs w:val="18"/>
              </w:rPr>
              <w:t>u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 o objęcie refundacją na kolejny okres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dla leku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Darzalex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>) w formie dożylnej (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od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1 </w:t>
            </w:r>
            <w:r w:rsidRPr="00561987">
              <w:rPr>
                <w:rFonts w:ascii="Lato" w:hAnsi="Lato" w:cstheme="majorHAnsi"/>
                <w:sz w:val="18"/>
                <w:szCs w:val="18"/>
              </w:rPr>
              <w:t xml:space="preserve">stycznia 2025 r. 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w ramach programu lekowego B.54. refundowany będzie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daratumumab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jedynie w formie do podania podskórnego),</w:t>
            </w:r>
          </w:p>
          <w:p w14:paraId="583DC9D2" w14:textId="4BA1C3C8" w:rsidR="00FF7111" w:rsidRPr="00FF7111" w:rsidRDefault="00FF7111" w:rsidP="00FF7111">
            <w:pPr>
              <w:pStyle w:val="Akapitzlist"/>
              <w:numPr>
                <w:ilvl w:val="0"/>
                <w:numId w:val="2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FF7111">
              <w:rPr>
                <w:rFonts w:ascii="Lato" w:hAnsi="Lato" w:cstheme="majorHAnsi"/>
                <w:sz w:val="18"/>
                <w:szCs w:val="18"/>
              </w:rPr>
              <w:t xml:space="preserve">dodaniu zapisu doprecyzowującego, iż obecne zapisy w programie dotyczące CRS i ICANS dotyczą leczenia </w:t>
            </w:r>
            <w:proofErr w:type="spellStart"/>
            <w:r w:rsidRPr="00FF7111">
              <w:rPr>
                <w:rFonts w:ascii="Lato" w:hAnsi="Lato" w:cstheme="majorHAnsi"/>
                <w:sz w:val="18"/>
                <w:szCs w:val="18"/>
              </w:rPr>
              <w:t>teklistamabem</w:t>
            </w:r>
            <w:proofErr w:type="spellEnd"/>
            <w:r w:rsidRPr="00FF7111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FF7111" w:rsidRPr="004D093B" w14:paraId="571B0832" w14:textId="77777777" w:rsidTr="00B907C0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2D13741C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43739C52" w:rsidR="00FF7111" w:rsidRPr="004448D7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B.57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E37215C" w:rsidR="00FF7111" w:rsidRPr="00387421" w:rsidRDefault="00FF7111" w:rsidP="00FF7111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bCs/>
                <w:sz w:val="18"/>
                <w:szCs w:val="18"/>
                <w:lang w:eastAsia="en-US"/>
              </w:rPr>
            </w:pPr>
            <w:r w:rsidRPr="00387421">
              <w:rPr>
                <w:rFonts w:ascii="Lato" w:hAnsi="Lato"/>
                <w:bCs/>
                <w:sz w:val="18"/>
                <w:szCs w:val="18"/>
              </w:rPr>
              <w:t>LECZENIE PACJENTÓW ZE SPASTYCZNOŚCIĄ KOŃCZYN Z UŻYCIEM TOKSYNY BOTULINOWEJ TYPU A (ICD–10: I61, I63, I69, G35, G80, G82, G83, T90, T91)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BA6A" w14:textId="77777777" w:rsidR="00FF7111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Ujednolicenie wskazań dla wszystkich produktów leczniczych zawierających toksynę botulinową typu A.</w:t>
            </w:r>
          </w:p>
          <w:p w14:paraId="37872EE1" w14:textId="77777777" w:rsidR="00FF7111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Usunięcie wymogu przyjęcia pozycji stojącej przy kwalifikacji do leczenia chorych ze spastycznością kończyn dolnych.</w:t>
            </w:r>
          </w:p>
          <w:p w14:paraId="4C89A20F" w14:textId="581E3452" w:rsidR="00FF7111" w:rsidRPr="004D093B" w:rsidRDefault="00FF7111" w:rsidP="00FF7111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Możliwość k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>ontynuacj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dla pełnoletnich pacjentów, </w:t>
            </w:r>
            <w:r w:rsidRPr="00DE0AEC">
              <w:rPr>
                <w:rFonts w:ascii="Lato" w:hAnsi="Lato" w:cstheme="majorHAnsi"/>
                <w:color w:val="000000"/>
                <w:sz w:val="18"/>
                <w:szCs w:val="18"/>
              </w:rPr>
              <w:t>którzy byli dotychczas leczeni w ramach programu lekowego B.30.</w:t>
            </w:r>
          </w:p>
        </w:tc>
      </w:tr>
      <w:tr w:rsidR="002A56D5" w:rsidRPr="004D093B" w14:paraId="6C56CD14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AA5" w14:textId="081AEDA3" w:rsidR="002A56D5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A345" w14:textId="3B9985C5" w:rsidR="002A56D5" w:rsidRPr="004448D7" w:rsidRDefault="002A56D5" w:rsidP="002A56D5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B.77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40C" w14:textId="0BADB069" w:rsidR="002A56D5" w:rsidRPr="00E64860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KLASYCZNEGO CHŁONIAKA HODGKINA (ICD-10: C81)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433A" w14:textId="21555775" w:rsidR="002A56D5" w:rsidRPr="00E64860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sz w:val="18"/>
                <w:szCs w:val="18"/>
              </w:rPr>
              <w:t xml:space="preserve">Rozszerzenie możliwości leczenia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nowych schemacie skojarzonym w I linii leczenia, tj.: leczenie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skojarzeniu z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etopozydem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cyklofosfamidem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doksorubicyną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dakarbazyną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i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deksametazonem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(schemat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BrECADD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) w I linii leczenia dorosłych pacjentów w wieku do 60 lat włącznie z uprzednio nieleczonym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chłoniakiem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Hodgkina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w III lub IV stadium zaawansowania. Niniejsza zmiana uwzględnia sposobu podawania odmiennych niż określony w Charakterystyce Produktu Leczniczego leku z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brentuksymabem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vedotin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 xml:space="preserve"> (off-</w:t>
            </w:r>
            <w:proofErr w:type="spellStart"/>
            <w:r w:rsidRPr="00E64860">
              <w:rPr>
                <w:rFonts w:ascii="Lato" w:hAnsi="Lato" w:cstheme="majorHAnsi"/>
                <w:sz w:val="18"/>
                <w:szCs w:val="18"/>
              </w:rPr>
              <w:t>label</w:t>
            </w:r>
            <w:proofErr w:type="spellEnd"/>
            <w:r w:rsidRPr="00E64860">
              <w:rPr>
                <w:rFonts w:ascii="Lato" w:hAnsi="Lato" w:cstheme="majorHAnsi"/>
                <w:sz w:val="18"/>
                <w:szCs w:val="18"/>
              </w:rPr>
              <w:t>).</w:t>
            </w:r>
          </w:p>
        </w:tc>
      </w:tr>
      <w:tr w:rsidR="002A56D5" w:rsidRPr="004D093B" w14:paraId="67293BB2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0964A54A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43994313" w:rsidR="002A56D5" w:rsidRPr="004448D7" w:rsidRDefault="002A56D5" w:rsidP="002A56D5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448D7">
              <w:rPr>
                <w:rFonts w:ascii="Lato" w:hAnsi="Lato" w:cstheme="majorHAnsi"/>
                <w:b/>
                <w:bCs/>
                <w:sz w:val="18"/>
                <w:szCs w:val="18"/>
              </w:rPr>
              <w:t>B.111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0D233776" w:rsidR="002A56D5" w:rsidRPr="004D093B" w:rsidRDefault="002A56D5" w:rsidP="002A56D5">
            <w:pPr>
              <w:spacing w:after="0" w:line="240" w:lineRule="auto"/>
              <w:ind w:right="89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54C47">
              <w:rPr>
                <w:rFonts w:ascii="Lato" w:hAnsi="Lato" w:cstheme="majorHAnsi"/>
                <w:sz w:val="18"/>
                <w:szCs w:val="18"/>
              </w:rPr>
              <w:t>LECZENIE CIĘŻKIEGO NIEDOBORU HORMONU WZROSTU U PACJENTÓW DOROSŁYCH ORAZ U MŁODZIEŻY PO ZAKOŃCZENIU PROCESU WZRASTANIA (ICD-10 E23.0)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9A0A" w14:textId="77777777" w:rsidR="002A56D5" w:rsidRPr="00B8026A" w:rsidRDefault="002A56D5" w:rsidP="002A56D5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B8026A">
              <w:rPr>
                <w:rFonts w:ascii="Lato" w:hAnsi="Lato" w:cstheme="majorHAnsi"/>
                <w:sz w:val="18"/>
                <w:szCs w:val="18"/>
              </w:rPr>
              <w:t xml:space="preserve">Obniżenie wieku kwalifikacji do programu lekowego do 14 r.ż. u dziewczynek oraz 16 r.ż., u chłopców pozwalającą na leczenie </w:t>
            </w:r>
            <w:proofErr w:type="spellStart"/>
            <w:r w:rsidRPr="00B8026A">
              <w:rPr>
                <w:rFonts w:ascii="Lato" w:hAnsi="Lato" w:cstheme="majorHAnsi"/>
                <w:sz w:val="18"/>
                <w:szCs w:val="18"/>
              </w:rPr>
              <w:t>rhGH</w:t>
            </w:r>
            <w:proofErr w:type="spellEnd"/>
            <w:r w:rsidRPr="00B8026A">
              <w:rPr>
                <w:rFonts w:ascii="Lato" w:hAnsi="Lato" w:cstheme="majorHAnsi"/>
                <w:sz w:val="18"/>
                <w:szCs w:val="18"/>
              </w:rPr>
              <w:t xml:space="preserve"> u osób, które nabyły ciężki niedobór hormonu wzrostu po zakończeniu procesu wzrastania lub nabyły je wcześniej. </w:t>
            </w:r>
            <w:r>
              <w:rPr>
                <w:rFonts w:ascii="Lato" w:hAnsi="Lato" w:cstheme="majorHAnsi"/>
                <w:sz w:val="18"/>
                <w:szCs w:val="18"/>
              </w:rPr>
              <w:t>Ponadto zmiany obejmują:</w:t>
            </w:r>
          </w:p>
          <w:p w14:paraId="0F3561CE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54C47">
              <w:rPr>
                <w:rFonts w:ascii="Lato" w:hAnsi="Lato" w:cstheme="majorHAnsi"/>
                <w:sz w:val="18"/>
                <w:szCs w:val="18"/>
              </w:rPr>
              <w:t xml:space="preserve">Zwiększenie schematu dawkowania </w:t>
            </w:r>
            <w:proofErr w:type="spellStart"/>
            <w:r w:rsidRPr="00A54C47">
              <w:rPr>
                <w:rFonts w:ascii="Lato" w:hAnsi="Lato" w:cstheme="majorHAnsi"/>
                <w:sz w:val="18"/>
                <w:szCs w:val="18"/>
              </w:rPr>
              <w:t>somatropiny</w:t>
            </w:r>
            <w:proofErr w:type="spellEnd"/>
            <w:r w:rsidRPr="00A54C47">
              <w:rPr>
                <w:rFonts w:ascii="Lato" w:hAnsi="Lato" w:cstheme="majorHAnsi"/>
                <w:sz w:val="18"/>
                <w:szCs w:val="18"/>
              </w:rPr>
              <w:t xml:space="preserve"> do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A54C47">
              <w:rPr>
                <w:rFonts w:ascii="Lato" w:hAnsi="Lato" w:cstheme="majorHAnsi"/>
                <w:sz w:val="18"/>
                <w:szCs w:val="18"/>
              </w:rPr>
              <w:t>1,0 mg/raz na dobę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0DF5CC2B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1F3840">
              <w:rPr>
                <w:rFonts w:ascii="Lato" w:hAnsi="Lato" w:cstheme="majorHAnsi"/>
                <w:sz w:val="18"/>
                <w:szCs w:val="18"/>
              </w:rPr>
              <w:t>zmiany o charakterze porządkującym w zakresie nazewnictwa programu lekowego,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1F3840">
              <w:rPr>
                <w:rFonts w:ascii="Lato" w:hAnsi="Lato" w:cstheme="majorHAnsi"/>
                <w:sz w:val="18"/>
                <w:szCs w:val="18"/>
              </w:rPr>
              <w:t>Zespołu Koordynacyjnego i badań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diagnostycznych.</w:t>
            </w:r>
          </w:p>
          <w:p w14:paraId="35CCDDA8" w14:textId="77777777" w:rsidR="002A56D5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Zmiany w zakresie badań diagnostycznych wykonywanych w ramach programu.</w:t>
            </w:r>
          </w:p>
          <w:p w14:paraId="4FCF84DF" w14:textId="6CA5F5A0" w:rsidR="002A56D5" w:rsidRPr="00FF7111" w:rsidRDefault="002A56D5" w:rsidP="002A56D5">
            <w:pPr>
              <w:pStyle w:val="Akapitzlist"/>
              <w:numPr>
                <w:ilvl w:val="0"/>
                <w:numId w:val="26"/>
              </w:numPr>
              <w:suppressAutoHyphens w:val="0"/>
              <w:spacing w:before="60" w:after="60" w:line="240" w:lineRule="auto"/>
              <w:jc w:val="both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FF7111">
              <w:rPr>
                <w:rFonts w:ascii="Lato" w:hAnsi="Lato" w:cstheme="majorHAnsi"/>
                <w:sz w:val="18"/>
                <w:szCs w:val="18"/>
              </w:rPr>
              <w:t>Zmiany dotyczące monitorowania leczenia.</w:t>
            </w:r>
          </w:p>
        </w:tc>
      </w:tr>
      <w:tr w:rsidR="002A56D5" w:rsidRPr="004D093B" w14:paraId="66D571B6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449FBDF0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3A5B9FA6" w:rsidR="002A56D5" w:rsidRPr="004448D7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48D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B.141.FM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3F4675D5" w:rsidR="002A56D5" w:rsidRPr="002A56D5" w:rsidRDefault="002A56D5" w:rsidP="002A56D5">
            <w:pPr>
              <w:autoSpaceDE w:val="0"/>
              <w:adjustRightInd w:val="0"/>
              <w:spacing w:after="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F3840">
              <w:rPr>
                <w:rFonts w:ascii="Lato" w:hAnsi="Lato" w:cstheme="majorHAnsi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25CA67BD" w:rsidR="002A56D5" w:rsidRPr="004D093B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Umieszczenie w pkt. 2 kryteriów kwalifikacji do leczenia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zapisu, że przeprowadzenie radykalnej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cystekomii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cechą R0 dotyczy jedynie raka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urotelialnego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pęcherza moczowego i moczowodu.</w:t>
            </w:r>
          </w:p>
        </w:tc>
      </w:tr>
      <w:tr w:rsidR="002A56D5" w:rsidRPr="004D093B" w14:paraId="760505AF" w14:textId="77777777" w:rsidTr="002A56D5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7BD52E67" w:rsidR="002A56D5" w:rsidRPr="004D093B" w:rsidRDefault="002A56D5" w:rsidP="002A56D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2F211975" w:rsidR="002A56D5" w:rsidRPr="004D093B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66B9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C.100.a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23DA6BF5" w:rsidR="002A56D5" w:rsidRPr="004D093B" w:rsidRDefault="002A56D5" w:rsidP="002A56D5">
            <w:pPr>
              <w:pStyle w:val="Style2"/>
              <w:widowControl/>
              <w:spacing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POMALIDOMID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3CDF" w14:textId="0D6C504D" w:rsidR="002A56D5" w:rsidRPr="003B46BF" w:rsidRDefault="002A56D5" w:rsidP="002A56D5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pomalidomidu</w:t>
            </w:r>
            <w:proofErr w:type="spellEnd"/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54.</w:t>
            </w: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katalogu </w:t>
            </w:r>
            <w:r w:rsidRPr="00766B94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chemioterapii C.100.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a.</w:t>
            </w:r>
          </w:p>
        </w:tc>
      </w:tr>
    </w:tbl>
    <w:p w14:paraId="08AE375A" w14:textId="43C53898" w:rsidR="0056748F" w:rsidRPr="004D093B" w:rsidRDefault="0056748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2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387421" w:rsidRPr="004D093B" w14:paraId="3E62A70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33030AD" w:rsidR="00387421" w:rsidRPr="004D093B" w:rsidRDefault="00E22AAD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15BA56F6" w:rsidR="00387421" w:rsidRPr="00387421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Acarizax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28A6E1A7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tandaryzowany wyciąg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alergenowy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roztoczy kurzu domowego (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pteronyssinus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farina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85AF" w14:textId="45D538B2" w:rsidR="00387421" w:rsidRDefault="00387421" w:rsidP="0038742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 xml:space="preserve">Leczenie dorosłych chorych (w wieku od 18 do 65 lat), u których rozpoznanie zostało postawione na podstawie wywiadu klinicznego oraz dodatniego testu alergicznego na roztocze kurzu domowego (punktowe testy skórne lub swoiste immunoglobuliny E) oraz co najmniej jednego z poniższych stanów:  </w:t>
            </w:r>
          </w:p>
          <w:p w14:paraId="11B43F07" w14:textId="77777777" w:rsidR="00387421" w:rsidRDefault="00387421" w:rsidP="0038742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 xml:space="preserve">· umiarkowany do ciężkiego alergiczny nieżyt nosa spowodowany kurzem domowym, utrzymujący się pomimo stosowania leków łagodzących objawy;  </w:t>
            </w:r>
          </w:p>
          <w:p w14:paraId="0440D22F" w14:textId="4AE2A8B7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6E42A5">
              <w:rPr>
                <w:rFonts w:ascii="Lato" w:hAnsi="Lato"/>
                <w:sz w:val="18"/>
                <w:szCs w:val="18"/>
              </w:rPr>
              <w:t>· astma oskrzelowa wywołana alergią na kurz domowy, niekontrolowana dobrze za pomocą wziewnych kortykosteroidów z towarzyszącym umiarkowanym do ciężkiego alergicznym nieżytem nosa wywołanym przez kurz domowy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746F3EA8" w:rsidR="00387421" w:rsidRPr="004D093B" w:rsidRDefault="00387421" w:rsidP="003874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</w:t>
            </w:r>
            <w:r w:rsidRPr="00F80B3F">
              <w:rPr>
                <w:rFonts w:ascii="Lato" w:hAnsi="Lato"/>
                <w:sz w:val="18"/>
                <w:szCs w:val="18"/>
              </w:rPr>
              <w:t>ozszerzeni</w:t>
            </w:r>
            <w:r>
              <w:rPr>
                <w:rFonts w:ascii="Lato" w:hAnsi="Lato"/>
                <w:sz w:val="18"/>
                <w:szCs w:val="18"/>
              </w:rPr>
              <w:t>e</w:t>
            </w:r>
            <w:r w:rsidRPr="00F80B3F">
              <w:rPr>
                <w:rFonts w:ascii="Lato" w:hAnsi="Lato"/>
                <w:sz w:val="18"/>
                <w:szCs w:val="18"/>
              </w:rPr>
              <w:t xml:space="preserve"> populacji pacjentów o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F80B3F">
              <w:rPr>
                <w:rFonts w:ascii="Lato" w:hAnsi="Lato"/>
                <w:sz w:val="18"/>
                <w:szCs w:val="18"/>
              </w:rPr>
              <w:t>dorosłych chorych (w wieku od 18 do 65 lat) z alergicznym nieżytem nosa spowodowanym kurzem domowym oraz o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F80B3F">
              <w:rPr>
                <w:rFonts w:ascii="Lato" w:hAnsi="Lato"/>
                <w:sz w:val="18"/>
                <w:szCs w:val="18"/>
              </w:rPr>
              <w:t>dorosłych chorych pacjentów z astmą oskrzelową wywołaną alergią na kurz domowy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FF7111" w:rsidRPr="004D093B" w14:paraId="6E8A191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1AC864C6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3F02AF46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Dopegyt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650ADFDA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metyldopa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6D3A9CB6" w:rsidR="00FF7111" w:rsidRPr="00E22AAD" w:rsidRDefault="00FF7111" w:rsidP="00FF7111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Nadciśnienie tętnicze w ciąży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3376" w14:textId="77777777" w:rsidR="00FF7111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10823724" w14:textId="418E879B" w:rsidR="00E22AAD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0C27651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595527FC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4A9" w14:textId="3BD7E093" w:rsidR="00FF7111" w:rsidRPr="004D093B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C8423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4CDEEBCA" w:rsidR="00FF7111" w:rsidRPr="004D093B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riwaroksaban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1E8CA3ED" w:rsidR="00FF7111" w:rsidRPr="00E22AAD" w:rsidRDefault="00FF711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zastoinowa niewydolność serca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53FE" w14:textId="1D21A6FE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refundacją nowego wskazania klinicznego w stosunku do dotychczas ujętej na wykazie substancji czynnej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riwaroksabanu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1D464AF" w14:textId="03781F0E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19306AE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C4A6" w14:textId="1DFFA6C6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C1DC" w14:textId="7182036C" w:rsidR="00FF7111" w:rsidRPr="00C8423F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FF8C" w14:textId="54A647FA" w:rsidR="00FF7111" w:rsidRPr="00C8423F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dabigatran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638A" w14:textId="14799038" w:rsidR="00FF7111" w:rsidRPr="00E22AAD" w:rsidRDefault="00FF7111" w:rsidP="002A56D5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niewydolność serca (klasa ≥II wg NYHA)</w:t>
            </w:r>
            <w:r w:rsidRPr="00E22AAD">
              <w:rPr>
                <w:rFonts w:ascii="Lato" w:hAnsi="Lato"/>
                <w:sz w:val="18"/>
                <w:szCs w:val="18"/>
              </w:rPr>
              <w:fldChar w:fldCharType="begin"/>
            </w:r>
            <w:r w:rsidRPr="00E22AAD">
              <w:rPr>
                <w:rFonts w:ascii="Lato" w:hAnsi="Lato"/>
                <w:sz w:val="18"/>
                <w:szCs w:val="18"/>
              </w:rPr>
              <w:fldChar w:fldCharType="separate"/>
            </w:r>
            <w:r w:rsidRPr="00E22AAD">
              <w:rPr>
                <w:rFonts w:ascii="Lato" w:hAnsi="Lato"/>
                <w:sz w:val="18"/>
                <w:szCs w:val="18"/>
              </w:rPr>
              <w:t>«wskazanie/numer_zalacznika»</w:t>
            </w:r>
            <w:r w:rsidRPr="00E22AAD">
              <w:rPr>
                <w:rFonts w:ascii="Lato" w:hAnsi="Lato"/>
                <w:sz w:val="18"/>
                <w:szCs w:val="18"/>
              </w:rPr>
              <w:fldChar w:fldCharType="end"/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8773" w14:textId="0EC4F25F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refundacją nowego wskazania klinicznego w stosunku do dotychczas ujętej na wykazie substancji czynnej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dabigatranu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C52A27D" w14:textId="21EB0D70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61E19886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1382" w14:textId="69217D9B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2EA7" w14:textId="26A5447E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A100" w14:textId="6685F846" w:rsidR="00FF7111" w:rsidRPr="0042352A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torasemid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38CB" w14:textId="685A1B14" w:rsidR="00FF7111" w:rsidRPr="00E22AAD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Niewydolność mięśnia sercowego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BAC9" w14:textId="77777777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316A9BA3" w14:textId="1CE08684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1C3F1FDE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2526" w14:textId="5D51C317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E38B" w14:textId="3CB657F9" w:rsidR="00FF7111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22F1" w14:textId="0E43C851" w:rsidR="00FF7111" w:rsidRPr="0042352A" w:rsidRDefault="004448D7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4448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eplerenon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A0D" w14:textId="3369E66C" w:rsidR="00FF7111" w:rsidRPr="00E22AAD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22AAD">
              <w:rPr>
                <w:rFonts w:ascii="Lato" w:hAnsi="Lato"/>
                <w:sz w:val="18"/>
                <w:szCs w:val="18"/>
              </w:rPr>
              <w:t>Niewydolność mięśnia sercowego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3318" w14:textId="77777777" w:rsidR="00E22AAD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63C51EE5" w14:textId="32D601F3" w:rsidR="00FF7111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FF7111" w:rsidRPr="004D093B" w14:paraId="2FD5BF7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F5C1" w14:textId="7DF79E39" w:rsidR="00FF7111" w:rsidRPr="004D093B" w:rsidRDefault="00E22AAD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C646" w14:textId="361F4AF1" w:rsidR="00FF7111" w:rsidRPr="00E64860" w:rsidRDefault="00FF7111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Różna produkty 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717B" w14:textId="01CBF9D0" w:rsidR="00FF7111" w:rsidRPr="00E64860" w:rsidRDefault="007F79B9" w:rsidP="00FF711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trimetazydyna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2D83" w14:textId="0CC2FA06" w:rsidR="00FF7111" w:rsidRPr="00E64860" w:rsidRDefault="00FF7111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64860">
              <w:rPr>
                <w:rFonts w:ascii="Lato" w:hAnsi="Lato"/>
                <w:sz w:val="18"/>
                <w:szCs w:val="18"/>
              </w:rPr>
              <w:t xml:space="preserve">Leczenie dorosłych pacjentów ze stabilną dławicą piersiową, u których leczenie </w:t>
            </w:r>
            <w:proofErr w:type="spellStart"/>
            <w:r w:rsidRPr="00E64860">
              <w:rPr>
                <w:rFonts w:ascii="Lato" w:hAnsi="Lato"/>
                <w:sz w:val="18"/>
                <w:szCs w:val="18"/>
              </w:rPr>
              <w:t>przeciwdławicowe</w:t>
            </w:r>
            <w:proofErr w:type="spellEnd"/>
            <w:r w:rsidRPr="00E64860">
              <w:rPr>
                <w:rFonts w:ascii="Lato" w:hAnsi="Lato"/>
                <w:sz w:val="18"/>
                <w:szCs w:val="18"/>
              </w:rPr>
              <w:t xml:space="preserve"> pierwszego rzutu jest niewystarczające lub nie jest tolerowane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636" w14:textId="77777777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Objęcie refundacją nowego wskazania klinicznego w stosunku do dotychczas nie ujętej na wykazie substancji czynnej.</w:t>
            </w:r>
          </w:p>
          <w:p w14:paraId="3E53CC69" w14:textId="749644C6" w:rsidR="00FF7111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Refundacja w ramach trybu określonego w art. 30a ustawy o refundacji, tj. leków o ugruntowanej skuteczności klinicznej.</w:t>
            </w:r>
          </w:p>
        </w:tc>
      </w:tr>
      <w:tr w:rsidR="00E22AAD" w:rsidRPr="004D093B" w14:paraId="24229EDC" w14:textId="77777777" w:rsidTr="00B907C0">
        <w:trPr>
          <w:cantSplit/>
          <w:trHeight w:val="3104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0E97" w14:textId="3F0B5B52" w:rsidR="00E22AAD" w:rsidRPr="004D093B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750D" w14:textId="3E8FD464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Trulicity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1E0E" w14:textId="79850F72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dulaglut</w:t>
            </w:r>
            <w:r w:rsidR="007F79B9" w:rsidRPr="00E64860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yd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7C7C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co najmniej dwoma lekami hipoglikemizującymi, z HbA1c ≥ 7,5%, z otyłością definiowaną jako BMI ≥30 kg/m2 oraz bardzo wysokim ryzykiem sercowo-naczyniowym rozumianym jako: </w:t>
            </w:r>
            <w:proofErr w:type="gram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1)potwierdzona</w:t>
            </w:r>
            <w:proofErr w:type="gram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choroba sercowo-naczyniowa, lub 2)uszkodzenie innych narządów objawiające się poprzez: białkomocz lub przerost lewej komory lub retinopatię, lub 3)obecność 2 lub więcej głównych czynników ryzyka spośród wymienionych poniżej: </w:t>
            </w:r>
          </w:p>
          <w:p w14:paraId="24D636C3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-wiek ≥ 55 lat dla mężczyzn, ≥60 lat dla kobiet, </w:t>
            </w:r>
          </w:p>
          <w:p w14:paraId="132CE044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dyslipidemia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</w:p>
          <w:p w14:paraId="2A620D28" w14:textId="77777777" w:rsidR="007F79B9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-nadciśnienie tętnicze,</w:t>
            </w:r>
          </w:p>
          <w:p w14:paraId="45E7F0FA" w14:textId="3BA4551D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-palenie tytoniu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8441" w14:textId="501624B0" w:rsidR="00E22AAD" w:rsidRPr="00E64860" w:rsidRDefault="00E22AAD" w:rsidP="00E22AA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Powrót na wykaz </w:t>
            </w:r>
            <w:r w:rsidR="007F79B9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refundacyjny 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leków </w:t>
            </w:r>
            <w:proofErr w:type="spellStart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Trulicity</w:t>
            </w:r>
            <w:proofErr w:type="spellEnd"/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okresie tymczasowego braku</w:t>
            </w:r>
            <w:r w:rsidR="007F79B9"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finansowania ze środków publicznych</w:t>
            </w:r>
            <w:r w:rsidRPr="00E64860">
              <w:rPr>
                <w:rFonts w:ascii="Lato" w:hAnsi="Lato" w:cstheme="majorHAnsi"/>
                <w:color w:val="000000"/>
                <w:sz w:val="18"/>
                <w:szCs w:val="18"/>
              </w:rPr>
              <w:t>, we wskazaniu tożsamym w stosunku do poprzedniego.</w:t>
            </w: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sectPr w:rsidR="009D10B8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9AAA" w14:textId="77777777" w:rsidR="00454FD1" w:rsidRDefault="00454FD1">
      <w:pPr>
        <w:spacing w:after="0" w:line="240" w:lineRule="auto"/>
      </w:pPr>
      <w:r>
        <w:separator/>
      </w:r>
    </w:p>
  </w:endnote>
  <w:endnote w:type="continuationSeparator" w:id="0">
    <w:p w14:paraId="24FD1BF4" w14:textId="77777777" w:rsidR="00454FD1" w:rsidRDefault="0045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C7A0" w14:textId="77777777" w:rsidR="00454FD1" w:rsidRDefault="00454F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5433A4" w14:textId="77777777" w:rsidR="00454FD1" w:rsidRDefault="0045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36CF" w14:textId="4633511D" w:rsidR="005058F2" w:rsidRDefault="00143D0B">
    <w:pPr>
      <w:pStyle w:val="Nagwek"/>
    </w:pPr>
    <w:bookmarkStart w:id="3" w:name="_Hlk74147372"/>
    <w:bookmarkEnd w:id="3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1EC"/>
    <w:multiLevelType w:val="hybridMultilevel"/>
    <w:tmpl w:val="C46C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3" w15:restartNumberingAfterBreak="0">
    <w:nsid w:val="10A07FCB"/>
    <w:multiLevelType w:val="hybridMultilevel"/>
    <w:tmpl w:val="0BA65214"/>
    <w:lvl w:ilvl="0" w:tplc="39D87CB8">
      <w:numFmt w:val="bullet"/>
      <w:lvlText w:val="•"/>
      <w:lvlJc w:val="left"/>
      <w:pPr>
        <w:ind w:left="1065" w:hanging="705"/>
      </w:pPr>
      <w:rPr>
        <w:rFonts w:ascii="Lato" w:eastAsia="Calibri" w:hAnsi="Lato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65B2"/>
    <w:multiLevelType w:val="hybridMultilevel"/>
    <w:tmpl w:val="683C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9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67E73"/>
    <w:multiLevelType w:val="hybridMultilevel"/>
    <w:tmpl w:val="B47C761A"/>
    <w:lvl w:ilvl="0" w:tplc="0CEC0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7"/>
  </w:num>
  <w:num w:numId="2" w16cid:durableId="983047750">
    <w:abstractNumId w:val="5"/>
  </w:num>
  <w:num w:numId="3" w16cid:durableId="912206815">
    <w:abstractNumId w:val="8"/>
  </w:num>
  <w:num w:numId="4" w16cid:durableId="191924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4"/>
  </w:num>
  <w:num w:numId="6" w16cid:durableId="1164782895">
    <w:abstractNumId w:val="6"/>
  </w:num>
  <w:num w:numId="7" w16cid:durableId="1764568987">
    <w:abstractNumId w:val="10"/>
  </w:num>
  <w:num w:numId="8" w16cid:durableId="1605840971">
    <w:abstractNumId w:val="12"/>
  </w:num>
  <w:num w:numId="9" w16cid:durableId="969629549">
    <w:abstractNumId w:val="22"/>
  </w:num>
  <w:num w:numId="10" w16cid:durableId="1576276737">
    <w:abstractNumId w:val="2"/>
  </w:num>
  <w:num w:numId="11" w16cid:durableId="409036424">
    <w:abstractNumId w:val="26"/>
  </w:num>
  <w:num w:numId="12" w16cid:durableId="1526747669">
    <w:abstractNumId w:val="4"/>
  </w:num>
  <w:num w:numId="13" w16cid:durableId="1746950255">
    <w:abstractNumId w:val="13"/>
  </w:num>
  <w:num w:numId="14" w16cid:durableId="329715522">
    <w:abstractNumId w:val="15"/>
  </w:num>
  <w:num w:numId="15" w16cid:durableId="1837842867">
    <w:abstractNumId w:val="14"/>
  </w:num>
  <w:num w:numId="16" w16cid:durableId="1970238000">
    <w:abstractNumId w:val="23"/>
  </w:num>
  <w:num w:numId="17" w16cid:durableId="485172914">
    <w:abstractNumId w:val="18"/>
  </w:num>
  <w:num w:numId="18" w16cid:durableId="338780148">
    <w:abstractNumId w:val="9"/>
  </w:num>
  <w:num w:numId="19" w16cid:durableId="1977641737">
    <w:abstractNumId w:val="2"/>
  </w:num>
  <w:num w:numId="20" w16cid:durableId="1099830501">
    <w:abstractNumId w:val="1"/>
  </w:num>
  <w:num w:numId="21" w16cid:durableId="1796680411">
    <w:abstractNumId w:val="20"/>
  </w:num>
  <w:num w:numId="22" w16cid:durableId="1157845039">
    <w:abstractNumId w:val="19"/>
  </w:num>
  <w:num w:numId="23" w16cid:durableId="1318220489">
    <w:abstractNumId w:val="16"/>
  </w:num>
  <w:num w:numId="24" w16cid:durableId="791442922">
    <w:abstractNumId w:val="21"/>
  </w:num>
  <w:num w:numId="25" w16cid:durableId="65421285">
    <w:abstractNumId w:val="17"/>
  </w:num>
  <w:num w:numId="26" w16cid:durableId="1606185368">
    <w:abstractNumId w:val="11"/>
  </w:num>
  <w:num w:numId="27" w16cid:durableId="831680936">
    <w:abstractNumId w:val="0"/>
  </w:num>
  <w:num w:numId="28" w16cid:durableId="1240824240">
    <w:abstractNumId w:val="3"/>
  </w:num>
  <w:num w:numId="29" w16cid:durableId="815341669">
    <w:abstractNumId w:val="25"/>
  </w:num>
  <w:num w:numId="30" w16cid:durableId="150504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31E9F"/>
    <w:rsid w:val="00033ED5"/>
    <w:rsid w:val="0004009C"/>
    <w:rsid w:val="0005011B"/>
    <w:rsid w:val="00052E44"/>
    <w:rsid w:val="000702E4"/>
    <w:rsid w:val="00070A13"/>
    <w:rsid w:val="00070A89"/>
    <w:rsid w:val="0008118E"/>
    <w:rsid w:val="00086074"/>
    <w:rsid w:val="0009112E"/>
    <w:rsid w:val="00097B17"/>
    <w:rsid w:val="000A0C6C"/>
    <w:rsid w:val="000A4576"/>
    <w:rsid w:val="000A688D"/>
    <w:rsid w:val="000A6B96"/>
    <w:rsid w:val="000B21F0"/>
    <w:rsid w:val="000B32C4"/>
    <w:rsid w:val="000B7075"/>
    <w:rsid w:val="000D02C0"/>
    <w:rsid w:val="000D2FED"/>
    <w:rsid w:val="000E3BBE"/>
    <w:rsid w:val="000E649C"/>
    <w:rsid w:val="000F077F"/>
    <w:rsid w:val="000F3ED2"/>
    <w:rsid w:val="000F5E24"/>
    <w:rsid w:val="001030B2"/>
    <w:rsid w:val="00107618"/>
    <w:rsid w:val="001204EA"/>
    <w:rsid w:val="0012601A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C55FC"/>
    <w:rsid w:val="001D6485"/>
    <w:rsid w:val="001E2320"/>
    <w:rsid w:val="001E610A"/>
    <w:rsid w:val="001E721F"/>
    <w:rsid w:val="00205C55"/>
    <w:rsid w:val="00206C0B"/>
    <w:rsid w:val="00221A2A"/>
    <w:rsid w:val="002270E2"/>
    <w:rsid w:val="00230BB7"/>
    <w:rsid w:val="0024697E"/>
    <w:rsid w:val="00255E53"/>
    <w:rsid w:val="002726DD"/>
    <w:rsid w:val="00275115"/>
    <w:rsid w:val="00280311"/>
    <w:rsid w:val="00281BE7"/>
    <w:rsid w:val="00286651"/>
    <w:rsid w:val="00287196"/>
    <w:rsid w:val="0029287B"/>
    <w:rsid w:val="0029403F"/>
    <w:rsid w:val="002A56D5"/>
    <w:rsid w:val="002C0340"/>
    <w:rsid w:val="002C19DE"/>
    <w:rsid w:val="002C497F"/>
    <w:rsid w:val="002D55B8"/>
    <w:rsid w:val="002D6ED9"/>
    <w:rsid w:val="002E46AC"/>
    <w:rsid w:val="002E7482"/>
    <w:rsid w:val="002F0FB2"/>
    <w:rsid w:val="002F61E3"/>
    <w:rsid w:val="003051DF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87421"/>
    <w:rsid w:val="003935E8"/>
    <w:rsid w:val="003975D4"/>
    <w:rsid w:val="003A0F16"/>
    <w:rsid w:val="003A5B7D"/>
    <w:rsid w:val="003A6433"/>
    <w:rsid w:val="003B46BF"/>
    <w:rsid w:val="003D2AE2"/>
    <w:rsid w:val="003D71C6"/>
    <w:rsid w:val="003F072E"/>
    <w:rsid w:val="00404F9B"/>
    <w:rsid w:val="00411C64"/>
    <w:rsid w:val="004156E6"/>
    <w:rsid w:val="00415707"/>
    <w:rsid w:val="00416F70"/>
    <w:rsid w:val="0041703B"/>
    <w:rsid w:val="004403B4"/>
    <w:rsid w:val="004448D7"/>
    <w:rsid w:val="00446466"/>
    <w:rsid w:val="00447CE9"/>
    <w:rsid w:val="00453B55"/>
    <w:rsid w:val="00454FD1"/>
    <w:rsid w:val="00457779"/>
    <w:rsid w:val="00466FE8"/>
    <w:rsid w:val="004744CD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4723"/>
    <w:rsid w:val="004F3FEF"/>
    <w:rsid w:val="005058F2"/>
    <w:rsid w:val="00512C38"/>
    <w:rsid w:val="00512C7C"/>
    <w:rsid w:val="005130EF"/>
    <w:rsid w:val="005143E4"/>
    <w:rsid w:val="0055182D"/>
    <w:rsid w:val="00553AE5"/>
    <w:rsid w:val="0056748F"/>
    <w:rsid w:val="00574D83"/>
    <w:rsid w:val="005871C9"/>
    <w:rsid w:val="005B06B3"/>
    <w:rsid w:val="005B598A"/>
    <w:rsid w:val="005C1412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70FE"/>
    <w:rsid w:val="006008CD"/>
    <w:rsid w:val="00633806"/>
    <w:rsid w:val="00633883"/>
    <w:rsid w:val="00634434"/>
    <w:rsid w:val="0064109C"/>
    <w:rsid w:val="0064487F"/>
    <w:rsid w:val="006648F3"/>
    <w:rsid w:val="00670C14"/>
    <w:rsid w:val="0068046C"/>
    <w:rsid w:val="00680B0E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7964"/>
    <w:rsid w:val="006F498A"/>
    <w:rsid w:val="006F5BEB"/>
    <w:rsid w:val="00710891"/>
    <w:rsid w:val="007135A8"/>
    <w:rsid w:val="007156F6"/>
    <w:rsid w:val="00715B91"/>
    <w:rsid w:val="007321D8"/>
    <w:rsid w:val="00733AF9"/>
    <w:rsid w:val="00734732"/>
    <w:rsid w:val="00740ABA"/>
    <w:rsid w:val="0074295D"/>
    <w:rsid w:val="00755E27"/>
    <w:rsid w:val="0078723A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F016E"/>
    <w:rsid w:val="007F79B9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5CAE"/>
    <w:rsid w:val="0088727A"/>
    <w:rsid w:val="00896D35"/>
    <w:rsid w:val="008B00C4"/>
    <w:rsid w:val="008B43B0"/>
    <w:rsid w:val="008B465D"/>
    <w:rsid w:val="008C0493"/>
    <w:rsid w:val="008C0E92"/>
    <w:rsid w:val="008D45C3"/>
    <w:rsid w:val="008E18D7"/>
    <w:rsid w:val="008E33C7"/>
    <w:rsid w:val="008F1D35"/>
    <w:rsid w:val="009066C7"/>
    <w:rsid w:val="0092216D"/>
    <w:rsid w:val="00933339"/>
    <w:rsid w:val="00953B84"/>
    <w:rsid w:val="0097445D"/>
    <w:rsid w:val="00982754"/>
    <w:rsid w:val="009943F4"/>
    <w:rsid w:val="00995FDD"/>
    <w:rsid w:val="00996389"/>
    <w:rsid w:val="009A2234"/>
    <w:rsid w:val="009A405B"/>
    <w:rsid w:val="009A6D46"/>
    <w:rsid w:val="009B2F99"/>
    <w:rsid w:val="009B7A4D"/>
    <w:rsid w:val="009C573D"/>
    <w:rsid w:val="009D10B8"/>
    <w:rsid w:val="009D185F"/>
    <w:rsid w:val="009D43CC"/>
    <w:rsid w:val="009E2331"/>
    <w:rsid w:val="009F413F"/>
    <w:rsid w:val="009F550A"/>
    <w:rsid w:val="009F7497"/>
    <w:rsid w:val="00A01F60"/>
    <w:rsid w:val="00A118F0"/>
    <w:rsid w:val="00A159DA"/>
    <w:rsid w:val="00A22494"/>
    <w:rsid w:val="00A22A7B"/>
    <w:rsid w:val="00A242D8"/>
    <w:rsid w:val="00A434EB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4608"/>
    <w:rsid w:val="00AA6179"/>
    <w:rsid w:val="00AB1235"/>
    <w:rsid w:val="00AB2D5E"/>
    <w:rsid w:val="00AC0511"/>
    <w:rsid w:val="00AD08C5"/>
    <w:rsid w:val="00AE069A"/>
    <w:rsid w:val="00AF1EBC"/>
    <w:rsid w:val="00B1467F"/>
    <w:rsid w:val="00B31928"/>
    <w:rsid w:val="00B326A9"/>
    <w:rsid w:val="00B45ED3"/>
    <w:rsid w:val="00B543E9"/>
    <w:rsid w:val="00B57127"/>
    <w:rsid w:val="00B76B2B"/>
    <w:rsid w:val="00B8251D"/>
    <w:rsid w:val="00B907C0"/>
    <w:rsid w:val="00B94288"/>
    <w:rsid w:val="00B9538B"/>
    <w:rsid w:val="00BA15A9"/>
    <w:rsid w:val="00BB30C0"/>
    <w:rsid w:val="00BC376D"/>
    <w:rsid w:val="00BD18E8"/>
    <w:rsid w:val="00BD20BC"/>
    <w:rsid w:val="00C02DC6"/>
    <w:rsid w:val="00C15673"/>
    <w:rsid w:val="00C15E6F"/>
    <w:rsid w:val="00C210A9"/>
    <w:rsid w:val="00C22821"/>
    <w:rsid w:val="00C243BF"/>
    <w:rsid w:val="00C25F63"/>
    <w:rsid w:val="00C276AE"/>
    <w:rsid w:val="00C34F0F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B42C4"/>
    <w:rsid w:val="00CC0463"/>
    <w:rsid w:val="00CC7F58"/>
    <w:rsid w:val="00CD47C3"/>
    <w:rsid w:val="00CE099F"/>
    <w:rsid w:val="00CE73E2"/>
    <w:rsid w:val="00CF402D"/>
    <w:rsid w:val="00CF5E4F"/>
    <w:rsid w:val="00CF7674"/>
    <w:rsid w:val="00D17D3E"/>
    <w:rsid w:val="00D44A5D"/>
    <w:rsid w:val="00D510E8"/>
    <w:rsid w:val="00D554A2"/>
    <w:rsid w:val="00D5628B"/>
    <w:rsid w:val="00D63F4F"/>
    <w:rsid w:val="00D6426A"/>
    <w:rsid w:val="00D66456"/>
    <w:rsid w:val="00D77CD0"/>
    <w:rsid w:val="00D81CE2"/>
    <w:rsid w:val="00D9306F"/>
    <w:rsid w:val="00DB0B88"/>
    <w:rsid w:val="00DD18C6"/>
    <w:rsid w:val="00DD6D00"/>
    <w:rsid w:val="00DE00F0"/>
    <w:rsid w:val="00DE1894"/>
    <w:rsid w:val="00DE5079"/>
    <w:rsid w:val="00DF6B3A"/>
    <w:rsid w:val="00DF737A"/>
    <w:rsid w:val="00E10271"/>
    <w:rsid w:val="00E22AAD"/>
    <w:rsid w:val="00E34DF7"/>
    <w:rsid w:val="00E35DF6"/>
    <w:rsid w:val="00E50D44"/>
    <w:rsid w:val="00E52765"/>
    <w:rsid w:val="00E530B9"/>
    <w:rsid w:val="00E64133"/>
    <w:rsid w:val="00E64860"/>
    <w:rsid w:val="00E66456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B8F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CA2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99"/>
    <w:qFormat/>
    <w:rsid w:val="0019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5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2025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2025'!$A$3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2025'!$B$3:$E$3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6-4775-8120-B5147DB02683}"/>
            </c:ext>
          </c:extLst>
        </c:ser>
        <c:ser>
          <c:idx val="1"/>
          <c:order val="1"/>
          <c:tx>
            <c:strRef>
              <c:f>'miesiące 2025'!$A$4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2025'!$B$4:$E$4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D6-4775-8120-B5147DB026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2025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2025'!$A$18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2025'!$B$18:$E$18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2-4E4A-AB96-25F4DD22BAE9}"/>
            </c:ext>
          </c:extLst>
        </c:ser>
        <c:ser>
          <c:idx val="1"/>
          <c:order val="1"/>
          <c:tx>
            <c:strRef>
              <c:f>'miesiące 2025'!$A$19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2025'!$B$16:$E$17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2025'!$B$19:$E$19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62-4E4A-AB96-25F4DD22BA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2025 r. (stan na styczeń) </a:t>
            </a:r>
          </a:p>
        </c:rich>
      </c:tx>
      <c:layout>
        <c:manualLayout>
          <c:xMode val="edge"/>
          <c:yMode val="edge"/>
          <c:x val="0.16798361743243634"/>
          <c:y val="8.61493130797342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8.6091026768792864E-2"/>
          <c:w val="0.84009663854336591"/>
          <c:h val="0.83115063614323414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2025'!$B$2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2025'!$A$3:$A$12</c:f>
              <c:strCache>
                <c:ptCount val="6"/>
                <c:pt idx="0">
                  <c:v>Nowotwory układu 
urologicznego</c:v>
                </c:pt>
                <c:pt idx="1">
                  <c:v>Nowotwory układu 
pokarmowego</c:v>
                </c:pt>
                <c:pt idx="2">
                  <c:v>Nowotwory układu 
oddechowego</c:v>
                </c:pt>
                <c:pt idx="3">
                  <c:v>Nowotwory nerki</c:v>
                </c:pt>
                <c:pt idx="4">
                  <c:v>Nowotwory 
ginekologiczne</c:v>
                </c:pt>
                <c:pt idx="5">
                  <c:v>Hematoonkologia</c:v>
                </c:pt>
              </c:strCache>
              <c:extLst/>
            </c:strRef>
          </c:cat>
          <c:val>
            <c:numRef>
              <c:f>'miesiące 2025'!$B$3:$B$12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024-4343-B18E-5126B4C23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2025 r. (stan na styczeń)  </a:t>
            </a:r>
          </a:p>
        </c:rich>
      </c:tx>
      <c:layout>
        <c:manualLayout>
          <c:xMode val="edge"/>
          <c:yMode val="edge"/>
          <c:x val="0.17106071689831748"/>
          <c:y val="1.36270724506018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1035246190410618"/>
          <c:w val="0.76644349190079053"/>
          <c:h val="0.798208093622637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2025'!$B$19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2025'!$A$20:$A$38</c:f>
              <c:strCache>
                <c:ptCount val="12"/>
                <c:pt idx="0">
                  <c:v>Urologia</c:v>
                </c:pt>
                <c:pt idx="1">
                  <c:v>Reumatologia</c:v>
                </c:pt>
                <c:pt idx="2">
                  <c:v>Okulistyka</c:v>
                </c:pt>
                <c:pt idx="3">
                  <c:v>Neurologia</c:v>
                </c:pt>
                <c:pt idx="4">
                  <c:v>Kardiologia</c:v>
                </c:pt>
                <c:pt idx="5">
                  <c:v>Hematologia</c:v>
                </c:pt>
                <c:pt idx="6">
                  <c:v>Gastroenterologia</c:v>
                </c:pt>
                <c:pt idx="7">
                  <c:v>Endokrynologia</c:v>
                </c:pt>
                <c:pt idx="8">
                  <c:v>Diabetologia</c:v>
                </c:pt>
                <c:pt idx="9">
                  <c:v>Dermatologia</c:v>
                </c:pt>
                <c:pt idx="10">
                  <c:v>Angiologia</c:v>
                </c:pt>
                <c:pt idx="11">
                  <c:v>Alergologia</c:v>
                </c:pt>
              </c:strCache>
              <c:extLst/>
            </c:strRef>
          </c:cat>
          <c:val>
            <c:numRef>
              <c:f>'miesiące 2025'!$B$20:$B$38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C9A-4A93-9DD8-8CAA117D9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2596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9</cp:revision>
  <dcterms:created xsi:type="dcterms:W3CDTF">2024-12-10T11:37:00Z</dcterms:created>
  <dcterms:modified xsi:type="dcterms:W3CDTF">2024-12-13T13:11:00Z</dcterms:modified>
</cp:coreProperties>
</file>