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numPr>
          <w:ilvl w:val="0"/>
          <w:numId w:val="0"/>
        </w:numPr>
        <w:ind w:left="0" w:hanging="0"/>
        <w:jc w:val="center"/>
        <w:outlineLvl w:val="0"/>
        <w:rPr>
          <w:sz w:val="18"/>
          <w:szCs w:val="18"/>
        </w:rPr>
      </w:pPr>
      <w:r>
        <w:rPr>
          <w:rFonts w:ascii="Arial" w:hAnsi="Arial"/>
          <w:sz w:val="18"/>
          <w:szCs w:val="18"/>
        </w:rPr>
        <w:t>Raport końcowy z realizacji projektu informatycznego</w:t>
      </w:r>
    </w:p>
    <w:p>
      <w:pPr>
        <w:pStyle w:val="Normal"/>
        <w:numPr>
          <w:ilvl w:val="0"/>
          <w:numId w:val="0"/>
        </w:numPr>
        <w:ind w:left="0" w:hanging="0"/>
        <w:outlineLvl w:val="0"/>
        <w:rPr>
          <w:rFonts w:ascii="Arial" w:hAnsi="Arial"/>
          <w:sz w:val="18"/>
          <w:szCs w:val="18"/>
        </w:rPr>
      </w:pPr>
      <w:r>
        <w:rPr>
          <w:rFonts w:ascii="Arial" w:hAnsi="Arial"/>
          <w:sz w:val="18"/>
          <w:szCs w:val="18"/>
        </w:rPr>
      </w:r>
    </w:p>
    <w:tbl>
      <w:tblPr>
        <w:tblStyle w:val="Tabela-Siatka"/>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78"/>
        <w:gridCol w:w="1759"/>
        <w:gridCol w:w="7397"/>
      </w:tblGrid>
      <w:tr>
        <w:trPr/>
        <w:tc>
          <w:tcPr>
            <w:tcW w:w="478" w:type="dxa"/>
            <w:tcBorders/>
          </w:tcPr>
          <w:p>
            <w:pPr>
              <w:pStyle w:val="Normal"/>
              <w:widowControl w:val="false"/>
              <w:suppressAutoHyphens w:val="true"/>
              <w:spacing w:lineRule="auto" w:line="240" w:before="0" w:after="0"/>
              <w:jc w:val="both"/>
              <w:rPr>
                <w:sz w:val="18"/>
                <w:szCs w:val="18"/>
              </w:rPr>
            </w:pPr>
            <w:r>
              <w:rPr>
                <w:rFonts w:eastAsia="Calibri" w:cs="" w:ascii="Arial" w:hAnsi="Arial"/>
                <w:b/>
                <w:kern w:val="0"/>
                <w:sz w:val="18"/>
                <w:szCs w:val="18"/>
                <w:lang w:val="pl-PL" w:eastAsia="en-US" w:bidi="ar-SA"/>
              </w:rPr>
              <w:t>Lp.</w:t>
            </w:r>
          </w:p>
        </w:tc>
        <w:tc>
          <w:tcPr>
            <w:tcW w:w="1759" w:type="dxa"/>
            <w:tcBorders/>
          </w:tcPr>
          <w:p>
            <w:pPr>
              <w:pStyle w:val="Normal"/>
              <w:widowControl w:val="false"/>
              <w:suppressAutoHyphens w:val="true"/>
              <w:spacing w:lineRule="auto" w:line="240" w:before="0" w:after="0"/>
              <w:jc w:val="both"/>
              <w:rPr>
                <w:sz w:val="18"/>
                <w:szCs w:val="18"/>
              </w:rPr>
            </w:pPr>
            <w:r>
              <w:rPr>
                <w:rFonts w:eastAsia="Calibri" w:cs="" w:ascii="Arial" w:hAnsi="Arial"/>
                <w:b/>
                <w:kern w:val="0"/>
                <w:sz w:val="18"/>
                <w:szCs w:val="18"/>
                <w:lang w:val="pl-PL" w:eastAsia="en-US" w:bidi="ar-SA"/>
              </w:rPr>
              <w:t>Wyszczególnienie</w:t>
            </w:r>
          </w:p>
        </w:tc>
        <w:tc>
          <w:tcPr>
            <w:tcW w:w="7397" w:type="dxa"/>
            <w:tcBorders/>
          </w:tcPr>
          <w:p>
            <w:pPr>
              <w:pStyle w:val="Normal"/>
              <w:widowControl w:val="false"/>
              <w:suppressAutoHyphens w:val="true"/>
              <w:spacing w:lineRule="auto" w:line="240" w:before="0" w:after="0"/>
              <w:jc w:val="both"/>
              <w:rPr>
                <w:sz w:val="18"/>
                <w:szCs w:val="18"/>
              </w:rPr>
            </w:pPr>
            <w:r>
              <w:rPr>
                <w:rFonts w:eastAsia="Calibri" w:cs="" w:ascii="Arial" w:hAnsi="Arial"/>
                <w:b/>
                <w:kern w:val="0"/>
                <w:sz w:val="18"/>
                <w:szCs w:val="18"/>
                <w:lang w:val="pl-PL" w:eastAsia="en-US" w:bidi="ar-SA"/>
              </w:rPr>
              <w:t>Opis</w:t>
            </w:r>
          </w:p>
        </w:tc>
      </w:tr>
      <w:tr>
        <w:trPr/>
        <w:tc>
          <w:tcPr>
            <w:tcW w:w="478" w:type="dxa"/>
            <w:tcBorders/>
          </w:tcPr>
          <w:p>
            <w:pPr>
              <w:pStyle w:val="ListParagraph"/>
              <w:widowControl w:val="false"/>
              <w:numPr>
                <w:ilvl w:val="0"/>
                <w:numId w:val="1"/>
              </w:numPr>
              <w:suppressAutoHyphens w:val="true"/>
              <w:spacing w:lineRule="auto" w:line="240" w:before="0" w:after="0"/>
              <w:contextualSpacing/>
              <w:jc w:val="both"/>
              <w:rPr>
                <w:rFonts w:ascii="Arial" w:hAnsi="Arial" w:eastAsia="Calibri"/>
                <w:sz w:val="18"/>
                <w:szCs w:val="18"/>
              </w:rPr>
            </w:pPr>
            <w:r>
              <w:rPr>
                <w:rFonts w:eastAsia="Calibri" w:ascii="Arial" w:hAnsi="Arial"/>
                <w:sz w:val="18"/>
                <w:szCs w:val="18"/>
              </w:rPr>
            </w:r>
          </w:p>
        </w:tc>
        <w:tc>
          <w:tcPr>
            <w:tcW w:w="1759" w:type="dxa"/>
            <w:tcBorders/>
          </w:tcPr>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Tytuł projektu</w:t>
            </w:r>
          </w:p>
        </w:tc>
        <w:tc>
          <w:tcPr>
            <w:tcW w:w="7397" w:type="dxa"/>
            <w:tcBorders/>
          </w:tcPr>
          <w:p>
            <w:pPr>
              <w:pStyle w:val="Normal"/>
              <w:widowControl w:val="false"/>
              <w:suppressAutoHyphens w:val="true"/>
              <w:spacing w:lineRule="auto" w:line="240" w:before="0" w:after="0"/>
              <w:jc w:val="both"/>
              <w:rPr>
                <w:rFonts w:ascii="Calibri" w:hAnsi="Calibri"/>
                <w:sz w:val="18"/>
                <w:szCs w:val="18"/>
              </w:rPr>
            </w:pPr>
            <w:r>
              <w:rPr>
                <w:rFonts w:eastAsia="Calibri" w:cs="Calibri"/>
                <w:kern w:val="0"/>
                <w:sz w:val="18"/>
                <w:szCs w:val="18"/>
                <w:lang w:val="pl-PL" w:eastAsia="en-US" w:bidi="ar-SA"/>
              </w:rPr>
              <w:t>Dziedzictwo muzyki polskiej w otwartym dostępie</w:t>
            </w:r>
          </w:p>
        </w:tc>
      </w:tr>
      <w:tr>
        <w:trPr>
          <w:trHeight w:val="265" w:hRule="atLeast"/>
        </w:trPr>
        <w:tc>
          <w:tcPr>
            <w:tcW w:w="478" w:type="dxa"/>
            <w:tcBorders/>
          </w:tcPr>
          <w:p>
            <w:pPr>
              <w:pStyle w:val="ListParagraph"/>
              <w:widowControl w:val="false"/>
              <w:numPr>
                <w:ilvl w:val="0"/>
                <w:numId w:val="1"/>
              </w:numPr>
              <w:suppressAutoHyphens w:val="true"/>
              <w:spacing w:lineRule="auto" w:line="240" w:before="0" w:after="0"/>
              <w:contextualSpacing/>
              <w:jc w:val="both"/>
              <w:rPr>
                <w:rFonts w:ascii="Arial" w:hAnsi="Arial" w:eastAsia="Calibri"/>
                <w:sz w:val="18"/>
                <w:szCs w:val="18"/>
              </w:rPr>
            </w:pPr>
            <w:r>
              <w:rPr>
                <w:rFonts w:eastAsia="Calibri" w:ascii="Arial" w:hAnsi="Arial"/>
                <w:sz w:val="18"/>
                <w:szCs w:val="18"/>
              </w:rPr>
            </w:r>
          </w:p>
        </w:tc>
        <w:tc>
          <w:tcPr>
            <w:tcW w:w="1759" w:type="dxa"/>
            <w:tcBorders/>
          </w:tcPr>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 xml:space="preserve">Beneficjent projektu </w:t>
            </w:r>
          </w:p>
        </w:tc>
        <w:tc>
          <w:tcPr>
            <w:tcW w:w="7397" w:type="dxa"/>
            <w:tcBorders/>
          </w:tcPr>
          <w:p>
            <w:pPr>
              <w:pStyle w:val="Normal"/>
              <w:widowControl w:val="false"/>
              <w:suppressAutoHyphens w:val="true"/>
              <w:spacing w:lineRule="auto" w:line="240" w:before="0" w:after="0"/>
              <w:jc w:val="both"/>
              <w:rPr>
                <w:rFonts w:ascii="Calibri" w:hAnsi="Calibri"/>
                <w:sz w:val="18"/>
                <w:szCs w:val="18"/>
              </w:rPr>
            </w:pPr>
            <w:r>
              <w:rPr>
                <w:rFonts w:eastAsia="Calibri" w:cs="Calibri"/>
                <w:kern w:val="0"/>
                <w:sz w:val="18"/>
                <w:szCs w:val="18"/>
                <w:lang w:val="pl-PL" w:eastAsia="en-US" w:bidi="ar-SA"/>
              </w:rPr>
              <w:t>Narodowy Instytut Fryderyka Chopina</w:t>
            </w:r>
          </w:p>
        </w:tc>
      </w:tr>
      <w:tr>
        <w:trPr/>
        <w:tc>
          <w:tcPr>
            <w:tcW w:w="478" w:type="dxa"/>
            <w:tcBorders/>
          </w:tcPr>
          <w:p>
            <w:pPr>
              <w:pStyle w:val="ListParagraph"/>
              <w:widowControl w:val="false"/>
              <w:numPr>
                <w:ilvl w:val="0"/>
                <w:numId w:val="1"/>
              </w:numPr>
              <w:suppressAutoHyphens w:val="true"/>
              <w:spacing w:lineRule="auto" w:line="240" w:before="0" w:after="0"/>
              <w:contextualSpacing/>
              <w:jc w:val="both"/>
              <w:rPr>
                <w:rFonts w:ascii="Arial" w:hAnsi="Arial" w:eastAsia="Calibri"/>
                <w:sz w:val="18"/>
                <w:szCs w:val="18"/>
              </w:rPr>
            </w:pPr>
            <w:r>
              <w:rPr>
                <w:rFonts w:eastAsia="Calibri" w:ascii="Arial" w:hAnsi="Arial"/>
                <w:sz w:val="18"/>
                <w:szCs w:val="18"/>
              </w:rPr>
            </w:r>
          </w:p>
        </w:tc>
        <w:tc>
          <w:tcPr>
            <w:tcW w:w="1759" w:type="dxa"/>
            <w:tcBorders/>
          </w:tcPr>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 xml:space="preserve">Partnerzy </w:t>
            </w:r>
          </w:p>
        </w:tc>
        <w:tc>
          <w:tcPr>
            <w:tcW w:w="7397" w:type="dxa"/>
            <w:tcBorders/>
          </w:tcPr>
          <w:p>
            <w:pPr>
              <w:pStyle w:val="Normal"/>
              <w:widowControl w:val="false"/>
              <w:suppressAutoHyphens w:val="true"/>
              <w:spacing w:lineRule="auto" w:line="240" w:before="0" w:after="0"/>
              <w:jc w:val="both"/>
              <w:rPr>
                <w:rFonts w:ascii="Calibri" w:hAnsi="Calibri"/>
                <w:sz w:val="18"/>
                <w:szCs w:val="18"/>
              </w:rPr>
            </w:pPr>
            <w:r>
              <w:rPr>
                <w:rFonts w:eastAsia="Calibri" w:cs="Calibri"/>
                <w:kern w:val="0"/>
                <w:sz w:val="18"/>
                <w:szCs w:val="18"/>
                <w:lang w:val="pl-PL" w:eastAsia="en-US" w:bidi="ar-SA"/>
              </w:rPr>
              <w:t>Nie dotyczy – projekt realizowany samodzielnie przez beneficjenta</w:t>
            </w:r>
          </w:p>
        </w:tc>
      </w:tr>
      <w:tr>
        <w:trPr/>
        <w:tc>
          <w:tcPr>
            <w:tcW w:w="478" w:type="dxa"/>
            <w:tcBorders/>
          </w:tcPr>
          <w:p>
            <w:pPr>
              <w:pStyle w:val="ListParagraph"/>
              <w:widowControl w:val="false"/>
              <w:numPr>
                <w:ilvl w:val="0"/>
                <w:numId w:val="1"/>
              </w:numPr>
              <w:suppressAutoHyphens w:val="true"/>
              <w:spacing w:lineRule="auto" w:line="240" w:before="0" w:after="0"/>
              <w:contextualSpacing/>
              <w:jc w:val="both"/>
              <w:rPr>
                <w:rFonts w:ascii="Arial" w:hAnsi="Arial" w:eastAsia="Calibri"/>
                <w:sz w:val="18"/>
                <w:szCs w:val="18"/>
              </w:rPr>
            </w:pPr>
            <w:r>
              <w:rPr>
                <w:rFonts w:eastAsia="Calibri" w:ascii="Arial" w:hAnsi="Arial"/>
                <w:sz w:val="18"/>
                <w:szCs w:val="18"/>
              </w:rPr>
            </w:r>
          </w:p>
        </w:tc>
        <w:tc>
          <w:tcPr>
            <w:tcW w:w="1759" w:type="dxa"/>
            <w:tcBorders/>
          </w:tcPr>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Postęp finansowy</w:t>
            </w:r>
          </w:p>
        </w:tc>
        <w:tc>
          <w:tcPr>
            <w:tcW w:w="7397" w:type="dxa"/>
            <w:tcBorders/>
          </w:tcPr>
          <w:p>
            <w:pPr>
              <w:pStyle w:val="Other1"/>
              <w:widowControl w:val="false"/>
              <w:spacing w:before="0" w:after="0"/>
              <w:jc w:val="both"/>
              <w:rPr>
                <w:kern w:val="0"/>
                <w:lang w:val="pl-PL" w:eastAsia="en-US" w:bidi="ar-SA"/>
              </w:rPr>
            </w:pPr>
            <w:r>
              <w:rPr>
                <w:b/>
                <w:bCs/>
                <w:kern w:val="0"/>
                <w:lang w:val="pl-PL" w:eastAsia="en-US" w:bidi="ar-SA"/>
              </w:rPr>
              <w:t>Pierwotny planowany koszt realizacji projektu</w:t>
            </w:r>
            <w:r>
              <w:rPr>
                <w:kern w:val="0"/>
                <w:lang w:val="pl-PL" w:eastAsia="en-US" w:bidi="ar-SA"/>
              </w:rPr>
              <w:t xml:space="preserve">: Kwota wydatków kwalifikowanych: 12 008 697 zł </w:t>
            </w:r>
          </w:p>
          <w:p>
            <w:pPr>
              <w:pStyle w:val="Other1"/>
              <w:widowControl w:val="false"/>
              <w:spacing w:before="0" w:after="0"/>
              <w:jc w:val="both"/>
              <w:rPr>
                <w:kern w:val="0"/>
                <w:lang w:val="pl-PL" w:eastAsia="en-US" w:bidi="ar-SA"/>
              </w:rPr>
            </w:pPr>
            <w:r>
              <w:rPr>
                <w:kern w:val="0"/>
                <w:lang w:val="pl-PL" w:eastAsia="en-US" w:bidi="ar-SA"/>
              </w:rPr>
              <w:t xml:space="preserve">( w tym środki UE 8 404 487,90 zł) Całkowita wartość projektu (wydatki kwalifikowalne+niekwalifikowalne): </w:t>
            </w:r>
          </w:p>
          <w:p>
            <w:pPr>
              <w:pStyle w:val="Other1"/>
              <w:widowControl w:val="false"/>
              <w:spacing w:before="0" w:after="0"/>
              <w:jc w:val="both"/>
              <w:rPr>
                <w:kern w:val="0"/>
                <w:lang w:val="pl-PL" w:eastAsia="en-US" w:bidi="ar-SA"/>
              </w:rPr>
            </w:pPr>
            <w:r>
              <w:rPr>
                <w:kern w:val="0"/>
                <w:lang w:val="pl-PL" w:eastAsia="en-US" w:bidi="ar-SA"/>
              </w:rPr>
            </w:r>
          </w:p>
          <w:p>
            <w:pPr>
              <w:pStyle w:val="Other1"/>
              <w:widowControl w:val="false"/>
              <w:spacing w:before="0" w:after="0"/>
              <w:jc w:val="both"/>
              <w:rPr>
                <w:kern w:val="0"/>
                <w:lang w:val="pl-PL" w:eastAsia="en-US" w:bidi="ar-SA"/>
              </w:rPr>
            </w:pPr>
            <w:r>
              <w:rPr>
                <w:b/>
                <w:bCs/>
                <w:kern w:val="0"/>
                <w:lang w:val="pl-PL" w:eastAsia="en-US" w:bidi="ar-SA"/>
              </w:rPr>
              <w:t>Ostatni planowany koszt realizacji projektu</w:t>
            </w:r>
            <w:r>
              <w:rPr>
                <w:kern w:val="0"/>
                <w:lang w:val="pl-PL" w:eastAsia="en-US" w:bidi="ar-SA"/>
              </w:rPr>
              <w:t>: 12 008 697,00 zł</w:t>
            </w:r>
          </w:p>
          <w:p>
            <w:pPr>
              <w:pStyle w:val="Other1"/>
              <w:widowControl w:val="false"/>
              <w:spacing w:before="0" w:after="0"/>
              <w:jc w:val="both"/>
              <w:rPr>
                <w:kern w:val="0"/>
                <w:lang w:val="pl-PL" w:eastAsia="en-US" w:bidi="ar-SA"/>
              </w:rPr>
            </w:pPr>
            <w:r>
              <w:rPr>
                <w:kern w:val="0"/>
                <w:lang w:val="pl-PL" w:eastAsia="en-US" w:bidi="ar-SA"/>
              </w:rPr>
              <w:t>Faktyczny koszt projektu:  Kwota wydatków kwalifikowanych: 11 623 223,19 zł</w:t>
            </w:r>
          </w:p>
          <w:p>
            <w:pPr>
              <w:pStyle w:val="Other1"/>
              <w:widowControl w:val="false"/>
              <w:spacing w:before="0" w:after="0"/>
              <w:jc w:val="both"/>
              <w:rPr>
                <w:kern w:val="0"/>
                <w:lang w:val="pl-PL" w:eastAsia="en-US" w:bidi="ar-SA"/>
              </w:rPr>
            </w:pPr>
            <w:r>
              <w:rPr>
                <w:kern w:val="0"/>
                <w:lang w:val="pl-PL" w:eastAsia="en-US" w:bidi="ar-SA"/>
              </w:rPr>
              <w:t>Całkowita wartość projektu (wydatki kwalifikowalne+niekwalifikowalne): 11 623 816,76 zł</w:t>
            </w:r>
          </w:p>
          <w:p>
            <w:pPr>
              <w:pStyle w:val="Other1"/>
              <w:widowControl w:val="false"/>
              <w:spacing w:before="0" w:after="0"/>
              <w:jc w:val="both"/>
              <w:rPr>
                <w:kern w:val="0"/>
                <w:lang w:val="pl-PL" w:eastAsia="en-US" w:bidi="ar-SA"/>
              </w:rPr>
            </w:pPr>
            <w:r>
              <w:rPr>
                <w:kern w:val="0"/>
                <w:lang w:val="pl-PL" w:eastAsia="en-US" w:bidi="ar-SA"/>
              </w:rPr>
            </w:r>
          </w:p>
          <w:p>
            <w:pPr>
              <w:pStyle w:val="Other1"/>
              <w:widowControl w:val="false"/>
              <w:spacing w:before="0" w:after="0"/>
              <w:jc w:val="both"/>
              <w:rPr>
                <w:kern w:val="0"/>
                <w:lang w:val="pl-PL" w:eastAsia="en-US" w:bidi="ar-SA"/>
              </w:rPr>
            </w:pPr>
            <w:r>
              <w:rPr>
                <w:b/>
                <w:bCs/>
                <w:kern w:val="0"/>
                <w:lang w:val="pl-PL" w:eastAsia="en-US" w:bidi="ar-SA"/>
              </w:rPr>
              <w:t>Poziom realizacji kosztów w stosunku do ostatniego planu</w:t>
            </w:r>
            <w:r>
              <w:rPr>
                <w:kern w:val="0"/>
                <w:lang w:val="pl-PL" w:eastAsia="en-US" w:bidi="ar-SA"/>
              </w:rPr>
              <w:t xml:space="preserve">: </w:t>
            </w:r>
          </w:p>
          <w:p>
            <w:pPr>
              <w:pStyle w:val="Other1"/>
              <w:widowControl w:val="false"/>
              <w:spacing w:before="0" w:after="0"/>
              <w:jc w:val="both"/>
              <w:rPr>
                <w:kern w:val="0"/>
                <w:lang w:val="pl-PL" w:eastAsia="en-US" w:bidi="ar-SA"/>
              </w:rPr>
            </w:pPr>
            <w:r>
              <w:rPr>
                <w:kern w:val="0"/>
                <w:lang w:val="pl-PL" w:eastAsia="en-US" w:bidi="ar-SA"/>
              </w:rPr>
              <w:t>(11 623 223,19/12 008 697)  96,79%</w:t>
            </w:r>
          </w:p>
          <w:p>
            <w:pPr>
              <w:pStyle w:val="Other1"/>
              <w:widowControl w:val="false"/>
              <w:spacing w:before="0" w:after="0"/>
              <w:jc w:val="both"/>
              <w:rPr>
                <w:kern w:val="0"/>
                <w:lang w:val="pl-PL" w:eastAsia="en-US" w:bidi="ar-SA"/>
              </w:rPr>
            </w:pPr>
            <w:r>
              <w:rPr>
                <w:kern w:val="0"/>
                <w:lang w:val="pl-PL" w:eastAsia="en-US" w:bidi="ar-SA"/>
              </w:rPr>
            </w:r>
          </w:p>
          <w:p>
            <w:pPr>
              <w:pStyle w:val="Other1"/>
              <w:widowControl w:val="false"/>
              <w:spacing w:before="0" w:after="0"/>
              <w:jc w:val="both"/>
              <w:rPr>
                <w:kern w:val="0"/>
                <w:lang w:val="pl-PL" w:eastAsia="en-US" w:bidi="ar-SA"/>
              </w:rPr>
            </w:pPr>
            <w:r>
              <w:rPr>
                <w:b/>
                <w:bCs/>
                <w:kern w:val="0"/>
                <w:lang w:val="pl-PL" w:eastAsia="en-US" w:bidi="ar-SA"/>
              </w:rPr>
              <w:t>Zakontraktowana wartość dofinansowania</w:t>
            </w:r>
            <w:r>
              <w:rPr>
                <w:kern w:val="0"/>
                <w:lang w:val="pl-PL" w:eastAsia="en-US" w:bidi="ar-SA"/>
              </w:rPr>
              <w:t>: 8 404 487,90 zł</w:t>
            </w:r>
          </w:p>
          <w:p>
            <w:pPr>
              <w:pStyle w:val="Other1"/>
              <w:widowControl w:val="false"/>
              <w:spacing w:before="0" w:after="0"/>
              <w:jc w:val="both"/>
              <w:rPr>
                <w:kern w:val="0"/>
                <w:lang w:val="pl-PL" w:eastAsia="en-US" w:bidi="ar-SA"/>
              </w:rPr>
            </w:pPr>
            <w:r>
              <w:rPr>
                <w:kern w:val="0"/>
                <w:lang w:val="pl-PL" w:eastAsia="en-US" w:bidi="ar-SA"/>
              </w:rPr>
              <w:t xml:space="preserve">Osiągnięty poziom certyfikacji w odniesieniu do zakontraktowanej wartości dofinansowania: </w:t>
            </w:r>
          </w:p>
          <w:p>
            <w:pPr>
              <w:pStyle w:val="Other1"/>
              <w:widowControl w:val="false"/>
              <w:spacing w:before="0" w:after="0"/>
              <w:jc w:val="both"/>
              <w:rPr>
                <w:kern w:val="0"/>
                <w:lang w:val="pl-PL" w:eastAsia="en-US" w:bidi="ar-SA"/>
              </w:rPr>
            </w:pPr>
            <w:r>
              <w:rPr>
                <w:kern w:val="0"/>
                <w:lang w:val="pl-PL" w:eastAsia="en-US" w:bidi="ar-SA"/>
              </w:rPr>
              <w:t>(8 134 969,12 / 8 404 487,90) 96,79%</w:t>
            </w:r>
          </w:p>
          <w:p>
            <w:pPr>
              <w:pStyle w:val="Other1"/>
              <w:widowControl w:val="false"/>
              <w:spacing w:before="0" w:after="0"/>
              <w:jc w:val="both"/>
              <w:rPr>
                <w:kern w:val="0"/>
                <w:lang w:val="pl-PL" w:eastAsia="en-US" w:bidi="ar-SA"/>
              </w:rPr>
            </w:pPr>
            <w:r>
              <w:rPr>
                <w:kern w:val="0"/>
                <w:lang w:val="pl-PL" w:eastAsia="en-US" w:bidi="ar-SA"/>
              </w:rPr>
            </w:r>
          </w:p>
          <w:p>
            <w:pPr>
              <w:pStyle w:val="Other1"/>
              <w:widowControl w:val="false"/>
              <w:spacing w:before="0" w:after="0"/>
              <w:jc w:val="both"/>
              <w:rPr>
                <w:kern w:val="0"/>
                <w:lang w:val="pl-PL" w:eastAsia="en-US" w:bidi="ar-SA"/>
              </w:rPr>
            </w:pPr>
            <w:r>
              <w:rPr>
                <w:b/>
                <w:bCs/>
                <w:kern w:val="0"/>
                <w:lang w:val="pl-PL" w:eastAsia="en-US" w:bidi="ar-SA"/>
              </w:rPr>
              <w:t>Wartość korekt finansowych nałożonych na Beneficjenta</w:t>
            </w:r>
            <w:r>
              <w:rPr>
                <w:kern w:val="0"/>
                <w:lang w:val="pl-PL" w:eastAsia="en-US" w:bidi="ar-SA"/>
              </w:rPr>
              <w:t xml:space="preserve">: </w:t>
            </w:r>
          </w:p>
          <w:p>
            <w:pPr>
              <w:pStyle w:val="Other1"/>
              <w:widowControl w:val="false"/>
              <w:spacing w:before="0" w:after="0"/>
              <w:jc w:val="both"/>
              <w:rPr>
                <w:kern w:val="0"/>
                <w:lang w:val="pl-PL" w:eastAsia="en-US" w:bidi="ar-SA"/>
              </w:rPr>
            </w:pPr>
            <w:r>
              <w:rPr>
                <w:kern w:val="0"/>
                <w:lang w:val="pl-PL" w:eastAsia="en-US" w:bidi="ar-SA"/>
              </w:rPr>
              <w:t>Wartość korekty: 593,54 zł</w:t>
            </w:r>
          </w:p>
          <w:p>
            <w:pPr>
              <w:pStyle w:val="Other1"/>
              <w:widowControl w:val="false"/>
              <w:spacing w:before="0" w:after="0"/>
              <w:jc w:val="both"/>
              <w:rPr>
                <w:kern w:val="0"/>
                <w:lang w:val="pl-PL" w:eastAsia="en-US" w:bidi="ar-SA"/>
              </w:rPr>
            </w:pPr>
            <w:r>
              <w:rPr>
                <w:kern w:val="0"/>
                <w:lang w:val="pl-PL" w:eastAsia="en-US" w:bidi="ar-SA"/>
              </w:rPr>
            </w:r>
          </w:p>
          <w:p>
            <w:pPr>
              <w:pStyle w:val="Other1"/>
              <w:widowControl w:val="false"/>
              <w:spacing w:before="0" w:after="0"/>
              <w:jc w:val="both"/>
              <w:rPr>
                <w:kern w:val="0"/>
                <w:lang w:val="pl-PL" w:eastAsia="en-US" w:bidi="ar-SA"/>
              </w:rPr>
            </w:pPr>
            <w:r>
              <w:rPr>
                <w:b/>
                <w:bCs/>
                <w:kern w:val="0"/>
                <w:lang w:val="pl-PL" w:eastAsia="en-US" w:bidi="ar-SA"/>
              </w:rPr>
              <w:t>Wyjaśnienie</w:t>
            </w:r>
            <w:r>
              <w:rPr>
                <w:kern w:val="0"/>
                <w:lang w:val="pl-PL" w:eastAsia="en-US" w:bidi="ar-SA"/>
              </w:rPr>
              <w:t>:</w:t>
            </w:r>
          </w:p>
          <w:p>
            <w:pPr>
              <w:pStyle w:val="Other1"/>
              <w:widowControl w:val="false"/>
              <w:spacing w:before="0" w:after="0"/>
              <w:jc w:val="both"/>
              <w:rPr>
                <w:kern w:val="0"/>
                <w:lang w:val="pl-PL" w:eastAsia="en-US" w:bidi="ar-SA"/>
              </w:rPr>
            </w:pPr>
            <w:r>
              <w:rPr>
                <w:kern w:val="0"/>
                <w:lang w:val="pl-PL" w:eastAsia="en-US" w:bidi="ar-SA"/>
              </w:rPr>
              <w:t>Korekta 5% do kontraktu 394/2017 – ZADANIE 4 i 5 (pismo CPPC z dn. 17.06.2021)</w:t>
            </w:r>
          </w:p>
          <w:p>
            <w:pPr>
              <w:pStyle w:val="Other1"/>
              <w:widowControl w:val="false"/>
              <w:spacing w:before="0" w:after="0"/>
              <w:jc w:val="both"/>
              <w:rPr>
                <w:kern w:val="0"/>
                <w:lang w:val="pl-PL" w:eastAsia="en-US" w:bidi="ar-SA"/>
              </w:rPr>
            </w:pPr>
            <w:r>
              <w:rPr>
                <w:kern w:val="0"/>
                <w:lang w:val="pl-PL" w:eastAsia="en-US" w:bidi="ar-SA"/>
              </w:rPr>
              <w:t xml:space="preserve">Zamówienie ZP/NIFC-20/2017 na rezerwację i sprzedaż biletów lotniczych na loty rejsowe, czarterowe krajowe oraz zagraniczne dla potrzeb przedsięwzięć i wydarzeń kulturalnych oraz artystycznych i podróży służbowych organizowanych przez Narodowy Instytut Fryderyka Chopina </w:t>
            </w:r>
          </w:p>
          <w:p>
            <w:pPr>
              <w:pStyle w:val="Other1"/>
              <w:widowControl w:val="false"/>
              <w:spacing w:before="0" w:after="0"/>
              <w:jc w:val="both"/>
              <w:rPr>
                <w:kern w:val="0"/>
                <w:lang w:val="pl-PL" w:eastAsia="en-US" w:bidi="ar-SA"/>
              </w:rPr>
            </w:pPr>
            <w:r>
              <w:rPr>
                <w:kern w:val="0"/>
                <w:lang w:val="pl-PL" w:eastAsia="en-US" w:bidi="ar-SA"/>
              </w:rPr>
              <w:t>Przyczyny nałożenia korekty: naruszenie art. 24 ust. 4 i ustawy Pzp oraz art. 89 ust. 1 pkt 5 ustawy Pzp</w:t>
            </w:r>
          </w:p>
        </w:tc>
      </w:tr>
      <w:tr>
        <w:trPr>
          <w:trHeight w:val="3813" w:hRule="atLeast"/>
        </w:trPr>
        <w:tc>
          <w:tcPr>
            <w:tcW w:w="478" w:type="dxa"/>
            <w:tcBorders/>
          </w:tcPr>
          <w:p>
            <w:pPr>
              <w:pStyle w:val="ListParagraph"/>
              <w:widowControl w:val="false"/>
              <w:numPr>
                <w:ilvl w:val="0"/>
                <w:numId w:val="1"/>
              </w:numPr>
              <w:suppressAutoHyphens w:val="true"/>
              <w:spacing w:lineRule="auto" w:line="240" w:before="0" w:after="0"/>
              <w:contextualSpacing/>
              <w:jc w:val="both"/>
              <w:rPr>
                <w:rFonts w:ascii="Arial" w:hAnsi="Arial" w:eastAsia="Calibri"/>
                <w:sz w:val="18"/>
                <w:szCs w:val="18"/>
              </w:rPr>
            </w:pPr>
            <w:r>
              <w:rPr>
                <w:rFonts w:eastAsia="Calibri" w:ascii="Arial" w:hAnsi="Arial"/>
                <w:sz w:val="18"/>
                <w:szCs w:val="18"/>
              </w:rPr>
            </w:r>
          </w:p>
        </w:tc>
        <w:tc>
          <w:tcPr>
            <w:tcW w:w="1759" w:type="dxa"/>
            <w:tcBorders/>
          </w:tcPr>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Postęp rzeczowy</w:t>
            </w:r>
          </w:p>
        </w:tc>
        <w:tc>
          <w:tcPr>
            <w:tcW w:w="7397" w:type="dxa"/>
            <w:tcBorders/>
          </w:tcPr>
          <w:p>
            <w:pPr>
              <w:pStyle w:val="Normal"/>
              <w:widowControl w:val="false"/>
              <w:suppressAutoHyphens w:val="false"/>
              <w:spacing w:lineRule="auto" w:line="240" w:before="0" w:after="0"/>
              <w:jc w:val="both"/>
              <w:rPr>
                <w:rFonts w:ascii="Calibri" w:hAnsi="Calibri"/>
                <w:sz w:val="18"/>
                <w:szCs w:val="18"/>
              </w:rPr>
            </w:pPr>
            <w:r>
              <w:rPr>
                <w:rFonts w:eastAsia="Calibri" w:cs="Calibri"/>
                <w:bCs/>
                <w:color w:val="000000"/>
                <w:kern w:val="0"/>
                <w:sz w:val="18"/>
                <w:szCs w:val="18"/>
                <w:lang w:val="pl-PL" w:eastAsia="en-US" w:bidi="ar-SA"/>
              </w:rPr>
              <w:t>Pierwotna planowana data rozpoczęcia realizacji projektu: 2019-01-01</w:t>
            </w:r>
          </w:p>
          <w:p>
            <w:pPr>
              <w:pStyle w:val="Normal"/>
              <w:widowControl w:val="false"/>
              <w:suppressAutoHyphens w:val="false"/>
              <w:spacing w:lineRule="auto" w:line="240" w:before="0" w:after="0"/>
              <w:jc w:val="both"/>
              <w:rPr>
                <w:rFonts w:ascii="Calibri" w:hAnsi="Calibri"/>
                <w:sz w:val="18"/>
                <w:szCs w:val="18"/>
              </w:rPr>
            </w:pPr>
            <w:r>
              <w:rPr>
                <w:rFonts w:eastAsia="Calibri" w:cs="Calibri"/>
                <w:bCs/>
                <w:color w:val="000000"/>
                <w:kern w:val="0"/>
                <w:sz w:val="18"/>
                <w:szCs w:val="18"/>
                <w:lang w:val="pl-PL" w:eastAsia="en-US" w:bidi="ar-SA"/>
              </w:rPr>
              <w:t>Ostatnia planowana data rozpoczęcia realizacji projektu: 2019-01-01</w:t>
            </w:r>
          </w:p>
          <w:p>
            <w:pPr>
              <w:pStyle w:val="Normal"/>
              <w:widowControl w:val="false"/>
              <w:suppressAutoHyphens w:val="false"/>
              <w:spacing w:lineRule="auto" w:line="240" w:before="0" w:after="0"/>
              <w:jc w:val="both"/>
              <w:rPr>
                <w:rFonts w:ascii="Calibri" w:hAnsi="Calibri" w:eastAsia="Calibri"/>
                <w:sz w:val="18"/>
                <w:szCs w:val="18"/>
              </w:rPr>
            </w:pPr>
            <w:r>
              <w:rPr>
                <w:rFonts w:eastAsia="Calibri" w:cs="Calibri"/>
                <w:b/>
                <w:bCs/>
                <w:color w:val="000000"/>
                <w:kern w:val="0"/>
                <w:sz w:val="18"/>
                <w:szCs w:val="18"/>
                <w:lang w:val="pl-PL" w:eastAsia="en-US" w:bidi="ar-SA"/>
              </w:rPr>
              <w:t xml:space="preserve">Faktyczna data rozpoczęcia realizacji projektu: </w:t>
            </w:r>
            <w:r>
              <w:rPr>
                <w:rFonts w:eastAsia="Calibri" w:cs="Calibri"/>
                <w:bCs/>
                <w:color w:val="000000"/>
                <w:kern w:val="0"/>
                <w:sz w:val="18"/>
                <w:szCs w:val="18"/>
                <w:lang w:val="pl-PL" w:eastAsia="en-US" w:bidi="ar-SA"/>
              </w:rPr>
              <w:t>2019-01-01</w:t>
            </w:r>
          </w:p>
          <w:p>
            <w:pPr>
              <w:pStyle w:val="Normal"/>
              <w:widowControl w:val="false"/>
              <w:suppressAutoHyphens w:val="false"/>
              <w:spacing w:lineRule="auto" w:line="240" w:before="0" w:after="0"/>
              <w:jc w:val="both"/>
              <w:rPr>
                <w:rFonts w:ascii="Calibri" w:hAnsi="Calibri"/>
                <w:sz w:val="18"/>
                <w:szCs w:val="18"/>
              </w:rPr>
            </w:pPr>
            <w:r>
              <w:rPr>
                <w:rFonts w:eastAsia="Calibri" w:cs="Calibri"/>
                <w:bCs/>
                <w:color w:val="000000"/>
                <w:kern w:val="0"/>
                <w:sz w:val="18"/>
                <w:szCs w:val="18"/>
                <w:lang w:val="pl-PL" w:eastAsia="en-US" w:bidi="ar-SA"/>
              </w:rPr>
              <w:t>Pierwotna planowana data zakończenia realizacji projektu: 2021-12-31</w:t>
            </w:r>
          </w:p>
          <w:p>
            <w:pPr>
              <w:pStyle w:val="Normal"/>
              <w:widowControl w:val="false"/>
              <w:suppressAutoHyphens w:val="false"/>
              <w:spacing w:lineRule="auto" w:line="240" w:before="0" w:after="0"/>
              <w:jc w:val="both"/>
              <w:rPr>
                <w:rFonts w:ascii="Calibri" w:hAnsi="Calibri"/>
                <w:sz w:val="18"/>
                <w:szCs w:val="18"/>
              </w:rPr>
            </w:pPr>
            <w:r>
              <w:rPr>
                <w:rFonts w:eastAsia="Calibri" w:cs="Calibri"/>
                <w:bCs/>
                <w:color w:val="000000"/>
                <w:kern w:val="0"/>
                <w:sz w:val="18"/>
                <w:szCs w:val="18"/>
                <w:lang w:val="pl-PL" w:eastAsia="en-US" w:bidi="ar-SA"/>
              </w:rPr>
              <w:t>Ostatnia planowana data zakończenia realizacji projektu: 2022-08-31</w:t>
            </w:r>
          </w:p>
          <w:p>
            <w:pPr>
              <w:pStyle w:val="Normal"/>
              <w:widowControl w:val="false"/>
              <w:suppressAutoHyphens w:val="false"/>
              <w:spacing w:lineRule="auto" w:line="240" w:before="0" w:after="0"/>
              <w:jc w:val="both"/>
              <w:rPr>
                <w:rFonts w:ascii="Calibri" w:hAnsi="Calibri" w:eastAsia="Calibri"/>
                <w:sz w:val="18"/>
                <w:szCs w:val="18"/>
              </w:rPr>
            </w:pPr>
            <w:r>
              <w:rPr>
                <w:rFonts w:eastAsia="Calibri" w:cs="Calibri"/>
                <w:b/>
                <w:bCs/>
                <w:color w:val="000000"/>
                <w:kern w:val="0"/>
                <w:sz w:val="18"/>
                <w:szCs w:val="18"/>
                <w:lang w:val="pl-PL" w:eastAsia="en-US" w:bidi="ar-SA"/>
              </w:rPr>
              <w:t xml:space="preserve">Faktyczna data zakończenia realizacji projektu: </w:t>
            </w:r>
            <w:r>
              <w:rPr>
                <w:rFonts w:eastAsia="Calibri" w:cs="Calibri"/>
                <w:bCs/>
                <w:color w:val="000000"/>
                <w:kern w:val="0"/>
                <w:sz w:val="18"/>
                <w:szCs w:val="18"/>
                <w:lang w:val="pl-PL" w:eastAsia="en-US" w:bidi="ar-SA"/>
              </w:rPr>
              <w:t>2022-08-31</w:t>
            </w:r>
          </w:p>
          <w:p>
            <w:pPr>
              <w:pStyle w:val="Normal"/>
              <w:widowControl w:val="false"/>
              <w:suppressAutoHyphens w:val="false"/>
              <w:spacing w:lineRule="auto" w:line="240" w:before="0" w:after="0"/>
              <w:jc w:val="both"/>
              <w:rPr>
                <w:rFonts w:ascii="Calibri" w:hAnsi="Calibri" w:eastAsia="Calibri" w:cs="Calibri"/>
                <w:color w:val="000000"/>
                <w:sz w:val="18"/>
                <w:szCs w:val="18"/>
              </w:rPr>
            </w:pPr>
            <w:r>
              <w:rPr>
                <w:rFonts w:eastAsia="Calibri" w:cs="Calibri"/>
                <w:color w:val="000000"/>
                <w:sz w:val="18"/>
                <w:szCs w:val="18"/>
              </w:rPr>
            </w:r>
          </w:p>
          <w:p>
            <w:pPr>
              <w:pStyle w:val="Other1"/>
              <w:widowControl w:val="false"/>
              <w:spacing w:before="0" w:after="0"/>
              <w:jc w:val="both"/>
              <w:rPr>
                <w:kern w:val="0"/>
                <w:lang w:val="pl-PL" w:eastAsia="en-US" w:bidi="ar-SA"/>
              </w:rPr>
            </w:pPr>
            <w:r>
              <w:rPr>
                <w:b/>
                <w:bCs/>
                <w:color w:val="000000"/>
                <w:kern w:val="0"/>
                <w:lang w:val="pl-PL" w:eastAsia="en-US" w:bidi="ar-SA"/>
              </w:rPr>
              <w:t xml:space="preserve">Przyczyną zmiany terminu zakończenia realizacji projektu w stosunku do pierwotnego planu jest: </w:t>
            </w:r>
            <w:r>
              <w:rPr>
                <w:color w:val="000000"/>
                <w:kern w:val="0"/>
                <w:lang w:val="pl-PL" w:eastAsia="en-US" w:bidi="ar-SA"/>
              </w:rPr>
              <w:t>Z uwagi na niekorzystną sytuację pandemiczną w 2021 roku doszło do opóźnień w realizacji części prac digitalizacyjnych oraz katalogowych spowodowanych zachorowaniami na Covid-19 wśród personelu firm wykonujących prace zlecone a także z powodu znacznych ograniczeń w działalności placówek, których zbiory poddane były digitalizacji. Sytuacja taka miała szczególnie istotny wpływ na prace w dwu kluczowych z perspektywy ilościowej kolekcjach, czyli Bibliotece Gdańskiej Polskiej Akademii Nauk (PL-GD) a także Warszawskim Towarzystwie Muzycznym (PL-Wtm). W Przypadku PL-GD konieczne było ograniczenie tempa prac spowodowane zmianowym systemem pracy oraz ograniczeniami w dostępie do materiałów źródłowych. Skutkowało to przekroczeniem terminu realizacji kamienia milowego. W przypadku PL-GD doszło do zachorowania oraz ciężkiego przebiegu choroby u dwu z trzech osób zatrudnionych w bibliotece tej instytucji, co spowodowało niemal miesięczne zatrzymanie prac. Czynnikiem znacząco utrudniającym pracę samemu zespołowi projektowemu w ostatnim kwartale roku 2021 oraz od początku roku 2022 były niezwykle liczne przypadki zachorowań na Covid-19 wśród członków zespołu (w tym kierownika projektu oraz niemal wszystkich koordynatorów).</w:t>
            </w:r>
          </w:p>
          <w:p>
            <w:pPr>
              <w:pStyle w:val="Other1"/>
              <w:widowControl w:val="false"/>
              <w:spacing w:before="0" w:after="0"/>
              <w:jc w:val="both"/>
              <w:rPr>
                <w:color w:val="000000"/>
              </w:rPr>
            </w:pPr>
            <w:r>
              <w:rPr>
                <w:color w:val="000000"/>
              </w:rPr>
            </w:r>
          </w:p>
          <w:p>
            <w:pPr>
              <w:pStyle w:val="Other1"/>
              <w:widowControl w:val="false"/>
              <w:spacing w:before="0" w:after="0"/>
              <w:jc w:val="both"/>
              <w:rPr>
                <w:kern w:val="0"/>
                <w:lang w:val="pl-PL" w:eastAsia="en-US" w:bidi="ar-SA"/>
              </w:rPr>
            </w:pPr>
            <w:r>
              <w:rPr>
                <w:b/>
                <w:bCs/>
                <w:color w:val="000000"/>
                <w:kern w:val="0"/>
                <w:lang w:val="pl-PL" w:eastAsia="en-US" w:bidi="ar-SA"/>
              </w:rPr>
              <w:t>Wszystkie zadania w projekcie zostały zrealizowane zgodnie z planowanym zakresem. Status realizacji zadań na zakończenie projektu:</w:t>
            </w:r>
          </w:p>
          <w:p>
            <w:pPr>
              <w:pStyle w:val="Other1"/>
              <w:widowControl w:val="false"/>
              <w:spacing w:before="0" w:after="0"/>
              <w:jc w:val="both"/>
              <w:rPr>
                <w:kern w:val="0"/>
                <w:lang w:val="pl-PL" w:eastAsia="en-US" w:bidi="ar-SA"/>
              </w:rPr>
            </w:pPr>
            <w:r>
              <w:rPr>
                <w:kern w:val="0"/>
                <w:lang w:val="pl-PL" w:eastAsia="en-US" w:bidi="ar-SA"/>
              </w:rPr>
            </w:r>
          </w:p>
          <w:p>
            <w:pPr>
              <w:pStyle w:val="Normal"/>
              <w:widowControl w:val="false"/>
              <w:suppressAutoHyphens w:val="true"/>
              <w:spacing w:lineRule="auto" w:line="240" w:before="0" w:after="0"/>
              <w:jc w:val="both"/>
              <w:rPr>
                <w:rFonts w:ascii="Arial" w:hAnsi="Arial" w:eastAsia="Calibri"/>
                <w:color w:val="000000"/>
                <w:sz w:val="18"/>
                <w:szCs w:val="18"/>
              </w:rPr>
            </w:pPr>
            <w:r>
              <w:rPr>
                <w:rFonts w:eastAsia="Calibri" w:ascii="Arial" w:hAnsi="Arial"/>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W opisie zadań podano aktualną datę planowaną na podstawie ostatniej wersji umowy [A] oraz rzeczywistą datę realizacji [R].</w:t>
            </w:r>
          </w:p>
          <w:p>
            <w:pPr>
              <w:pStyle w:val="Normal"/>
              <w:widowControl w:val="false"/>
              <w:suppressAutoHyphens w:val="true"/>
              <w:spacing w:lineRule="auto" w:line="240" w:before="0" w:after="0"/>
              <w:jc w:val="both"/>
              <w:rPr>
                <w:rFonts w:ascii="Arial" w:hAnsi="Arial" w:eastAsia="Calibri"/>
                <w:color w:val="000000"/>
                <w:sz w:val="18"/>
                <w:szCs w:val="18"/>
              </w:rPr>
            </w:pPr>
            <w:r>
              <w:rPr>
                <w:rFonts w:eastAsia="Calibri" w:ascii="Arial" w:hAnsi="Arial"/>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Zadanie 1 „Zakup sprzętu i materiałów do digitalizacji”. Zadanie zakończone i zrealizowane. A: 06-2019, R: 07-2019.</w:t>
            </w:r>
          </w:p>
          <w:p>
            <w:pPr>
              <w:pStyle w:val="Normal"/>
              <w:widowControl w:val="false"/>
              <w:suppressAutoHyphens w:val="true"/>
              <w:spacing w:lineRule="auto" w:line="240" w:before="0" w:after="0"/>
              <w:jc w:val="both"/>
              <w:rPr>
                <w:rFonts w:ascii="Calibri" w:hAnsi="Calibri" w:eastAsia="Calibri"/>
                <w:color w:val="000000"/>
                <w:sz w:val="18"/>
                <w:szCs w:val="18"/>
              </w:rPr>
            </w:pPr>
            <w:r>
              <w:rPr>
                <w:rFonts w:eastAsia="Calibri"/>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Zadanie 2 „Digitalizacja kolekcji muzykaliów”. Z uwagi na sytuację epidemiczną w pierwszym kwartale 2021 przekroczono termin planowany, krytyczny i ostateczny kamienia milowego "Zakończenie digitalizacji podpisanie protokołów odbioru". W związku z powyższym zwrócono się z wnioskiem o zmianę terminu realizacji zadania. Kamień milowy "Zakończenie digitalizacji podpisanie protokołów odbioru" zrealizowano 2021-09-11. Zadanie zakończone i zrealizowane. A: 06-2021, R: 09-2021.</w:t>
            </w:r>
          </w:p>
          <w:p>
            <w:pPr>
              <w:pStyle w:val="Normal"/>
              <w:widowControl w:val="false"/>
              <w:suppressAutoHyphens w:val="true"/>
              <w:spacing w:lineRule="auto" w:line="240" w:before="0" w:after="0"/>
              <w:jc w:val="both"/>
              <w:rPr>
                <w:rFonts w:ascii="Calibri" w:hAnsi="Calibri" w:eastAsia="Calibri"/>
                <w:color w:val="000000"/>
                <w:sz w:val="18"/>
                <w:szCs w:val="18"/>
              </w:rPr>
            </w:pPr>
            <w:r>
              <w:rPr>
                <w:rFonts w:eastAsia="Calibri"/>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Zadanie 3 „Tworzenie metadanych do bazy RISM w systemie Muscat”. Zadanie zakończone i zrealizowane. A: 2022-08, R: 2022-08.</w:t>
            </w:r>
          </w:p>
          <w:p>
            <w:pPr>
              <w:pStyle w:val="Normal"/>
              <w:widowControl w:val="false"/>
              <w:suppressAutoHyphens w:val="true"/>
              <w:spacing w:lineRule="auto" w:line="240" w:before="0" w:after="0"/>
              <w:jc w:val="both"/>
              <w:rPr>
                <w:rFonts w:ascii="Calibri" w:hAnsi="Calibri" w:eastAsia="Calibri"/>
                <w:color w:val="000000"/>
                <w:sz w:val="18"/>
                <w:szCs w:val="18"/>
              </w:rPr>
            </w:pPr>
            <w:r>
              <w:rPr>
                <w:rFonts w:eastAsia="Calibri"/>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Zadanie 4 „Wykonanie transkrypcji zbiorów”. Zadanie zakończone i zrealizowane. Kamień milowy "Zakończenie przygotowywania transkrypcji" zrealizowano 2022 08-10. A: 08-2022, R: 08-2022.</w:t>
            </w:r>
          </w:p>
          <w:p>
            <w:pPr>
              <w:pStyle w:val="Normal"/>
              <w:widowControl w:val="false"/>
              <w:suppressAutoHyphens w:val="true"/>
              <w:spacing w:lineRule="auto" w:line="240" w:before="0" w:after="0"/>
              <w:jc w:val="both"/>
              <w:rPr>
                <w:rFonts w:ascii="Calibri" w:hAnsi="Calibri" w:eastAsia="Calibri"/>
                <w:color w:val="000000"/>
                <w:sz w:val="18"/>
                <w:szCs w:val="18"/>
              </w:rPr>
            </w:pPr>
            <w:r>
              <w:rPr>
                <w:rFonts w:eastAsia="Calibri"/>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Zadanie 5 „Prace programistyczne w zakresie oprogramowania”. Zadanie zakończone i zrealizowane. Kamień milowy "Uruchomienie portalu muzealnego i publikacja online" zrealizowano 2022-08-02. A: 08-2022, 08-2022</w:t>
            </w:r>
          </w:p>
          <w:p>
            <w:pPr>
              <w:pStyle w:val="Normal"/>
              <w:widowControl w:val="false"/>
              <w:suppressAutoHyphens w:val="true"/>
              <w:spacing w:lineRule="auto" w:line="240" w:before="0" w:after="0"/>
              <w:jc w:val="both"/>
              <w:rPr>
                <w:rFonts w:ascii="Calibri" w:hAnsi="Calibri" w:eastAsia="Calibri"/>
                <w:color w:val="000000"/>
                <w:sz w:val="18"/>
                <w:szCs w:val="18"/>
              </w:rPr>
            </w:pPr>
            <w:r>
              <w:rPr>
                <w:rFonts w:eastAsia="Calibri"/>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Zadanie 6 „Koordynacja i wdrażanie działań”. Zadanie zakończone. Zadania zrealizowane przez zespół projektowy zgodnie z harmonogramem z wykorzystaniem założonej metodyki. Odbywały się regularne spotkania Komitetu Sterującego. Kamień milowy "Realizacja zadań przez zespół projektowy" zrealizowano 2022-08-31. A: 08-2022, 08-2022.</w:t>
            </w:r>
          </w:p>
          <w:p>
            <w:pPr>
              <w:pStyle w:val="Normal"/>
              <w:widowControl w:val="false"/>
              <w:suppressAutoHyphens w:val="true"/>
              <w:spacing w:lineRule="auto" w:line="240" w:before="0" w:after="0"/>
              <w:jc w:val="both"/>
              <w:rPr>
                <w:rFonts w:ascii="Calibri" w:hAnsi="Calibri" w:eastAsia="Calibri"/>
                <w:color w:val="000000"/>
                <w:sz w:val="18"/>
                <w:szCs w:val="18"/>
              </w:rPr>
            </w:pPr>
            <w:r>
              <w:rPr>
                <w:rFonts w:eastAsia="Calibri"/>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Zadanie 7 „Delegacje, konsultacje i tłumaczenia”. Zadanie zrealizowane i zakończone. Kamień milowy "Podpisanie protokołów odbioru"zrealizowano 2022-08-01. Z uwagi na sytuację epidemiologiczną nie realizowano delegacji zagranicznych. A: 08-2022, R: 08-2022.</w:t>
            </w:r>
          </w:p>
          <w:p>
            <w:pPr>
              <w:pStyle w:val="Normal"/>
              <w:widowControl w:val="false"/>
              <w:suppressAutoHyphens w:val="true"/>
              <w:spacing w:lineRule="auto" w:line="240" w:before="0" w:after="0"/>
              <w:jc w:val="both"/>
              <w:rPr>
                <w:rFonts w:ascii="Calibri" w:hAnsi="Calibri" w:eastAsia="Calibri"/>
                <w:color w:val="000000"/>
                <w:sz w:val="18"/>
                <w:szCs w:val="18"/>
              </w:rPr>
            </w:pPr>
            <w:r>
              <w:rPr>
                <w:rFonts w:eastAsia="Calibri"/>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Zadanie 8 „Informacja i promocja”. Zadanie zakończone i zrealizowane. Przeprowadzono konferencję prasową a także konferencję dla specjalistów (badaczy). Zrealizowano założenia promocyjne (kampania outdoor, promocja w mediach społecznościowych, spoty radiowe i in.). Osiągnięto kamień milowy "Publikacja materiałów promocyjnych" w terminie planowanym 2021-04-01. A: 08-2022, R: 08-2022.</w:t>
            </w:r>
          </w:p>
          <w:p>
            <w:pPr>
              <w:pStyle w:val="Normal"/>
              <w:widowControl w:val="false"/>
              <w:suppressAutoHyphens w:val="true"/>
              <w:spacing w:lineRule="auto" w:line="240" w:before="0" w:after="0"/>
              <w:jc w:val="both"/>
              <w:rPr>
                <w:rFonts w:ascii="Calibri" w:hAnsi="Calibri" w:eastAsia="Calibri"/>
                <w:color w:val="000000"/>
                <w:sz w:val="18"/>
                <w:szCs w:val="18"/>
              </w:rPr>
            </w:pPr>
            <w:r>
              <w:rPr>
                <w:rFonts w:eastAsia="Calibri"/>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Zadanie 9 „Koszty pośrednie”. Zadania zrealizowane przez pracowników w składzie zgodnie z decyzją Dyrektora NIFC o powołaniu pracowników do realizacji projektu. A: 08-2022, R: 08-2022.</w:t>
            </w:r>
          </w:p>
          <w:p>
            <w:pPr>
              <w:pStyle w:val="Normal"/>
              <w:widowControl w:val="false"/>
              <w:suppressAutoHyphens w:val="true"/>
              <w:spacing w:lineRule="auto" w:line="240" w:before="0" w:after="0"/>
              <w:jc w:val="both"/>
              <w:rPr>
                <w:rFonts w:ascii="Arial" w:hAnsi="Arial" w:eastAsia="Calibri"/>
                <w:color w:val="000000"/>
                <w:sz w:val="18"/>
                <w:szCs w:val="18"/>
              </w:rPr>
            </w:pPr>
            <w:r>
              <w:rPr>
                <w:rFonts w:eastAsia="Calibri" w:ascii="Arial" w:hAnsi="Arial"/>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Kamienie milowe</w:t>
            </w:r>
          </w:p>
          <w:p>
            <w:pPr>
              <w:pStyle w:val="Normal"/>
              <w:widowControl w:val="false"/>
              <w:suppressAutoHyphens w:val="true"/>
              <w:spacing w:lineRule="auto" w:line="240" w:before="0" w:after="0"/>
              <w:jc w:val="both"/>
              <w:rPr>
                <w:rFonts w:ascii="Arial" w:hAnsi="Arial" w:eastAsia="Calibri"/>
                <w:color w:val="000000"/>
                <w:sz w:val="18"/>
                <w:szCs w:val="18"/>
              </w:rPr>
            </w:pPr>
            <w:r>
              <w:rPr>
                <w:rFonts w:eastAsia="Calibri" w:ascii="Arial" w:hAnsi="Arial"/>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W opisie kamieni milowych podano pierwotnie planowaną datę realizacji [P], aktualną datę planowaną na podstawie ostatniej wersji umowy [A] oraz rzeczywistą datę realizacji [R].</w:t>
            </w:r>
          </w:p>
          <w:p>
            <w:pPr>
              <w:pStyle w:val="Normal"/>
              <w:widowControl w:val="false"/>
              <w:suppressAutoHyphens w:val="true"/>
              <w:spacing w:lineRule="auto" w:line="240" w:before="0" w:after="0"/>
              <w:jc w:val="both"/>
              <w:rPr>
                <w:rFonts w:ascii="Arial" w:hAnsi="Arial" w:eastAsia="Calibri"/>
                <w:color w:val="000000"/>
                <w:sz w:val="18"/>
                <w:szCs w:val="18"/>
              </w:rPr>
            </w:pPr>
            <w:r>
              <w:rPr>
                <w:rFonts w:eastAsia="Calibri" w:ascii="Arial" w:hAnsi="Arial"/>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w:t>
            </w:r>
            <w:r>
              <w:rPr>
                <w:rFonts w:eastAsia="Calibri" w:cs="" w:ascii="Arial" w:hAnsi="Arial"/>
                <w:color w:val="000000"/>
                <w:kern w:val="0"/>
                <w:sz w:val="18"/>
                <w:szCs w:val="18"/>
                <w:lang w:val="pl-PL" w:eastAsia="en-US" w:bidi="ar-SA"/>
              </w:rPr>
              <w:t>Odbiór i zakończenie testowania sprzętu”: Zadanie niemal w całości zostało zrealizowane przed upłynięciem planowanego terminu realizacji. Niestety z uwagi na konieczność unieważnienia postępowania na sprzęt fotograficzny (brak ofert – przetarg nr ZP/NIFC-23/2019) niemożliwe było zrealizowanie tej części zadania w terminie planowanym, oraz doszło do nieznacznego przekroczenia terminu ostatecznego. Po powtórzeniu postępowania otrzymano ofertę oraz podpisano umowę na zakup (przetarg nr ZP/NIFC-29/2019). Podczas realizacji zadania doszło także do opóźnienia realizacji zakupu skanera (przetarg ZP/NIFC-15/2019). Opóźnienie wynikało z faktu, że została złożona skarga do Krajowej Izby Odwoławczej w związku z zamówieniem, co uniemożliwiło terminowe podpisanie umowy na dostawę sprzętu. Skarga została wycofana, zaś sprzęt został dostarczony i przetestowany. Należy podkreślić, że wskazane zadania zostały zrealizowane zgodnie z założeniami, a jedynie w przypadku dostawy sprzętu fotograficznego oraz skanera doszło do przekroczenia planowanych terminów. Także jednak w tym przypadku zadania zostały zrealizowane. Ostatni zakup z zadania - zakup aparatu cyfrowego nastąpił w dniu 25.07.2019. P: 2019-06, A: 2019-06-02, R: 2019-07-25.</w:t>
            </w:r>
          </w:p>
          <w:p>
            <w:pPr>
              <w:pStyle w:val="Normal"/>
              <w:widowControl w:val="false"/>
              <w:suppressAutoHyphens w:val="true"/>
              <w:spacing w:lineRule="auto" w:line="240" w:before="0" w:after="0"/>
              <w:jc w:val="both"/>
              <w:rPr>
                <w:rFonts w:ascii="Arial" w:hAnsi="Arial" w:eastAsia="Calibri"/>
                <w:color w:val="000000"/>
                <w:sz w:val="18"/>
                <w:szCs w:val="18"/>
              </w:rPr>
            </w:pPr>
            <w:r>
              <w:rPr>
                <w:rFonts w:eastAsia="Calibri" w:ascii="Arial" w:hAnsi="Arial"/>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w:t>
            </w:r>
            <w:r>
              <w:rPr>
                <w:rFonts w:eastAsia="Calibri" w:cs="" w:ascii="Arial" w:hAnsi="Arial"/>
                <w:color w:val="000000"/>
                <w:kern w:val="0"/>
                <w:sz w:val="18"/>
                <w:szCs w:val="18"/>
                <w:lang w:val="pl-PL" w:eastAsia="en-US" w:bidi="ar-SA"/>
              </w:rPr>
              <w:t>Zakończenie digitalizacji PL-Wtm”: Kamień milowy osiągnięty w terminie 2020-06-17. Przekroczenie planowanej daty zakończenia wynikało z faktu zamknięcia archiwum w okresie pandemii, co uniemożliwiło prowadzenie prac. Przesunięcie nie wpłynęło na realizację pozostałych zadań. P: 2020-04, A: 2020-04-01, R: 2020-06-17.</w:t>
            </w:r>
          </w:p>
          <w:p>
            <w:pPr>
              <w:pStyle w:val="Normal"/>
              <w:widowControl w:val="false"/>
              <w:suppressAutoHyphens w:val="true"/>
              <w:spacing w:lineRule="auto" w:line="240" w:before="0" w:after="0"/>
              <w:jc w:val="both"/>
              <w:rPr>
                <w:rFonts w:ascii="Arial" w:hAnsi="Arial" w:eastAsia="Calibri"/>
                <w:color w:val="000000"/>
                <w:sz w:val="18"/>
                <w:szCs w:val="18"/>
              </w:rPr>
            </w:pPr>
            <w:r>
              <w:rPr>
                <w:rFonts w:eastAsia="Calibri" w:ascii="Arial" w:hAnsi="Arial"/>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w:t>
            </w:r>
            <w:r>
              <w:rPr>
                <w:rFonts w:eastAsia="Calibri" w:cs="" w:ascii="Arial" w:hAnsi="Arial"/>
                <w:color w:val="000000"/>
                <w:kern w:val="0"/>
                <w:sz w:val="18"/>
                <w:szCs w:val="18"/>
                <w:lang w:val="pl-PL" w:eastAsia="en-US" w:bidi="ar-SA"/>
              </w:rPr>
              <w:t>Zakończenie digitalizacji PL-STAb”: Kamień milowy osiągnięty w terminie planowanym. P: 2019-12, A: 2019-12-21, R: 2019-12-21.</w:t>
            </w:r>
          </w:p>
          <w:p>
            <w:pPr>
              <w:pStyle w:val="Normal"/>
              <w:widowControl w:val="false"/>
              <w:suppressAutoHyphens w:val="true"/>
              <w:spacing w:lineRule="auto" w:line="240" w:before="0" w:after="0"/>
              <w:jc w:val="both"/>
              <w:rPr>
                <w:rFonts w:ascii="Arial" w:hAnsi="Arial" w:eastAsia="Calibri"/>
                <w:color w:val="000000"/>
                <w:sz w:val="18"/>
                <w:szCs w:val="18"/>
              </w:rPr>
            </w:pPr>
            <w:r>
              <w:rPr>
                <w:rFonts w:eastAsia="Calibri" w:ascii="Arial" w:hAnsi="Arial"/>
                <w:color w:val="000000"/>
                <w:sz w:val="18"/>
                <w:szCs w:val="18"/>
              </w:rPr>
            </w:r>
          </w:p>
          <w:p>
            <w:pPr>
              <w:pStyle w:val="Normal"/>
              <w:widowControl w:val="false"/>
              <w:suppressAutoHyphens w:val="true"/>
              <w:spacing w:lineRule="auto" w:line="240" w:before="0" w:after="0"/>
              <w:jc w:val="both"/>
              <w:rPr>
                <w:rFonts w:ascii="Arial" w:hAnsi="Arial" w:eastAsia="Calibri"/>
                <w:color w:val="000000"/>
                <w:sz w:val="18"/>
                <w:szCs w:val="18"/>
              </w:rPr>
            </w:pPr>
            <w:r>
              <w:rPr>
                <w:rFonts w:eastAsia="Calibri" w:ascii="Arial" w:hAnsi="Arial"/>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w:t>
            </w:r>
            <w:r>
              <w:rPr>
                <w:rFonts w:eastAsia="Calibri" w:cs="" w:ascii="Arial" w:hAnsi="Arial"/>
                <w:color w:val="000000"/>
                <w:kern w:val="0"/>
                <w:sz w:val="18"/>
                <w:szCs w:val="18"/>
                <w:lang w:val="pl-PL" w:eastAsia="en-US" w:bidi="ar-SA"/>
              </w:rPr>
              <w:t>Zakończenie digitalizacji – podpisanie protokołów odbioru”: Z uwagi na sytuację pandemiczną w pierwszym kwartale 2021 doszło do opóźnienia w rozpoczęciu prac digitalizacyjnych w PL-GD. Opóźnienie spowodowało, że niemożliwe było zakończenie prac w terminie planowanym, krytycznym i ostatecznym. W związku z ryzykiem przekroczenia terminu ostatecznego skierowano wniosek o zmianę terminu realizacji. Otrzymano odpowiedź negatywną ze wskazaniem konieczności wyjaśnienia opóźnień. Zadanie zrealizowano 2022-09-11. P: 2021-06, A: 2021-06-30, R: 2021-09-09.</w:t>
            </w:r>
          </w:p>
          <w:p>
            <w:pPr>
              <w:pStyle w:val="Normal"/>
              <w:widowControl w:val="false"/>
              <w:suppressAutoHyphens w:val="true"/>
              <w:spacing w:lineRule="auto" w:line="240" w:before="0" w:after="0"/>
              <w:jc w:val="both"/>
              <w:rPr>
                <w:rFonts w:ascii="Arial" w:hAnsi="Arial" w:eastAsia="Calibri"/>
                <w:color w:val="000000"/>
                <w:sz w:val="18"/>
                <w:szCs w:val="18"/>
              </w:rPr>
            </w:pPr>
            <w:r>
              <w:rPr>
                <w:rFonts w:eastAsia="Calibri" w:ascii="Arial" w:hAnsi="Arial"/>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w:t>
            </w:r>
            <w:r>
              <w:rPr>
                <w:rFonts w:eastAsia="Calibri" w:cs="" w:ascii="Arial" w:hAnsi="Arial"/>
                <w:color w:val="000000"/>
                <w:kern w:val="0"/>
                <w:sz w:val="18"/>
                <w:szCs w:val="18"/>
                <w:lang w:val="pl-PL" w:eastAsia="en-US" w:bidi="ar-SA"/>
              </w:rPr>
              <w:t>Rewizja metadanych wytworzonych w projekcie i zakończenie katalogowania”: Kamień milowy zrealizowany w terminie, jednak formalnie po przekroczeniu terminu krytycznego. Wynikało to z konieczności podpisania ostatnich protokołów odbioru metadanych dla prac digitalizacyjnych kontynuowanych we własnym zakresie na sprzęcie projektowym. P: 2021-12, A: 2022-08-01, 2022-08-11.</w:t>
            </w:r>
          </w:p>
          <w:p>
            <w:pPr>
              <w:pStyle w:val="Normal"/>
              <w:widowControl w:val="false"/>
              <w:suppressAutoHyphens w:val="true"/>
              <w:spacing w:lineRule="auto" w:line="240" w:before="0" w:after="0"/>
              <w:jc w:val="both"/>
              <w:rPr>
                <w:rFonts w:ascii="Arial" w:hAnsi="Arial" w:eastAsia="Calibri"/>
                <w:color w:val="000000"/>
                <w:sz w:val="18"/>
                <w:szCs w:val="18"/>
              </w:rPr>
            </w:pPr>
            <w:r>
              <w:rPr>
                <w:rFonts w:eastAsia="Calibri" w:ascii="Arial" w:hAnsi="Arial"/>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w:t>
            </w:r>
            <w:r>
              <w:rPr>
                <w:rFonts w:eastAsia="Calibri" w:cs="" w:ascii="Arial" w:hAnsi="Arial"/>
                <w:color w:val="000000"/>
                <w:kern w:val="0"/>
                <w:sz w:val="18"/>
                <w:szCs w:val="18"/>
                <w:lang w:val="pl-PL" w:eastAsia="en-US" w:bidi="ar-SA"/>
              </w:rPr>
              <w:t>Zakończenie przygotowywania transkrypcji”: Kamień milowy zrealizowany w terminie planowanym (dla wszystkich opracowywanych lokalizacji), jednak formalnie zadanie zamknięto po podpisaniu ostatnich protokołów odbioru. P: 2021-12, A: 2022-08-10, R: 2022-08-26</w:t>
            </w:r>
          </w:p>
          <w:p>
            <w:pPr>
              <w:pStyle w:val="Normal"/>
              <w:widowControl w:val="false"/>
              <w:suppressAutoHyphens w:val="true"/>
              <w:spacing w:lineRule="auto" w:line="240" w:before="0" w:after="0"/>
              <w:jc w:val="both"/>
              <w:rPr>
                <w:rFonts w:ascii="Arial" w:hAnsi="Arial" w:eastAsia="Calibri"/>
                <w:color w:val="000000"/>
                <w:sz w:val="18"/>
                <w:szCs w:val="18"/>
              </w:rPr>
            </w:pPr>
            <w:r>
              <w:rPr>
                <w:rFonts w:eastAsia="Calibri" w:ascii="Arial" w:hAnsi="Arial"/>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w:t>
            </w:r>
            <w:r>
              <w:rPr>
                <w:rFonts w:eastAsia="Calibri" w:cs="" w:ascii="Arial" w:hAnsi="Arial"/>
                <w:color w:val="000000"/>
                <w:kern w:val="0"/>
                <w:sz w:val="18"/>
                <w:szCs w:val="18"/>
                <w:lang w:val="pl-PL" w:eastAsia="en-US" w:bidi="ar-SA"/>
              </w:rPr>
              <w:t>Uruchomienie portalu muzealnego i publikacja online”: Kamień milowy zrealizowany przed aktualnym terminem planowanym. P: 2021-12, A: 2022-08-02, 2022-07-28.</w:t>
            </w:r>
          </w:p>
          <w:p>
            <w:pPr>
              <w:pStyle w:val="Normal"/>
              <w:widowControl w:val="false"/>
              <w:suppressAutoHyphens w:val="true"/>
              <w:spacing w:lineRule="auto" w:line="240" w:before="0" w:after="0"/>
              <w:jc w:val="both"/>
              <w:rPr>
                <w:rFonts w:ascii="Arial" w:hAnsi="Arial" w:eastAsia="Calibri"/>
                <w:color w:val="000000"/>
                <w:sz w:val="18"/>
                <w:szCs w:val="18"/>
              </w:rPr>
            </w:pPr>
            <w:r>
              <w:rPr>
                <w:rFonts w:eastAsia="Calibri" w:ascii="Arial" w:hAnsi="Arial"/>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w:t>
            </w:r>
            <w:r>
              <w:rPr>
                <w:rFonts w:eastAsia="Calibri" w:cs="" w:ascii="Arial" w:hAnsi="Arial"/>
                <w:color w:val="000000"/>
                <w:kern w:val="0"/>
                <w:sz w:val="18"/>
                <w:szCs w:val="18"/>
                <w:lang w:val="pl-PL" w:eastAsia="en-US" w:bidi="ar-SA"/>
              </w:rPr>
              <w:t>Realizacja zadań przez zespół projektowy”: Kamień milowy zrealizowany w aktualnym terminie planowanym. P: 2022-12, A: 2022-08-31, R: 2022-08-31.</w:t>
            </w:r>
          </w:p>
          <w:p>
            <w:pPr>
              <w:pStyle w:val="Normal"/>
              <w:widowControl w:val="false"/>
              <w:suppressAutoHyphens w:val="true"/>
              <w:spacing w:lineRule="auto" w:line="240" w:before="0" w:after="0"/>
              <w:jc w:val="both"/>
              <w:rPr>
                <w:rFonts w:ascii="Arial" w:hAnsi="Arial" w:eastAsia="Calibri"/>
                <w:color w:val="000000"/>
                <w:sz w:val="18"/>
                <w:szCs w:val="18"/>
              </w:rPr>
            </w:pPr>
            <w:r>
              <w:rPr>
                <w:rFonts w:eastAsia="Calibri" w:ascii="Arial" w:hAnsi="Arial"/>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w:t>
            </w:r>
            <w:r>
              <w:rPr>
                <w:rFonts w:eastAsia="Calibri" w:cs="" w:ascii="Arial" w:hAnsi="Arial"/>
                <w:color w:val="000000"/>
                <w:kern w:val="0"/>
                <w:sz w:val="18"/>
                <w:szCs w:val="18"/>
                <w:lang w:val="pl-PL" w:eastAsia="en-US" w:bidi="ar-SA"/>
              </w:rPr>
              <w:t>Podpisanie protokołów odbioru”: Kamień milowy zrealizowany w terminie planowanym, jednak formalnie zadanie zamknięto po podpisaniu ostatnich protokołów odbioru. P: 2021-12, A: 2022-08-01, R: 2022-08-23.</w:t>
            </w:r>
          </w:p>
          <w:p>
            <w:pPr>
              <w:pStyle w:val="Normal"/>
              <w:widowControl w:val="false"/>
              <w:suppressAutoHyphens w:val="true"/>
              <w:spacing w:lineRule="auto" w:line="240" w:before="0" w:after="0"/>
              <w:jc w:val="both"/>
              <w:rPr>
                <w:rFonts w:ascii="Arial" w:hAnsi="Arial" w:eastAsia="Calibri"/>
                <w:color w:val="000000"/>
                <w:sz w:val="18"/>
                <w:szCs w:val="18"/>
              </w:rPr>
            </w:pPr>
            <w:r>
              <w:rPr>
                <w:rFonts w:eastAsia="Calibri" w:ascii="Arial" w:hAnsi="Arial"/>
                <w:color w:val="000000"/>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color w:val="000000"/>
                <w:kern w:val="0"/>
                <w:sz w:val="18"/>
                <w:szCs w:val="18"/>
                <w:lang w:val="pl-PL" w:eastAsia="en-US" w:bidi="ar-SA"/>
              </w:rPr>
              <w:t>„</w:t>
            </w:r>
            <w:r>
              <w:rPr>
                <w:rFonts w:eastAsia="Calibri" w:cs="" w:ascii="Arial" w:hAnsi="Arial"/>
                <w:color w:val="000000"/>
                <w:kern w:val="0"/>
                <w:sz w:val="18"/>
                <w:szCs w:val="18"/>
                <w:lang w:val="pl-PL" w:eastAsia="en-US" w:bidi="ar-SA"/>
              </w:rPr>
              <w:t>Publikacja materiałów promocyjnych”: Kamień milowy zrealizowany w aktualnym terminie planowanym. P: 2021-04, A: 2021-04-01, R: 2021-04-01.</w:t>
            </w:r>
          </w:p>
          <w:p>
            <w:pPr>
              <w:pStyle w:val="Normal"/>
              <w:widowControl w:val="false"/>
              <w:suppressAutoHyphens w:val="true"/>
              <w:spacing w:lineRule="auto" w:line="240" w:before="0" w:after="0"/>
              <w:jc w:val="both"/>
              <w:rPr>
                <w:rFonts w:ascii="Arial" w:hAnsi="Arial" w:eastAsia="Calibri"/>
                <w:color w:val="000000"/>
                <w:sz w:val="18"/>
                <w:szCs w:val="18"/>
              </w:rPr>
            </w:pPr>
            <w:r>
              <w:rPr>
                <w:rFonts w:eastAsia="Calibri" w:ascii="Arial" w:hAnsi="Arial"/>
                <w:color w:val="000000"/>
                <w:sz w:val="18"/>
                <w:szCs w:val="18"/>
              </w:rPr>
            </w:r>
          </w:p>
          <w:p>
            <w:pPr>
              <w:pStyle w:val="Normal"/>
              <w:widowControl w:val="false"/>
              <w:suppressAutoHyphens w:val="true"/>
              <w:spacing w:lineRule="auto" w:line="240" w:before="0" w:after="0"/>
              <w:jc w:val="both"/>
              <w:rPr>
                <w:rFonts w:ascii="Arial" w:hAnsi="Arial" w:eastAsia="Calibri"/>
                <w:color w:val="000000"/>
                <w:sz w:val="18"/>
                <w:szCs w:val="18"/>
              </w:rPr>
            </w:pPr>
            <w:r>
              <w:rPr>
                <w:rFonts w:eastAsia="Calibri" w:ascii="Arial" w:hAnsi="Arial"/>
                <w:color w:val="000000"/>
                <w:sz w:val="18"/>
                <w:szCs w:val="18"/>
              </w:rPr>
            </w:r>
          </w:p>
          <w:p>
            <w:pPr>
              <w:pStyle w:val="Normal"/>
              <w:widowControl w:val="false"/>
              <w:suppressAutoHyphens w:val="true"/>
              <w:spacing w:lineRule="auto" w:line="240" w:before="0" w:after="0"/>
              <w:jc w:val="both"/>
              <w:rPr>
                <w:sz w:val="18"/>
                <w:szCs w:val="18"/>
              </w:rPr>
            </w:pPr>
            <w:r>
              <w:rPr>
                <w:rFonts w:eastAsia="Times New Roman" w:cs="Arial" w:ascii="Arial" w:hAnsi="Arial"/>
                <w:color w:val="000000"/>
                <w:kern w:val="0"/>
                <w:sz w:val="18"/>
                <w:szCs w:val="18"/>
                <w:lang w:val="pl-PL" w:eastAsia="pl-PL" w:bidi="ar-SA"/>
              </w:rPr>
              <w:t>Zrealizowano następujące produkty projektu:</w:t>
            </w:r>
          </w:p>
          <w:p>
            <w:pPr>
              <w:pStyle w:val="Normal"/>
              <w:widowControl w:val="false"/>
              <w:suppressAutoHyphens w:val="true"/>
              <w:spacing w:lineRule="auto" w:line="240" w:before="0" w:after="0"/>
              <w:jc w:val="both"/>
              <w:rPr>
                <w:rFonts w:ascii="Calibri" w:hAnsi="Calibri" w:eastAsia="Calibri"/>
                <w:color w:val="000000"/>
                <w:sz w:val="18"/>
                <w:szCs w:val="18"/>
              </w:rPr>
            </w:pPr>
            <w:r>
              <w:rPr>
                <w:rFonts w:eastAsia="Calibri"/>
                <w:color w:val="000000"/>
                <w:sz w:val="18"/>
                <w:szCs w:val="18"/>
              </w:rPr>
            </w:r>
          </w:p>
          <w:p>
            <w:pPr>
              <w:pStyle w:val="Normal"/>
              <w:widowControl w:val="false"/>
              <w:suppressAutoHyphens w:val="true"/>
              <w:spacing w:lineRule="auto" w:line="240" w:before="0" w:after="0"/>
              <w:jc w:val="both"/>
              <w:rPr>
                <w:sz w:val="18"/>
                <w:szCs w:val="18"/>
              </w:rPr>
            </w:pPr>
            <w:r>
              <w:rPr>
                <w:rFonts w:eastAsia="Times New Roman" w:cs="Calibri" w:ascii="Arial" w:hAnsi="Arial"/>
                <w:color w:val="000000"/>
                <w:kern w:val="0"/>
                <w:sz w:val="18"/>
                <w:szCs w:val="18"/>
                <w:lang w:val="pl-PL" w:eastAsia="pl-PL" w:bidi="ar-SA"/>
              </w:rPr>
              <w:t>1. Portal „Dziedzictwo muzyki polskiej w otwartym dostępie”, data wdrożenia: 2022-08-02</w:t>
            </w:r>
          </w:p>
          <w:p>
            <w:pPr>
              <w:pStyle w:val="Normal"/>
              <w:widowControl w:val="false"/>
              <w:suppressAutoHyphens w:val="true"/>
              <w:spacing w:lineRule="auto" w:line="240" w:before="0" w:after="0"/>
              <w:jc w:val="both"/>
              <w:rPr>
                <w:sz w:val="18"/>
                <w:szCs w:val="18"/>
              </w:rPr>
            </w:pPr>
            <w:r>
              <w:rPr>
                <w:rFonts w:eastAsia="Times New Roman" w:cs="Calibri" w:ascii="Arial" w:hAnsi="Arial"/>
                <w:color w:val="000000"/>
                <w:kern w:val="0"/>
                <w:sz w:val="18"/>
                <w:szCs w:val="18"/>
                <w:lang w:val="pl-PL" w:eastAsia="pl-PL" w:bidi="ar-SA"/>
              </w:rPr>
              <w:t>2. API dla danych portalu, data wdrożenia: 2022-08</w:t>
            </w:r>
          </w:p>
          <w:p>
            <w:pPr>
              <w:pStyle w:val="Normal"/>
              <w:widowControl w:val="false"/>
              <w:suppressAutoHyphens w:val="true"/>
              <w:spacing w:lineRule="auto" w:line="240" w:before="0" w:after="0"/>
              <w:jc w:val="both"/>
              <w:rPr>
                <w:sz w:val="18"/>
                <w:szCs w:val="18"/>
              </w:rPr>
            </w:pPr>
            <w:r>
              <w:rPr>
                <w:rFonts w:eastAsia="Times New Roman" w:cs="Calibri" w:ascii="Arial" w:hAnsi="Arial"/>
                <w:color w:val="000000"/>
                <w:kern w:val="0"/>
                <w:sz w:val="18"/>
                <w:szCs w:val="18"/>
                <w:lang w:val="pl-PL" w:eastAsia="pl-PL" w:bidi="ar-SA"/>
              </w:rPr>
              <w:t>3. API (dla metadanych RISM), data wdrożenia: 2022-08</w:t>
            </w:r>
          </w:p>
          <w:p>
            <w:pPr>
              <w:pStyle w:val="Normal"/>
              <w:widowControl w:val="false"/>
              <w:suppressAutoHyphens w:val="true"/>
              <w:spacing w:lineRule="auto" w:line="240" w:before="0" w:after="0"/>
              <w:jc w:val="both"/>
              <w:rPr>
                <w:sz w:val="18"/>
                <w:szCs w:val="18"/>
              </w:rPr>
            </w:pPr>
            <w:r>
              <w:rPr>
                <w:rFonts w:eastAsia="Times New Roman" w:cs="Calibri" w:ascii="Arial" w:hAnsi="Arial"/>
                <w:color w:val="000000"/>
                <w:kern w:val="0"/>
                <w:sz w:val="18"/>
                <w:szCs w:val="18"/>
                <w:lang w:val="pl-PL" w:eastAsia="pl-PL" w:bidi="ar-SA"/>
              </w:rPr>
              <w:t>4. VerovioHumdrumViewer (wersja zoptymalizowana dla muzyki polskiej), data wdrożenia: 2021-11</w:t>
            </w:r>
          </w:p>
          <w:p>
            <w:pPr>
              <w:pStyle w:val="Normal"/>
              <w:widowControl w:val="false"/>
              <w:suppressAutoHyphens w:val="true"/>
              <w:spacing w:lineRule="auto" w:line="240" w:before="0" w:after="0"/>
              <w:jc w:val="both"/>
              <w:rPr>
                <w:sz w:val="18"/>
                <w:szCs w:val="18"/>
              </w:rPr>
            </w:pPr>
            <w:r>
              <w:rPr>
                <w:rFonts w:eastAsia="Times New Roman" w:cs="Calibri" w:ascii="Arial" w:hAnsi="Arial"/>
                <w:color w:val="000000"/>
                <w:kern w:val="0"/>
                <w:sz w:val="18"/>
                <w:szCs w:val="18"/>
                <w:lang w:val="pl-PL" w:eastAsia="pl-PL" w:bidi="ar-SA"/>
              </w:rPr>
              <w:t>5. Udostępnienie dziedzictwa muzyki polskiej (muzyka, kopie cyfrowe rękopisów i druków, partytury cyfrowe, zapisy nutowe w formacie symbolicznym, metadane RISM), data wdrożenia: 2022-08</w:t>
            </w:r>
          </w:p>
          <w:p>
            <w:pPr>
              <w:pStyle w:val="Normal"/>
              <w:widowControl w:val="false"/>
              <w:suppressAutoHyphens w:val="true"/>
              <w:spacing w:lineRule="auto" w:line="240" w:before="0" w:after="0"/>
              <w:jc w:val="both"/>
              <w:rPr>
                <w:rFonts w:ascii="Arial" w:hAnsi="Arial" w:eastAsia="Times New Roman" w:cs="Arial"/>
                <w:color w:val="000000"/>
                <w:sz w:val="18"/>
                <w:szCs w:val="18"/>
              </w:rPr>
            </w:pPr>
            <w:r>
              <w:rPr>
                <w:rFonts w:eastAsia="Times New Roman" w:cs="Arial" w:ascii="Arial" w:hAnsi="Arial"/>
                <w:color w:val="000000"/>
                <w:sz w:val="18"/>
                <w:szCs w:val="18"/>
              </w:rPr>
            </w:r>
          </w:p>
          <w:p>
            <w:pPr>
              <w:pStyle w:val="Normal"/>
              <w:widowControl w:val="false"/>
              <w:suppressAutoHyphens w:val="true"/>
              <w:spacing w:lineRule="auto" w:line="240" w:before="0" w:after="0"/>
              <w:jc w:val="both"/>
              <w:rPr>
                <w:rFonts w:ascii="Arial" w:hAnsi="Arial" w:eastAsia="Calibri"/>
                <w:i/>
                <w:i/>
                <w:color w:val="000000"/>
                <w:sz w:val="18"/>
                <w:szCs w:val="18"/>
              </w:rPr>
            </w:pPr>
            <w:r>
              <w:rPr>
                <w:rFonts w:eastAsia="Calibri" w:ascii="Arial" w:hAnsi="Arial"/>
                <w:i/>
                <w:color w:val="000000"/>
                <w:sz w:val="18"/>
                <w:szCs w:val="18"/>
              </w:rPr>
            </w:r>
          </w:p>
          <w:p>
            <w:pPr>
              <w:pStyle w:val="Normal"/>
              <w:widowControl w:val="false"/>
              <w:suppressAutoHyphens w:val="true"/>
              <w:spacing w:lineRule="auto" w:line="240" w:before="0" w:after="0"/>
              <w:jc w:val="both"/>
              <w:rPr>
                <w:rFonts w:ascii="Calibri" w:hAnsi="Calibri"/>
                <w:sz w:val="18"/>
                <w:szCs w:val="18"/>
              </w:rPr>
            </w:pPr>
            <w:r>
              <w:rPr>
                <w:rFonts w:eastAsia="Calibri" w:cs="Calibri" w:cstheme="minorHAnsi"/>
                <w:b/>
                <w:color w:val="000000"/>
                <w:kern w:val="0"/>
                <w:sz w:val="18"/>
                <w:szCs w:val="18"/>
                <w:lang w:val="pl-PL" w:eastAsia="en-US" w:bidi="ar-SA"/>
              </w:rPr>
              <w:t>Udostępnione informacje sektora publicznego i zdigitalizowane zasoby</w:t>
            </w:r>
          </w:p>
          <w:p>
            <w:pPr>
              <w:pStyle w:val="Normal"/>
              <w:widowControl w:val="false"/>
              <w:suppressAutoHyphens w:val="true"/>
              <w:spacing w:lineRule="auto" w:line="240" w:before="0" w:after="0"/>
              <w:jc w:val="both"/>
              <w:rPr>
                <w:rFonts w:ascii="Calibri" w:hAnsi="Calibri" w:eastAsia="Calibri" w:cs="Calibri" w:cstheme="minorHAnsi"/>
                <w:color w:val="000000"/>
                <w:sz w:val="18"/>
                <w:szCs w:val="18"/>
              </w:rPr>
            </w:pPr>
            <w:r>
              <w:rPr>
                <w:rFonts w:eastAsia="Calibri" w:cs="Calibri" w:cstheme="minorHAnsi"/>
                <w:color w:val="000000"/>
                <w:sz w:val="18"/>
                <w:szCs w:val="18"/>
              </w:rPr>
            </w:r>
          </w:p>
          <w:p>
            <w:pPr>
              <w:pStyle w:val="Normal"/>
              <w:widowControl w:val="false"/>
              <w:suppressAutoHyphens w:val="true"/>
              <w:spacing w:lineRule="auto" w:line="240" w:before="0" w:after="0"/>
              <w:jc w:val="both"/>
              <w:rPr>
                <w:rFonts w:ascii="Calibri" w:hAnsi="Calibri"/>
                <w:sz w:val="18"/>
                <w:szCs w:val="18"/>
              </w:rPr>
            </w:pPr>
            <w:r>
              <w:rPr>
                <w:rFonts w:eastAsia="Calibri" w:cs="Calibri" w:cstheme="minorHAnsi"/>
                <w:color w:val="000000"/>
                <w:kern w:val="0"/>
                <w:sz w:val="18"/>
                <w:szCs w:val="18"/>
                <w:lang w:val="pl-PL" w:eastAsia="en-US" w:bidi="ar-SA"/>
              </w:rPr>
              <w:t>Zdigitalizowano wszystkie zaplanowane we wniosku zasoby przekraczając zakładane wskaźniki. Poniżej podano wartości docelowe [D] oraz osiągnięte [O].</w:t>
            </w:r>
          </w:p>
          <w:p>
            <w:pPr>
              <w:pStyle w:val="Normal"/>
              <w:widowControl w:val="false"/>
              <w:suppressAutoHyphens w:val="true"/>
              <w:spacing w:lineRule="auto" w:line="240" w:before="0" w:after="0"/>
              <w:jc w:val="both"/>
              <w:rPr>
                <w:rFonts w:eastAsia="Calibri" w:cs="Calibri" w:cstheme="minorHAnsi"/>
                <w:color w:val="000000"/>
              </w:rPr>
            </w:pPr>
            <w:r>
              <w:rPr>
                <w:rFonts w:eastAsia="Calibri" w:cs="Calibri" w:cstheme="minorHAnsi"/>
                <w:color w:val="000000"/>
              </w:rPr>
            </w:r>
          </w:p>
          <w:p>
            <w:pPr>
              <w:pStyle w:val="Normal"/>
              <w:widowControl w:val="false"/>
              <w:suppressAutoHyphens w:val="true"/>
              <w:spacing w:lineRule="auto" w:line="240" w:before="0" w:after="0"/>
              <w:jc w:val="both"/>
              <w:rPr>
                <w:rFonts w:ascii="Calibri" w:hAnsi="Calibri"/>
                <w:sz w:val="18"/>
                <w:szCs w:val="18"/>
              </w:rPr>
            </w:pPr>
            <w:r>
              <w:rPr>
                <w:rFonts w:eastAsia="Calibri" w:cs="Calibri" w:cstheme="minorHAnsi"/>
                <w:color w:val="000000"/>
                <w:kern w:val="0"/>
                <w:sz w:val="18"/>
                <w:szCs w:val="18"/>
                <w:lang w:val="pl-PL" w:eastAsia="en-US" w:bidi="ar-SA"/>
              </w:rPr>
              <w:t>Liczba podmiotów, które udostępniły on-line informacje sektora publicznego [szt.] – D: 1, O: 1</w:t>
            </w:r>
          </w:p>
          <w:p>
            <w:pPr>
              <w:pStyle w:val="Normal"/>
              <w:widowControl w:val="false"/>
              <w:suppressAutoHyphens w:val="true"/>
              <w:spacing w:lineRule="auto" w:line="240" w:before="0" w:after="0"/>
              <w:jc w:val="both"/>
              <w:rPr>
                <w:rFonts w:ascii="Calibri" w:hAnsi="Calibri"/>
                <w:sz w:val="18"/>
                <w:szCs w:val="18"/>
              </w:rPr>
            </w:pPr>
            <w:r>
              <w:rPr>
                <w:rFonts w:eastAsia="Calibri" w:cs="Calibri" w:cstheme="minorHAnsi"/>
                <w:color w:val="000000"/>
                <w:kern w:val="0"/>
                <w:sz w:val="18"/>
                <w:szCs w:val="18"/>
                <w:lang w:val="pl-PL" w:eastAsia="en-US" w:bidi="ar-SA"/>
              </w:rPr>
              <w:t>Liczba zdigitalizowanych dokumentów zawierających informacje</w:t>
            </w:r>
          </w:p>
          <w:p>
            <w:pPr>
              <w:pStyle w:val="Normal"/>
              <w:widowControl w:val="false"/>
              <w:suppressAutoHyphens w:val="true"/>
              <w:spacing w:lineRule="auto" w:line="240" w:before="0" w:after="0"/>
              <w:jc w:val="both"/>
              <w:rPr>
                <w:rFonts w:ascii="Calibri" w:hAnsi="Calibri"/>
                <w:sz w:val="18"/>
                <w:szCs w:val="18"/>
              </w:rPr>
            </w:pPr>
            <w:r>
              <w:rPr>
                <w:rFonts w:eastAsia="Calibri" w:cs="Calibri" w:cstheme="minorHAnsi"/>
                <w:color w:val="000000"/>
                <w:kern w:val="0"/>
                <w:sz w:val="18"/>
                <w:szCs w:val="18"/>
                <w:lang w:val="pl-PL" w:eastAsia="en-US" w:bidi="ar-SA"/>
              </w:rPr>
              <w:t>sektora publicznego [szt.] – D: 20 809, O: 25 159</w:t>
            </w:r>
          </w:p>
          <w:p>
            <w:pPr>
              <w:pStyle w:val="Normal"/>
              <w:widowControl w:val="false"/>
              <w:suppressAutoHyphens w:val="true"/>
              <w:spacing w:lineRule="auto" w:line="240" w:before="0" w:after="0"/>
              <w:jc w:val="both"/>
              <w:rPr>
                <w:rFonts w:ascii="Calibri" w:hAnsi="Calibri"/>
                <w:sz w:val="18"/>
                <w:szCs w:val="18"/>
              </w:rPr>
            </w:pPr>
            <w:r>
              <w:rPr>
                <w:rFonts w:eastAsia="Calibri" w:cs="Calibri" w:cstheme="minorHAnsi"/>
                <w:color w:val="000000"/>
                <w:kern w:val="0"/>
                <w:sz w:val="18"/>
                <w:szCs w:val="18"/>
                <w:lang w:val="pl-PL" w:eastAsia="en-US" w:bidi="ar-SA"/>
              </w:rPr>
              <w:t>Liczba udostępnionych on-line dokumentów zawierających informacje sektora publicznego [szt.] – D: 20 809, O: 25 159</w:t>
            </w:r>
          </w:p>
          <w:p>
            <w:pPr>
              <w:pStyle w:val="Normal"/>
              <w:widowControl w:val="false"/>
              <w:suppressAutoHyphens w:val="true"/>
              <w:spacing w:lineRule="auto" w:line="240" w:before="0" w:after="0"/>
              <w:jc w:val="both"/>
              <w:rPr>
                <w:rFonts w:ascii="Calibri" w:hAnsi="Calibri"/>
                <w:sz w:val="18"/>
                <w:szCs w:val="18"/>
              </w:rPr>
            </w:pPr>
            <w:r>
              <w:rPr>
                <w:rFonts w:eastAsia="Calibri" w:cs="Calibri" w:cstheme="minorHAnsi"/>
                <w:color w:val="000000"/>
                <w:kern w:val="0"/>
                <w:sz w:val="18"/>
                <w:szCs w:val="18"/>
                <w:lang w:val="pl-PL" w:eastAsia="en-US" w:bidi="ar-SA"/>
              </w:rPr>
              <w:t>Rozmiar zdigitalizowanej informacji sektora publicznego – D: 118, O: 160,76</w:t>
            </w:r>
          </w:p>
          <w:p>
            <w:pPr>
              <w:pStyle w:val="Normal"/>
              <w:widowControl w:val="false"/>
              <w:suppressAutoHyphens w:val="true"/>
              <w:spacing w:lineRule="auto" w:line="240" w:before="0" w:after="0"/>
              <w:jc w:val="both"/>
              <w:rPr>
                <w:rFonts w:ascii="Calibri" w:hAnsi="Calibri"/>
                <w:sz w:val="18"/>
                <w:szCs w:val="18"/>
              </w:rPr>
            </w:pPr>
            <w:r>
              <w:rPr>
                <w:rFonts w:eastAsia="Calibri" w:cs="Calibri" w:cstheme="minorHAnsi"/>
                <w:color w:val="000000"/>
                <w:kern w:val="0"/>
                <w:sz w:val="18"/>
                <w:szCs w:val="18"/>
                <w:lang w:val="pl-PL" w:eastAsia="en-US" w:bidi="ar-SA"/>
              </w:rPr>
              <w:t>Rozmiar udostępnionych on-line informacji sektora publicznego – D: 118, O: 166,83</w:t>
            </w:r>
          </w:p>
          <w:p>
            <w:pPr>
              <w:pStyle w:val="Normal"/>
              <w:widowControl w:val="false"/>
              <w:suppressAutoHyphens w:val="true"/>
              <w:spacing w:lineRule="auto" w:line="240" w:before="0" w:after="0"/>
              <w:jc w:val="both"/>
              <w:rPr>
                <w:rFonts w:ascii="Calibri" w:hAnsi="Calibri"/>
                <w:sz w:val="18"/>
                <w:szCs w:val="18"/>
              </w:rPr>
            </w:pPr>
            <w:r>
              <w:rPr>
                <w:rFonts w:eastAsia="Calibri" w:cs="Calibri" w:cstheme="minorHAnsi"/>
                <w:color w:val="000000"/>
                <w:kern w:val="0"/>
                <w:sz w:val="18"/>
                <w:szCs w:val="18"/>
                <w:lang w:val="pl-PL" w:eastAsia="en-US" w:bidi="ar-SA"/>
              </w:rPr>
              <w:t>Liczba utworzonych API [szt.] – D: 2, O: 2</w:t>
            </w:r>
          </w:p>
          <w:p>
            <w:pPr>
              <w:pStyle w:val="Normal"/>
              <w:widowControl w:val="false"/>
              <w:suppressAutoHyphens w:val="true"/>
              <w:spacing w:lineRule="auto" w:line="240" w:before="0" w:after="0"/>
              <w:jc w:val="both"/>
              <w:rPr>
                <w:rFonts w:ascii="Calibri" w:hAnsi="Calibri"/>
                <w:sz w:val="18"/>
                <w:szCs w:val="18"/>
              </w:rPr>
            </w:pPr>
            <w:r>
              <w:rPr>
                <w:rFonts w:eastAsia="Calibri" w:cs="Calibri" w:cstheme="minorHAnsi"/>
                <w:color w:val="000000"/>
                <w:kern w:val="0"/>
                <w:sz w:val="18"/>
                <w:szCs w:val="18"/>
                <w:lang w:val="pl-PL" w:eastAsia="en-US" w:bidi="ar-SA"/>
              </w:rPr>
              <w:t>Liczba baz danych udostępnionych on-line poprzez API [szt.] – D: 5, O: 5</w:t>
            </w:r>
          </w:p>
          <w:p>
            <w:pPr>
              <w:pStyle w:val="Normal"/>
              <w:widowControl w:val="false"/>
              <w:suppressAutoHyphens w:val="true"/>
              <w:spacing w:lineRule="auto" w:line="240" w:before="0" w:after="0"/>
              <w:jc w:val="both"/>
              <w:rPr>
                <w:rFonts w:ascii="Calibri" w:hAnsi="Calibri"/>
                <w:sz w:val="18"/>
                <w:szCs w:val="18"/>
              </w:rPr>
            </w:pPr>
            <w:r>
              <w:rPr>
                <w:rFonts w:eastAsia="Calibri" w:cs="Calibri" w:cstheme="minorHAnsi"/>
                <w:color w:val="000000"/>
                <w:kern w:val="0"/>
                <w:sz w:val="18"/>
                <w:szCs w:val="18"/>
                <w:lang w:val="pl-PL" w:eastAsia="en-US" w:bidi="ar-SA"/>
              </w:rPr>
              <w:t>Liczba pobrań/odtwor</w:t>
            </w:r>
            <w:bookmarkStart w:id="0" w:name="_GoBack"/>
            <w:bookmarkEnd w:id="0"/>
            <w:r>
              <w:rPr>
                <w:rFonts w:eastAsia="Calibri" w:cs="Calibri" w:cstheme="minorHAnsi"/>
                <w:color w:val="000000"/>
                <w:kern w:val="0"/>
                <w:sz w:val="18"/>
                <w:szCs w:val="18"/>
                <w:lang w:val="pl-PL" w:eastAsia="en-US" w:bidi="ar-SA"/>
              </w:rPr>
              <w:t>zeń dokumentów zawierających informacje</w:t>
            </w:r>
          </w:p>
          <w:p>
            <w:pPr>
              <w:pStyle w:val="Normal"/>
              <w:widowControl w:val="false"/>
              <w:suppressAutoHyphens w:val="true"/>
              <w:spacing w:lineRule="auto" w:line="240" w:before="0" w:after="0"/>
              <w:jc w:val="both"/>
              <w:rPr>
                <w:rFonts w:ascii="Calibri" w:hAnsi="Calibri"/>
                <w:sz w:val="18"/>
                <w:szCs w:val="18"/>
              </w:rPr>
            </w:pPr>
            <w:r>
              <w:rPr>
                <w:rFonts w:eastAsia="Calibri" w:cs="Calibri" w:cstheme="minorHAnsi"/>
                <w:color w:val="000000"/>
                <w:kern w:val="0"/>
                <w:sz w:val="18"/>
                <w:szCs w:val="18"/>
                <w:lang w:val="pl-PL" w:eastAsia="en-US" w:bidi="ar-SA"/>
              </w:rPr>
              <w:t>sektora publicznego [szt./rok] – D: 500 000, O: 0 [realizacja do 12 mies. po zakończ. Proj.]</w:t>
            </w:r>
          </w:p>
          <w:p>
            <w:pPr>
              <w:pStyle w:val="Normal"/>
              <w:widowControl w:val="false"/>
              <w:suppressAutoHyphens w:val="true"/>
              <w:spacing w:lineRule="auto" w:line="240" w:before="0" w:after="0"/>
              <w:jc w:val="both"/>
              <w:rPr>
                <w:rFonts w:ascii="Calibri" w:hAnsi="Calibri"/>
                <w:sz w:val="18"/>
                <w:szCs w:val="18"/>
              </w:rPr>
            </w:pPr>
            <w:r>
              <w:rPr>
                <w:rFonts w:eastAsia="Calibri" w:cs="Calibri" w:cstheme="minorHAnsi"/>
                <w:color w:val="000000"/>
                <w:kern w:val="0"/>
                <w:sz w:val="18"/>
                <w:szCs w:val="18"/>
                <w:lang w:val="pl-PL" w:eastAsia="en-US" w:bidi="ar-SA"/>
              </w:rPr>
              <w:t>Liczba wygenerowanych kluczy API – D: 5, O: 5</w:t>
            </w:r>
          </w:p>
          <w:p>
            <w:pPr>
              <w:pStyle w:val="Normal"/>
              <w:widowControl w:val="false"/>
              <w:suppressAutoHyphens w:val="true"/>
              <w:spacing w:lineRule="auto" w:line="240" w:before="0" w:after="0"/>
              <w:jc w:val="both"/>
              <w:rPr>
                <w:rFonts w:ascii="Calibri" w:hAnsi="Calibri" w:eastAsia="Calibri" w:cs="Calibri" w:cstheme="minorHAnsi"/>
                <w:color w:val="000000"/>
                <w:sz w:val="18"/>
                <w:szCs w:val="18"/>
              </w:rPr>
            </w:pPr>
            <w:r>
              <w:rPr>
                <w:rFonts w:eastAsia="Calibri" w:cs="Calibri" w:cstheme="minorHAnsi"/>
                <w:color w:val="000000"/>
                <w:sz w:val="18"/>
                <w:szCs w:val="18"/>
              </w:rPr>
            </w:r>
          </w:p>
        </w:tc>
      </w:tr>
      <w:tr>
        <w:trPr/>
        <w:tc>
          <w:tcPr>
            <w:tcW w:w="478" w:type="dxa"/>
            <w:tcBorders/>
          </w:tcPr>
          <w:p>
            <w:pPr>
              <w:pStyle w:val="ListParagraph"/>
              <w:widowControl w:val="false"/>
              <w:numPr>
                <w:ilvl w:val="0"/>
                <w:numId w:val="1"/>
              </w:numPr>
              <w:suppressAutoHyphens w:val="true"/>
              <w:spacing w:lineRule="auto" w:line="240" w:before="0" w:after="0"/>
              <w:contextualSpacing/>
              <w:jc w:val="both"/>
              <w:rPr>
                <w:rFonts w:ascii="Arial" w:hAnsi="Arial" w:eastAsia="Calibri"/>
                <w:sz w:val="18"/>
                <w:szCs w:val="18"/>
              </w:rPr>
            </w:pPr>
            <w:r>
              <w:rPr>
                <w:rFonts w:eastAsia="Calibri" w:ascii="Arial" w:hAnsi="Arial"/>
                <w:sz w:val="18"/>
                <w:szCs w:val="18"/>
              </w:rPr>
            </w:r>
          </w:p>
        </w:tc>
        <w:tc>
          <w:tcPr>
            <w:tcW w:w="1759" w:type="dxa"/>
            <w:tcBorders/>
          </w:tcPr>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E-usługi dla obywateli i przedsiębiorców</w:t>
            </w:r>
          </w:p>
        </w:tc>
        <w:tc>
          <w:tcPr>
            <w:tcW w:w="7397" w:type="dxa"/>
            <w:tcBorders/>
          </w:tcPr>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Nie dotyczy</w:t>
            </w:r>
          </w:p>
        </w:tc>
      </w:tr>
      <w:tr>
        <w:trPr/>
        <w:tc>
          <w:tcPr>
            <w:tcW w:w="478" w:type="dxa"/>
            <w:tcBorders/>
          </w:tcPr>
          <w:p>
            <w:pPr>
              <w:pStyle w:val="ListParagraph"/>
              <w:widowControl w:val="false"/>
              <w:numPr>
                <w:ilvl w:val="0"/>
                <w:numId w:val="1"/>
              </w:numPr>
              <w:suppressAutoHyphens w:val="true"/>
              <w:spacing w:lineRule="auto" w:line="240" w:before="0" w:after="0"/>
              <w:contextualSpacing/>
              <w:jc w:val="both"/>
              <w:rPr>
                <w:rFonts w:ascii="Arial" w:hAnsi="Arial" w:eastAsia="Calibri"/>
                <w:sz w:val="18"/>
                <w:szCs w:val="18"/>
              </w:rPr>
            </w:pPr>
            <w:r>
              <w:rPr>
                <w:rFonts w:eastAsia="Calibri" w:ascii="Arial" w:hAnsi="Arial"/>
                <w:sz w:val="18"/>
                <w:szCs w:val="18"/>
              </w:rPr>
            </w:r>
          </w:p>
        </w:tc>
        <w:tc>
          <w:tcPr>
            <w:tcW w:w="1759" w:type="dxa"/>
            <w:tcBorders/>
          </w:tcPr>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Postęp w realizacji strategicznych celów Państwa</w:t>
            </w:r>
          </w:p>
        </w:tc>
        <w:tc>
          <w:tcPr>
            <w:tcW w:w="7397" w:type="dxa"/>
            <w:tcBorders/>
          </w:tcPr>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Cel główny i cele szczegółowe projektu są zgodne z założeniami krajowych dokumentów strategicznych.</w:t>
            </w:r>
          </w:p>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Projekt wpisuje się w cel 5 Długookresowej Strategii Rozwoju Kraju 2030, Trzecia Fala Nowoczesności – Stworzenie Polski Cyfrowej. Zakłada on działania na rzecz zwiększania popytu i podaży na usługi szerokopasmowe, w tym digitalizację i udostępnienie zasobów dziedzictwa i kultury. Założenia projektu są zgodne z kierunkiem interwencji celu nr 5 zakładającym zwiększenie ilości zasobów publicznych dostępnych w sieci, ponieważ zakłada zarówno digitalizację nowych zasobów (muzyki polskiej z okresu XVI-XIX w.), jak również ich udostępnienie w Internecie. Dodatkowo projekt jest zgodny z celem nr 11 ww. Strategii, tj. wzrostem społecznego kapitału rozwoju, zakłada bowiem działania zgodne z kierunkami interwencji:</w:t>
            </w:r>
          </w:p>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 xml:space="preserve">    • </w:t>
            </w:r>
            <w:r>
              <w:rPr>
                <w:rFonts w:eastAsia="Calibri" w:cs="" w:ascii="Arial" w:hAnsi="Arial"/>
                <w:kern w:val="0"/>
                <w:sz w:val="18"/>
                <w:szCs w:val="18"/>
                <w:lang w:val="pl-PL" w:eastAsia="en-US" w:bidi="ar-SA"/>
              </w:rPr>
              <w:t xml:space="preserve">zwiększenia obecności kultury w życiu codziennym ludzi poprzez stałe zwiększanie dostępności zasobów kultury (dzięki publikacji zasobów polskiej muzyki dawnej w Internecie) i kształcenie nawyków kulturowych, </w:t>
            </w:r>
          </w:p>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 xml:space="preserve">    • </w:t>
            </w:r>
            <w:r>
              <w:rPr>
                <w:rFonts w:eastAsia="Calibri" w:cs="" w:ascii="Arial" w:hAnsi="Arial"/>
                <w:kern w:val="0"/>
                <w:sz w:val="18"/>
                <w:szCs w:val="18"/>
                <w:lang w:val="pl-PL" w:eastAsia="en-US" w:bidi="ar-SA"/>
              </w:rPr>
              <w:t>modernizacji infrastruktury (w zakresie infrastruktury do digitalizacji i udostępniania) oraz rozszerzenia ról społecznych instytucji kultury.</w:t>
            </w:r>
          </w:p>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Cele projektu wpisują się również w założenia Strategii Sprawne Państwo 2020, odpowiadają one bowiem na jedno z postawionych wyzwań w Strategii, tj. poprawę jakości i dostępności do usług publicznych, gdyż usługi kulturalne i dostęp do dziedzictwa narodowego w postaci muzyki polskiej do takich usług również należą. Projekt będzie pośrednio realizował cele szczegółowe strategii zakładające:</w:t>
            </w:r>
          </w:p>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 skuteczne zarządzanie i koordynację działań rozwojowych poprzez wzmocnienie pozycji międzynarodowej państwa (dzięki wpisywaniu się udostępniania zasobów muzyki polskiej XVI-XIX wieku w formie cyfrowej w promocję polskiej kultury za granicą)</w:t>
            </w:r>
          </w:p>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 efektywne świadczenie usług publicznych (projekt zakłada równolegle do Strategii udostępnienie zasobów informacyjnych sektora publicznego w postaci cyfrowej).</w:t>
            </w:r>
          </w:p>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Cel główny jest również zgodny z celem szczegółowym 3. Strategii Rozwoju Kapitału Społecznego - Usprawnienie procesów komunikacji społecznej oraz wymiany wiedzy, Priorytet Strategii 3.1.  Zwiększanie dostępności informacji i poprawa jakości komunikacji w sferze publicznej, kierunki działań: 3.1.1. Zwiększenie dostępności treści edukacyjnych, naukowych i kulturowych w domenie publicznej, 3.1.2. Ochrona własności intelektualnej i stworzenie warunków umożliwiających eksploatację treści w ramach dozwolonego użytku przewidzianego przepisami prawa (str. 53-57), poprzez wykonanie cyfrowych kopii  materiałów przechowywanych w kolekcjach bibliotecznych i archiwalnych w celu ochrony tych materiałów oraz dostarczania kopii utworów użytkownikom drogą elektroniczną.</w:t>
            </w:r>
          </w:p>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Kolejny z krajowych dokumentów strategicznych, z którym jest zgodny przedmiotowy projekt to Program Zintegrowanej Informatyzacji Państwa. Działania przewidziane w ramach projektu wpisują się w kierunek interwencji Strategii – Otwarty rząd i wspieranie rozwoju społeczeństwa obywatelskiego. Zakłada on m. in. dostępność informacji sektora publicznego do ponownego wykorzystania (co będzie możliwe w sektorze kultury, dzięki digitalizacji i udostępnieniu zasobów muzyki polskiej XVI-XIX wieku w formie cyfrowej).</w:t>
            </w:r>
          </w:p>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Duże znaczenie dla polskiej kultury zasobów związanych z muzyką polską XVI-XIX wieku, które będą opracowywane przez Narodowy Instytut Fryderyka Chopina sprawia, że cele projektu walnie przyczynią się do realizacji założeń Uzupełnienia Narodowej Strategii Rozwoju Kultury na lata 2014-2020 (i będącej podstawą do jego opracowania – Narodową Strategią Rozwoju Kultury na lata 2007-2013). Realizowane w ramach projektu działania będą zgodne z przyjętymi w Strategii kierunkami działań:</w:t>
            </w:r>
          </w:p>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 xml:space="preserve">    • </w:t>
            </w:r>
            <w:r>
              <w:rPr>
                <w:rFonts w:eastAsia="Calibri" w:cs="" w:ascii="Arial" w:hAnsi="Arial"/>
                <w:kern w:val="0"/>
                <w:sz w:val="18"/>
                <w:szCs w:val="18"/>
                <w:lang w:val="pl-PL" w:eastAsia="en-US" w:bidi="ar-SA"/>
              </w:rPr>
              <w:t>ochroną i zachowaniem dziedzictwa kulturowego (czemu posłuży digitalizacja zbiorów muzyki polskiej XVI-XIX wieku, obejmujących rękopisy i druki muzyczne, a także dokumenty kontekstualne)</w:t>
            </w:r>
          </w:p>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 xml:space="preserve">    • </w:t>
            </w:r>
            <w:r>
              <w:rPr>
                <w:rFonts w:eastAsia="Calibri" w:cs="" w:ascii="Arial" w:hAnsi="Arial"/>
                <w:kern w:val="0"/>
                <w:sz w:val="18"/>
                <w:szCs w:val="18"/>
                <w:lang w:val="pl-PL" w:eastAsia="en-US" w:bidi="ar-SA"/>
              </w:rPr>
              <w:t>promocją i wdrażaniem nowoczesnej technologii w produkcji i dystrybucji dóbr i usług kultury (wdrożenie projektu umożliwi wykorzystanie takiej nowoczesnej technologii jaką jest możliwość przeszukiwania źródeł wg elementów muzycznych, z kolei zapisy transkrypcji muzycznych pozwolą na wykorzystanie nieopublikowanych dotychczas zbiorów muzyki polskiej do przygotowania programów edukacyjnych czy publikacji).</w:t>
            </w:r>
          </w:p>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Projekt przyczynia się do osiągnięcia celu szczegółowego nr 4 „Cyfrowa dostępność i użyteczność informacji sektora publicznego w ramach Programu Operacyjnego Polska Cyfrowa na lata 2014-2020”, realizowanego w ramach Osi priorytetowej II. E-administracja i otwarty rząd, Cel szczegółowy 2: Wysoka dostępność i jakość e-usług publicznych, w sposób bezpośredni poprzez m.in.: (1) dostosowanie informacji do formatów umożliwiających odczyt maszynowy, (2) udostępnienie informacji on-line za pomocą profesjonalnych narzędzi, w szczególności interfejsów programistycznych (API) oraz repozytoriów z danymi surowymi, poprawę dostępności ISP zgodnie ze standardami co najmniej WCAG 2.0,  (3) digitalizację ISP, w szczególności zasobów kultury i nauki, budowę lub rozbudowę infrastruktury na potrzeby przechowywania udostępnianych informacji. Projekt bezpośrednio przyczynia się do realizacji wskaźnika rezultatu strategicznego POPC „Odsetek internautów pozytywnie oceniających użyteczność informacji sektora publicznego”. Cel 1. projektu (Digitalizacja zbiorów) jest zgodny z celem szczegółowym 3. Strategii Rozwoju Kapitału Społecznego – Usprawnienie procesów komunikacji społecznej oraz wymiany wiedzy, Priorytet Strategii 3.1. Zwiększanie dostępności informacji i poprawa jakości komunikacji w sferze publicznej, kierunki działań: 3.1.1. Zwiększenie dostępności treści edukacyjnych, naukowych i kulturowych w domenie publicznej, 3.1.2. Ochrona własności intelektualnej i stworzenie warunków umożliwiających eksploatację treści w ramach dozwolonego użytku przewidzianego przepisami prawa poprzez: (1) wykonanie cyfrowych kopii  materiałów przechowywanych w kolekcjach bibliotecznych i archiwalnych w celu ochrony tych materiałów oraz dostarczania kopii utworów użytkownikom drogą elektroniczną, (2) uregulowanie kwestii praw autorskich.</w:t>
            </w:r>
          </w:p>
          <w:p>
            <w:pPr>
              <w:pStyle w:val="Normal"/>
              <w:widowControl w:val="false"/>
              <w:suppressAutoHyphens w:val="true"/>
              <w:spacing w:lineRule="auto" w:line="240" w:before="0" w:after="0"/>
              <w:jc w:val="both"/>
              <w:rPr>
                <w:rFonts w:ascii="Calibri" w:hAnsi="Calibri" w:eastAsia="Calibri"/>
                <w:sz w:val="18"/>
                <w:szCs w:val="18"/>
              </w:rPr>
            </w:pPr>
            <w:r>
              <w:rPr>
                <w:rFonts w:eastAsia="Calibri"/>
                <w:sz w:val="18"/>
                <w:szCs w:val="18"/>
              </w:rPr>
            </w:r>
          </w:p>
        </w:tc>
      </w:tr>
      <w:tr>
        <w:trPr/>
        <w:tc>
          <w:tcPr>
            <w:tcW w:w="478" w:type="dxa"/>
            <w:tcBorders/>
          </w:tcPr>
          <w:p>
            <w:pPr>
              <w:pStyle w:val="ListParagraph"/>
              <w:widowControl w:val="false"/>
              <w:numPr>
                <w:ilvl w:val="0"/>
                <w:numId w:val="1"/>
              </w:numPr>
              <w:suppressAutoHyphens w:val="true"/>
              <w:spacing w:lineRule="auto" w:line="240" w:before="0" w:after="0"/>
              <w:contextualSpacing/>
              <w:jc w:val="both"/>
              <w:rPr>
                <w:rFonts w:ascii="Arial" w:hAnsi="Arial" w:eastAsia="Calibri"/>
                <w:sz w:val="18"/>
                <w:szCs w:val="18"/>
              </w:rPr>
            </w:pPr>
            <w:r>
              <w:rPr>
                <w:rFonts w:eastAsia="Calibri" w:ascii="Arial" w:hAnsi="Arial"/>
                <w:sz w:val="18"/>
                <w:szCs w:val="18"/>
              </w:rPr>
            </w:r>
          </w:p>
        </w:tc>
        <w:tc>
          <w:tcPr>
            <w:tcW w:w="1759" w:type="dxa"/>
            <w:tcBorders/>
          </w:tcPr>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Ryzyka i problemy</w:t>
            </w:r>
          </w:p>
        </w:tc>
        <w:tc>
          <w:tcPr>
            <w:tcW w:w="7397" w:type="dxa"/>
            <w:tcBorders/>
          </w:tcPr>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 xml:space="preserve">Podstawowe ryzyka zidentyfikowane w trakcie realizacji projektu to ryzyka organizacyjne, prawne, społeczne oraz technologiczne. Spośród ryzyk organizacyjnych należy wskazać zidentyfikowaną w trakcie realizacji projektu konieczność poprawienia przepływu informacji pomiędzy komórkami zaangażowanymi w realizację projektu. Wynikało to m.in. z potrzeby wdrożenia metodyki wybranej do realizacji projektu. Główne ryzyka prawne dotyczyły kwestii prawa zamówień publicznych. Przewlekłość postępowań wynikająca z faktu, że zamawiający realizował zamówienia z zakresu prac o wysoko specjalistycznym charakterze skutkowała koniecznością modyfikacji części przyjętych założeń harmonogramu oraz planu finansowego. W szczególności problem dotyczył aspektów związanych z zamówieniami na unikatowe rozwiązania technologiczne związane z tworzeniem wyszukiwarki muzycznej oraz renderowaniem partytur online. Ryzyka społeczne, jakie wystąpiły w trakcie realizacji projektu to głównie te związane z sytuacją pandemiczną. Konieczność wprowadzenia pracy częściowo lub całkowicie zdalnej skutkowała koniecznością szybkiego wdrożenia nowych rozwiązań pozwalających efektywnie zarządzać zespołem oraz nadzorować prace wykonawców zewnętrznych. Ryzyka technologiczne zidentyfikowane w projekcie związane były z koniecznością integrowania różnych systemów informatycznych (w tym m.in. systemu muzealnego), które operują odmiennymi typami metadanych. </w:t>
            </w:r>
          </w:p>
          <w:p>
            <w:pPr>
              <w:pStyle w:val="Normal"/>
              <w:widowControl w:val="false"/>
              <w:suppressAutoHyphens w:val="true"/>
              <w:spacing w:lineRule="auto" w:line="240" w:before="0" w:after="0"/>
              <w:jc w:val="both"/>
              <w:rPr>
                <w:rFonts w:ascii="Arial" w:hAnsi="Arial" w:eastAsia="Calibri"/>
                <w:sz w:val="18"/>
                <w:szCs w:val="18"/>
              </w:rPr>
            </w:pPr>
            <w:r>
              <w:rPr>
                <w:rFonts w:eastAsia="Calibri" w:ascii="Arial" w:hAnsi="Arial"/>
                <w:sz w:val="18"/>
                <w:szCs w:val="18"/>
              </w:rPr>
            </w:r>
          </w:p>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Ryzyka związane z utrzymaniem trwałości projektu zostały zminimalizowane już na etapie składania wniosku, bowiem projekt jako całość stał się jednym z głównych elementów strategii digitalizacji i udostępniania zasobów przez NIFC. Portal stworzony w projekcie stanowi podstawę do długofalowej współpracy z instytucjami zaangażowanymi w realizację projektu. Zatem utrzymanie efektów stanowi obecnie priorytet dla instytucji.</w:t>
            </w:r>
          </w:p>
        </w:tc>
      </w:tr>
      <w:tr>
        <w:trPr/>
        <w:tc>
          <w:tcPr>
            <w:tcW w:w="478" w:type="dxa"/>
            <w:tcBorders/>
          </w:tcPr>
          <w:p>
            <w:pPr>
              <w:pStyle w:val="ListParagraph"/>
              <w:widowControl w:val="false"/>
              <w:numPr>
                <w:ilvl w:val="0"/>
                <w:numId w:val="1"/>
              </w:numPr>
              <w:suppressAutoHyphens w:val="true"/>
              <w:spacing w:lineRule="auto" w:line="240" w:before="0" w:after="0"/>
              <w:contextualSpacing/>
              <w:jc w:val="both"/>
              <w:rPr>
                <w:rFonts w:ascii="Arial" w:hAnsi="Arial" w:eastAsia="Calibri"/>
                <w:sz w:val="18"/>
                <w:szCs w:val="18"/>
              </w:rPr>
            </w:pPr>
            <w:r>
              <w:rPr>
                <w:rFonts w:eastAsia="Calibri" w:ascii="Arial" w:hAnsi="Arial"/>
                <w:sz w:val="18"/>
                <w:szCs w:val="18"/>
              </w:rPr>
            </w:r>
          </w:p>
        </w:tc>
        <w:tc>
          <w:tcPr>
            <w:tcW w:w="1759" w:type="dxa"/>
            <w:tcBorders/>
          </w:tcPr>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 xml:space="preserve">Uzyskane korzyści </w:t>
            </w:r>
          </w:p>
        </w:tc>
        <w:tc>
          <w:tcPr>
            <w:tcW w:w="7397" w:type="dxa"/>
            <w:tcBorders/>
          </w:tcPr>
          <w:p>
            <w:pPr>
              <w:pStyle w:val="Normal"/>
              <w:widowControl w:val="false"/>
              <w:suppressAutoHyphens w:val="true"/>
              <w:spacing w:lineRule="auto" w:line="240" w:before="0" w:after="0"/>
              <w:jc w:val="both"/>
              <w:rPr>
                <w:rFonts w:ascii="Calibri" w:hAnsi="Calibri"/>
                <w:sz w:val="18"/>
                <w:szCs w:val="18"/>
              </w:rPr>
            </w:pPr>
            <w:r>
              <w:rPr>
                <w:rFonts w:eastAsia="Calibri" w:cs=""/>
                <w:kern w:val="0"/>
                <w:sz w:val="18"/>
                <w:szCs w:val="18"/>
                <w:lang w:val="pl-PL" w:eastAsia="en-US" w:bidi="ar-SA"/>
              </w:rPr>
              <w:t>Korzyści osiągnięte są poprzez publikację treści oraz sposób budowy i funkcjonalności portalu a także narzędzi pozwalających renderować partytury cyfrowe oraz przeszukiwać treść muzyczną. Portal pozwala uzyskać powszechny dostęp do dziedzictwa muzyki polskiej (w tym wcześniej nieudostępnianych w żaden sposób materiałów)  ponieważ nie posiada ograniczeń w postaci wymogów logowania oraz dostępny jest bez ograniczeń terytorialnych bądź prawnych. Z uwagi na ilość zasobów udostępnionych w portalu oraz systemie prezentacji partytur cyfrowych zrealizowano założenia projektu dotyczące publikacji polskich zasobów źródeł muzycznych. Dostęp ten jest niezależny od używanego systemu operacyjnego, bowiem portal oraz wyszukiwarka muzyczna wraz z systemem renderowania partytur działają na wszystkich popularnych przeglądarkach internetowych. Ponadto nie jest wymagane instalowanie żadnego dodatkowego oprogramowania do wyświetlania i wyszukiwania treści. Zarówno ISP publikowane w portalu jak i wszystkie partytury cyfrowe można pobrać na własny nośnik. System renderowania partytur pozwala nie tylko na wizualizowanie danych muzycznych poprzez wyświetlanie m.in. modelu analizy harmonicznej ale także statystykę wystąpień poszczególnych dźwięków czy model strukturalny utworu. Możliwe jest pobranie plików transkrypcji w różnych formatach w tym także w najpopularniejszym formacie MusicXML pozwalającym na otwarcie partytury w każdym z najpopularniejszych edytorów muzycznych. System pozwala także wyszukiwać treść utworu poprzez rytm lub melodię oraz filtrować wyniki według gatunków, wydawców czy numerów opusowych. Szczególnie istotne korzyści zostały uzyskane poprzez udostępnienie wysokiej jakości składów nutowych jako materiału badawczego, w tym do wykorzystania za pomocą narzędzi skomputeryzowanej analizy muzycznej a także badań statystycznych, stylokrytycznych, proweniencyjnych i dotyczących atrybucji źródeł anonimowych. Kolejną z ważnych dla środowiska naukowego korzyścią jest udostępnienie profesjonalnych składów, które mogą zostać ponownie wykorzystane do przygotowania tradycyjnych edycji krytycznych. Ponadto z perspektywy promocji polskiego dziedzictwa muzycznego kluczowe znaczenie ma możliwość dalszego wykorzystania transkrypcji w celach artystycznych, do wykonań a także nagrań.</w:t>
            </w:r>
          </w:p>
          <w:p>
            <w:pPr>
              <w:pStyle w:val="Normal"/>
              <w:widowControl w:val="false"/>
              <w:suppressAutoHyphens w:val="true"/>
              <w:spacing w:lineRule="auto" w:line="240" w:before="0" w:after="0"/>
              <w:jc w:val="both"/>
              <w:rPr>
                <w:rFonts w:ascii="Calibri" w:hAnsi="Calibri" w:eastAsia="Calibri"/>
                <w:sz w:val="18"/>
                <w:szCs w:val="18"/>
              </w:rPr>
            </w:pPr>
            <w:r>
              <w:rPr>
                <w:rFonts w:eastAsia="Calibri"/>
                <w:sz w:val="18"/>
                <w:szCs w:val="18"/>
              </w:rPr>
            </w:r>
          </w:p>
          <w:p>
            <w:pPr>
              <w:pStyle w:val="Normal"/>
              <w:widowControl w:val="false"/>
              <w:suppressAutoHyphens w:val="true"/>
              <w:spacing w:lineRule="auto" w:line="240" w:before="0" w:after="0"/>
              <w:jc w:val="both"/>
              <w:rPr>
                <w:rFonts w:ascii="Calibri" w:hAnsi="Calibri"/>
                <w:sz w:val="18"/>
                <w:szCs w:val="18"/>
              </w:rPr>
            </w:pPr>
            <w:r>
              <w:rPr>
                <w:rFonts w:eastAsia="Calibri" w:cs=""/>
                <w:kern w:val="0"/>
                <w:sz w:val="18"/>
                <w:szCs w:val="18"/>
                <w:lang w:val="pl-PL" w:eastAsia="en-US" w:bidi="ar-SA"/>
              </w:rPr>
              <w:t>Wykorzystanie efektów projektu mierzone będzie na podstawie liczby pobrań/odtworzeń a także wygenerowanych kluczy API w okresie 12 miesięcy po zakończeniu projektu a także w okresie trwałości. Źródło informacji o wskaźniku pobrań/odtworzeń: dane beneficjenta zawarte w sprawozdaniu składanym na  po zakończeniu pierwszego roku trwałości projektu (2023) oraz potwierdzenie utrzymania wskaźnika w raportach składanych rocznie w kolejnych latach trwałości projektu (2023-2027). Sposób dokonywania pomiaru: dane z Google Analytics. Źródło informacji o wskaźniku wygenerowanych kluczy API: dane beneficjenta zawarte w sprawozdaniu składanym na  po zakończeniu pierwszego roku trwałości projektu (2023) Potwierdzenie utrzymania wskaźnika w raportach składanych rocznie w kolejnych latach trwałości projektu (2023-2027). Sposób pomiaru: Raport wygenerowany z systemu do zarządzania centralną bazą danych.</w:t>
            </w:r>
          </w:p>
        </w:tc>
      </w:tr>
      <w:tr>
        <w:trPr/>
        <w:tc>
          <w:tcPr>
            <w:tcW w:w="478" w:type="dxa"/>
            <w:tcBorders/>
          </w:tcPr>
          <w:p>
            <w:pPr>
              <w:pStyle w:val="ListParagraph"/>
              <w:widowControl w:val="false"/>
              <w:numPr>
                <w:ilvl w:val="0"/>
                <w:numId w:val="1"/>
              </w:numPr>
              <w:suppressAutoHyphens w:val="true"/>
              <w:spacing w:lineRule="auto" w:line="240" w:before="0" w:after="0"/>
              <w:contextualSpacing/>
              <w:jc w:val="both"/>
              <w:rPr>
                <w:rFonts w:ascii="Arial" w:hAnsi="Arial" w:eastAsia="Calibri"/>
                <w:sz w:val="18"/>
                <w:szCs w:val="18"/>
              </w:rPr>
            </w:pPr>
            <w:r>
              <w:rPr>
                <w:rFonts w:eastAsia="Calibri" w:ascii="Arial" w:hAnsi="Arial"/>
                <w:sz w:val="18"/>
                <w:szCs w:val="18"/>
              </w:rPr>
            </w:r>
          </w:p>
        </w:tc>
        <w:tc>
          <w:tcPr>
            <w:tcW w:w="1759" w:type="dxa"/>
            <w:tcBorders/>
          </w:tcPr>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E-usługi i rejestry z jakimi zintegrował się wytworzony system w ramach realizacji projektu</w:t>
            </w:r>
          </w:p>
        </w:tc>
        <w:tc>
          <w:tcPr>
            <w:tcW w:w="7397" w:type="dxa"/>
            <w:tcBorders/>
          </w:tcPr>
          <w:p>
            <w:pPr>
              <w:pStyle w:val="Normal"/>
              <w:widowControl w:val="false"/>
              <w:suppressAutoHyphens w:val="true"/>
              <w:spacing w:lineRule="auto" w:line="240" w:before="0" w:after="0"/>
              <w:jc w:val="both"/>
              <w:rPr>
                <w:rFonts w:ascii="Calibri" w:hAnsi="Calibri"/>
                <w:sz w:val="18"/>
                <w:szCs w:val="18"/>
              </w:rPr>
            </w:pPr>
            <w:r>
              <w:rPr>
                <w:rFonts w:eastAsia="Calibri" w:cs=""/>
                <w:kern w:val="0"/>
                <w:sz w:val="18"/>
                <w:szCs w:val="18"/>
                <w:lang w:val="pl-PL" w:eastAsia="en-US" w:bidi="ar-SA"/>
              </w:rPr>
              <w:t>FBC. Opis zależności: korzystanie/wspieranie. Dane wraz z metadanymi zostaną udostępnione w serwisie Federacji Bibliotek Cyfrowych (FBC).Status: Wdrażanie.. Od strony beneficjenta narzędzie wdrożone i gotowe do użycia. W repozytorium został uruchomiony OAI-PMH Data Harvester umożliwiający automatyczny transfer danych, zaś metadane są odpowiednio przygotowane. Z uwagi na duża ilość danych ze strony FBC możliwe jest rozpoczęcie transferu w listopadzie 2022 i dopiero w tym momencie będzie można mówić o pełnym wdrożeniu.</w:t>
            </w:r>
          </w:p>
          <w:p>
            <w:pPr>
              <w:pStyle w:val="Normal"/>
              <w:widowControl w:val="false"/>
              <w:suppressAutoHyphens w:val="true"/>
              <w:spacing w:lineRule="auto" w:line="240" w:before="0" w:after="0"/>
              <w:jc w:val="both"/>
              <w:rPr>
                <w:rFonts w:ascii="Calibri" w:hAnsi="Calibri" w:eastAsia="Calibri"/>
                <w:sz w:val="18"/>
                <w:szCs w:val="18"/>
              </w:rPr>
            </w:pPr>
            <w:r>
              <w:rPr>
                <w:rFonts w:eastAsia="Calibri"/>
                <w:sz w:val="18"/>
                <w:szCs w:val="18"/>
              </w:rPr>
            </w:r>
          </w:p>
          <w:p>
            <w:pPr>
              <w:pStyle w:val="Normal"/>
              <w:widowControl w:val="false"/>
              <w:suppressAutoHyphens w:val="true"/>
              <w:spacing w:lineRule="auto" w:line="240" w:before="0" w:after="0"/>
              <w:jc w:val="both"/>
              <w:rPr>
                <w:rFonts w:ascii="Calibri" w:hAnsi="Calibri"/>
                <w:sz w:val="18"/>
                <w:szCs w:val="18"/>
              </w:rPr>
            </w:pPr>
            <w:r>
              <w:rPr>
                <w:rFonts w:eastAsia="Calibri" w:cs=""/>
                <w:kern w:val="0"/>
                <w:sz w:val="18"/>
                <w:szCs w:val="18"/>
                <w:lang w:val="pl-PL" w:eastAsia="en-US" w:bidi="ar-SA"/>
              </w:rPr>
              <w:t>Portal dziedzictwo chopinowskie. Opis zależności: korzystanie. Portale merytorycznie uzupełniają się. Dane dotyczące twórczości Chopina stanowić będą uzupełnienie danych wytworzonych w projekcie. Status: Zrealizowano.</w:t>
            </w:r>
          </w:p>
          <w:p>
            <w:pPr>
              <w:pStyle w:val="Normal"/>
              <w:widowControl w:val="false"/>
              <w:suppressAutoHyphens w:val="true"/>
              <w:spacing w:lineRule="auto" w:line="240" w:before="0" w:after="0"/>
              <w:jc w:val="both"/>
              <w:rPr>
                <w:rFonts w:ascii="Calibri" w:hAnsi="Calibri" w:eastAsia="Calibri"/>
                <w:sz w:val="18"/>
                <w:szCs w:val="18"/>
              </w:rPr>
            </w:pPr>
            <w:r>
              <w:rPr>
                <w:rFonts w:eastAsia="Calibri"/>
                <w:sz w:val="18"/>
                <w:szCs w:val="18"/>
              </w:rPr>
            </w:r>
          </w:p>
          <w:p>
            <w:pPr>
              <w:pStyle w:val="Normal"/>
              <w:widowControl w:val="false"/>
              <w:suppressAutoHyphens w:val="true"/>
              <w:spacing w:lineRule="auto" w:line="240" w:before="0" w:after="0"/>
              <w:jc w:val="both"/>
              <w:rPr>
                <w:rFonts w:ascii="Calibri" w:hAnsi="Calibri"/>
                <w:sz w:val="18"/>
                <w:szCs w:val="18"/>
              </w:rPr>
            </w:pPr>
            <w:r>
              <w:rPr>
                <w:rFonts w:eastAsia="Calibri" w:cs=""/>
                <w:kern w:val="0"/>
                <w:sz w:val="18"/>
                <w:szCs w:val="18"/>
                <w:lang w:val="pl-PL" w:eastAsia="en-US" w:bidi="ar-SA"/>
              </w:rPr>
              <w:t>RISM. Opis zależności: korzystanie/wspieranie Komplementarność metadanych – metadane wytworzone w projekcie uzupełniają międzynarodową bazę RISM (Reperoite International des Sources Musicales) o unikatowe zbiory polskie. Całość metadanych projektowych zapisywana jest w bazie RISM i stamtąd zostają pobierane w celu prezentacji w portalu. Status: Zrealizowano.</w:t>
            </w:r>
          </w:p>
          <w:p>
            <w:pPr>
              <w:pStyle w:val="Normal"/>
              <w:widowControl w:val="false"/>
              <w:suppressAutoHyphens w:val="true"/>
              <w:spacing w:lineRule="auto" w:line="240" w:before="0" w:after="0"/>
              <w:jc w:val="both"/>
              <w:rPr>
                <w:rFonts w:ascii="Calibri" w:hAnsi="Calibri" w:eastAsia="Calibri"/>
                <w:sz w:val="18"/>
                <w:szCs w:val="18"/>
              </w:rPr>
            </w:pPr>
            <w:r>
              <w:rPr>
                <w:rFonts w:eastAsia="Calibri"/>
                <w:sz w:val="18"/>
                <w:szCs w:val="18"/>
              </w:rPr>
            </w:r>
          </w:p>
          <w:p>
            <w:pPr>
              <w:pStyle w:val="Normal"/>
              <w:widowControl w:val="false"/>
              <w:suppressAutoHyphens w:val="true"/>
              <w:spacing w:lineRule="auto" w:line="240" w:before="0" w:after="0"/>
              <w:jc w:val="both"/>
              <w:rPr>
                <w:rFonts w:ascii="Calibri" w:hAnsi="Calibri"/>
                <w:sz w:val="18"/>
                <w:szCs w:val="18"/>
              </w:rPr>
            </w:pPr>
            <w:r>
              <w:rPr>
                <w:rFonts w:eastAsia="Calibri" w:cs=""/>
                <w:kern w:val="0"/>
                <w:sz w:val="18"/>
                <w:szCs w:val="18"/>
                <w:lang w:val="pl-PL" w:eastAsia="en-US" w:bidi="ar-SA"/>
              </w:rPr>
              <w:t>VIAF. Opis zależności: korzystanie. Dzięki stosowaniu słownictwa kontrolowanego VIAF (Virtual International Authority File) w bazie RISM osiągana jest komplementarność względem VIAF. Status: Zrealizowano.</w:t>
            </w:r>
          </w:p>
          <w:p>
            <w:pPr>
              <w:pStyle w:val="Normal"/>
              <w:widowControl w:val="false"/>
              <w:suppressAutoHyphens w:val="true"/>
              <w:spacing w:lineRule="auto" w:line="240" w:before="0" w:after="0"/>
              <w:jc w:val="both"/>
              <w:rPr>
                <w:rFonts w:ascii="Calibri" w:hAnsi="Calibri" w:eastAsia="Calibri"/>
                <w:sz w:val="18"/>
                <w:szCs w:val="18"/>
              </w:rPr>
            </w:pPr>
            <w:r>
              <w:rPr>
                <w:rFonts w:eastAsia="Calibri"/>
                <w:sz w:val="18"/>
                <w:szCs w:val="18"/>
              </w:rPr>
            </w:r>
          </w:p>
          <w:p>
            <w:pPr>
              <w:pStyle w:val="Normal"/>
              <w:widowControl w:val="false"/>
              <w:suppressAutoHyphens w:val="true"/>
              <w:spacing w:lineRule="auto" w:line="240" w:before="0" w:after="0"/>
              <w:jc w:val="both"/>
              <w:rPr>
                <w:rFonts w:ascii="Calibri" w:hAnsi="Calibri"/>
                <w:sz w:val="18"/>
                <w:szCs w:val="18"/>
              </w:rPr>
            </w:pPr>
            <w:r>
              <w:rPr>
                <w:rFonts w:eastAsia="Calibri" w:cs=""/>
                <w:kern w:val="0"/>
                <w:sz w:val="18"/>
                <w:szCs w:val="18"/>
                <w:lang w:val="pl-PL" w:eastAsia="en-US" w:bidi="ar-SA"/>
              </w:rPr>
              <w:t>WikiMedia. Opis zależności: wspieranie. Wybrane dane wytworzone w projekcie zostaną udostępnione także za pośrednictwem WikiMedia, co umożliwi ich wykorzystanie w serwisach takich, jak Wikipedia. Status: Wdrażanie.. Od strony systemowej zależność wdrożono. Aktualnie trwa wybór materiałów, które są stopniowo publikowane w WikiMedia. Wynika to z faktu, że publikowane są wybrane, kluczowe i reprezentatywne dla polskiej kultury muzycznej zbiory.</w:t>
            </w:r>
          </w:p>
          <w:p>
            <w:pPr>
              <w:pStyle w:val="Normal"/>
              <w:widowControl w:val="false"/>
              <w:suppressAutoHyphens w:val="true"/>
              <w:spacing w:lineRule="auto" w:line="240" w:before="0" w:after="0"/>
              <w:jc w:val="both"/>
              <w:rPr>
                <w:rFonts w:ascii="Calibri" w:hAnsi="Calibri" w:eastAsia="Calibri"/>
                <w:sz w:val="18"/>
                <w:szCs w:val="18"/>
              </w:rPr>
            </w:pPr>
            <w:r>
              <w:rPr>
                <w:rFonts w:eastAsia="Calibri"/>
                <w:sz w:val="18"/>
                <w:szCs w:val="18"/>
              </w:rPr>
            </w:r>
          </w:p>
          <w:p>
            <w:pPr>
              <w:pStyle w:val="Normal"/>
              <w:widowControl w:val="false"/>
              <w:suppressAutoHyphens w:val="true"/>
              <w:spacing w:lineRule="auto" w:line="240" w:before="0" w:after="0"/>
              <w:jc w:val="both"/>
              <w:rPr>
                <w:rFonts w:ascii="Calibri" w:hAnsi="Calibri"/>
                <w:sz w:val="18"/>
                <w:szCs w:val="18"/>
              </w:rPr>
            </w:pPr>
            <w:r>
              <w:rPr>
                <w:rFonts w:eastAsia="Calibri" w:cs=""/>
                <w:kern w:val="0"/>
                <w:sz w:val="18"/>
                <w:szCs w:val="18"/>
                <w:lang w:val="pl-PL" w:eastAsia="en-US" w:bidi="ar-SA"/>
              </w:rPr>
              <w:t>IMSLP. Opis zależności: wspieranie</w:t>
            </w:r>
          </w:p>
          <w:p>
            <w:pPr>
              <w:pStyle w:val="Normal"/>
              <w:widowControl w:val="false"/>
              <w:suppressAutoHyphens w:val="true"/>
              <w:spacing w:lineRule="auto" w:line="240" w:before="0" w:after="0"/>
              <w:jc w:val="both"/>
              <w:rPr>
                <w:rFonts w:ascii="Calibri" w:hAnsi="Calibri"/>
                <w:sz w:val="18"/>
                <w:szCs w:val="18"/>
              </w:rPr>
            </w:pPr>
            <w:r>
              <w:rPr>
                <w:rFonts w:eastAsia="Calibri" w:cs=""/>
                <w:kern w:val="0"/>
                <w:sz w:val="18"/>
                <w:szCs w:val="18"/>
                <w:lang w:val="pl-PL" w:eastAsia="en-US" w:bidi="ar-SA"/>
              </w:rPr>
              <w:t>Transkrypcje dzieł muzyki polskiej w formacie otwartotekstowym Humdrum oraz w formie plików pdf zostaną udostępnione na platformie IMSLP stanowiącej największą na świecie cyfrową kolekcję nut. Status: Zrealizowano.</w:t>
            </w:r>
          </w:p>
          <w:p>
            <w:pPr>
              <w:pStyle w:val="Normal"/>
              <w:widowControl w:val="false"/>
              <w:suppressAutoHyphens w:val="true"/>
              <w:spacing w:lineRule="auto" w:line="240" w:before="0" w:after="0"/>
              <w:jc w:val="both"/>
              <w:rPr>
                <w:rFonts w:ascii="Calibri" w:hAnsi="Calibri" w:eastAsia="Calibri"/>
                <w:sz w:val="18"/>
                <w:szCs w:val="18"/>
              </w:rPr>
            </w:pPr>
            <w:r>
              <w:rPr>
                <w:rFonts w:eastAsia="Calibri"/>
                <w:sz w:val="18"/>
                <w:szCs w:val="18"/>
              </w:rPr>
            </w:r>
          </w:p>
          <w:p>
            <w:pPr>
              <w:pStyle w:val="Normal"/>
              <w:widowControl w:val="false"/>
              <w:suppressAutoHyphens w:val="true"/>
              <w:spacing w:lineRule="auto" w:line="240" w:before="0" w:after="0"/>
              <w:jc w:val="both"/>
              <w:rPr>
                <w:rFonts w:ascii="Calibri" w:hAnsi="Calibri"/>
                <w:sz w:val="18"/>
                <w:szCs w:val="18"/>
              </w:rPr>
            </w:pPr>
            <w:r>
              <w:rPr>
                <w:rFonts w:eastAsia="Calibri" w:cs=""/>
                <w:kern w:val="0"/>
                <w:sz w:val="18"/>
                <w:szCs w:val="18"/>
                <w:lang w:val="pl-PL" w:eastAsia="en-US" w:bidi="ar-SA"/>
              </w:rPr>
              <w:t>ZenodoDOI. Opis zależności: wspieranie. Transkrypcje dzieł muzyki polskiej w formacie otwartotekstowym Humdrum oraz w formie plików pdf udostępnione za pośrednictwem serwisu GitHub (z wbudowaną kontrolą wersji plików) do repozytorium danych naukowych Zenodo. Status: Zrealizowano.</w:t>
            </w:r>
          </w:p>
        </w:tc>
      </w:tr>
      <w:tr>
        <w:trPr/>
        <w:tc>
          <w:tcPr>
            <w:tcW w:w="478" w:type="dxa"/>
            <w:tcBorders/>
          </w:tcPr>
          <w:p>
            <w:pPr>
              <w:pStyle w:val="ListParagraph"/>
              <w:widowControl w:val="false"/>
              <w:numPr>
                <w:ilvl w:val="0"/>
                <w:numId w:val="1"/>
              </w:numPr>
              <w:suppressAutoHyphens w:val="true"/>
              <w:spacing w:lineRule="auto" w:line="240" w:before="0" w:after="0"/>
              <w:contextualSpacing/>
              <w:jc w:val="both"/>
              <w:rPr>
                <w:rFonts w:ascii="Arial" w:hAnsi="Arial" w:eastAsia="Calibri"/>
                <w:sz w:val="18"/>
                <w:szCs w:val="18"/>
              </w:rPr>
            </w:pPr>
            <w:r>
              <w:rPr>
                <w:rFonts w:eastAsia="Calibri" w:ascii="Arial" w:hAnsi="Arial"/>
                <w:sz w:val="18"/>
                <w:szCs w:val="18"/>
              </w:rPr>
            </w:r>
          </w:p>
        </w:tc>
        <w:tc>
          <w:tcPr>
            <w:tcW w:w="1759" w:type="dxa"/>
            <w:tcBorders/>
          </w:tcPr>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Zapewnienie utrzymania projektu (w okresie trwałości)</w:t>
            </w:r>
          </w:p>
        </w:tc>
        <w:tc>
          <w:tcPr>
            <w:tcW w:w="7397" w:type="dxa"/>
            <w:tcBorders/>
          </w:tcPr>
          <w:p>
            <w:pPr>
              <w:pStyle w:val="Normal"/>
              <w:widowControl w:val="false"/>
              <w:suppressAutoHyphens w:val="true"/>
              <w:spacing w:lineRule="auto" w:line="240" w:before="0" w:after="0"/>
              <w:jc w:val="both"/>
              <w:rPr>
                <w:sz w:val="18"/>
                <w:szCs w:val="18"/>
              </w:rPr>
            </w:pPr>
            <w:r>
              <w:rPr>
                <w:rFonts w:eastAsia="Calibri" w:cs=""/>
                <w:kern w:val="0"/>
                <w:sz w:val="18"/>
                <w:szCs w:val="18"/>
                <w:lang w:val="pl-PL" w:eastAsia="en-US" w:bidi="ar-SA"/>
              </w:rPr>
              <w:t>Za realizację projektu i utrzymanie jego trwałości w okresie co najmniej 5 lat (2023-2027) odpowiadać będzie Narodowy Instytut Fryderyka Chopina oraz jego poszczególne działy. Za monitorowanie utrzymania produktów i rezultatów projektu odpowiedzialny będzie Komitet Sterujący pod przewodnictwem Dyrektora NIFC, pełniącego nadzór nad Kierownikiem Projektu. Odpowiedzialność za infrastrukturę informatyczną i oprogramowanie w okresie trwałości projektu będzie przypisana Zespołowi ds. obsługi informatycznej. Dział Informatyczny będzie miał za zadanie wspieranie Muzeum oraz Działu Informacji Naukowej w utrzymaniu wdrożonego systemu, monitorowaniu dostępności i użyteczności udostępnionych produktów digitalizacji a także weryfikacji zgodności z przepisami w zakresie interoperacyjności. Zewnętrzny dział Prawny będzie wspierał NIFC w utrzymaniu trwałości projektu pod kątem prawnym, w szczególności poprawności realizacji modelu prawnego udostępnienia zasobów. Praca zespołu projektowego będzie finansowana ze środków własnych NIFC. NIFC dysponuje zasobami wystarczającymi na sfinansowanie efektów projektu, a dodatkowo projekt sam w sobie ma bardzo wysoką wartość społeczną, co jest głównym celem jego realizacji. Saldo przepływów pieniężnych dla wnioskodawcy z projektem jest w każdym roku dodatnie, mimo, że projekt traktowany osobno i bez ukazania wkładu własnego wykazuje przepływy negatywne. W przypadku stwierdzenia braku środków na działania operacyjne w projekcie, zapewnione zostaną one działalnością operacyjną NIFC. Zasoby finansowe na realizację projektu są więc zapewnione i wystarczające podczas jego realizacji, a następnie eksploatacji.</w:t>
            </w:r>
          </w:p>
        </w:tc>
      </w:tr>
      <w:tr>
        <w:trPr/>
        <w:tc>
          <w:tcPr>
            <w:tcW w:w="478" w:type="dxa"/>
            <w:tcBorders/>
          </w:tcPr>
          <w:p>
            <w:pPr>
              <w:pStyle w:val="ListParagraph"/>
              <w:widowControl w:val="false"/>
              <w:numPr>
                <w:ilvl w:val="0"/>
                <w:numId w:val="1"/>
              </w:numPr>
              <w:suppressAutoHyphens w:val="true"/>
              <w:spacing w:lineRule="auto" w:line="240" w:before="0" w:after="0"/>
              <w:contextualSpacing/>
              <w:jc w:val="both"/>
              <w:rPr>
                <w:rFonts w:ascii="Arial" w:hAnsi="Arial" w:eastAsia="Calibri"/>
                <w:sz w:val="18"/>
                <w:szCs w:val="18"/>
              </w:rPr>
            </w:pPr>
            <w:r>
              <w:rPr>
                <w:rFonts w:eastAsia="Calibri" w:ascii="Arial" w:hAnsi="Arial"/>
                <w:sz w:val="18"/>
                <w:szCs w:val="18"/>
              </w:rPr>
            </w:r>
          </w:p>
        </w:tc>
        <w:tc>
          <w:tcPr>
            <w:tcW w:w="1759" w:type="dxa"/>
            <w:tcBorders/>
          </w:tcPr>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Doświadczenia związane z realizacją projektu</w:t>
            </w:r>
          </w:p>
        </w:tc>
        <w:tc>
          <w:tcPr>
            <w:tcW w:w="7397" w:type="dxa"/>
            <w:tcBorders/>
          </w:tcPr>
          <w:p>
            <w:pPr>
              <w:pStyle w:val="Normal"/>
              <w:widowControl w:val="false"/>
              <w:suppressAutoHyphens w:val="true"/>
              <w:spacing w:lineRule="auto" w:line="240" w:before="0" w:after="0"/>
              <w:jc w:val="both"/>
              <w:rPr>
                <w:sz w:val="18"/>
                <w:szCs w:val="18"/>
              </w:rPr>
            </w:pPr>
            <w:r>
              <w:rPr>
                <w:rFonts w:eastAsia="Calibri" w:cs="" w:ascii="Arial" w:hAnsi="Arial"/>
                <w:kern w:val="0"/>
                <w:sz w:val="18"/>
                <w:szCs w:val="18"/>
                <w:lang w:val="pl-PL" w:eastAsia="en-US" w:bidi="ar-SA"/>
              </w:rPr>
              <w:t>Najważniejsze doświadczenia wynikające z realizacji projektu dotyczą aspektów zarządczych oraz związanych z wdrażaniem dobrych praktyk a także tworzeniu odpowiednich „workflows” w zakresie realizacji poszczególnych zadań. Istotną trudnością, która dotyczy aspektów zarządczych jest konieczność z jednej strony stosowania metodyk zwinnych zarządzania, z drugiej zaś zastane kaskadowe metody zarządcze. Skuteczna realizacja projektu wymaga wprowadzenia istotnych zmian dotyczących tradycyjnych relacji pomiędzy zespołami zaangażowanymi w realizację projektu. Problem metodyki dotyczy pośrednio także samego sposobu rozliczania projektu, bowiem jest rzeczą trudną realizowanie założeń metodyki zwinnej przy jednocześnie dość sztywno zakreślonych ramach harmonogramu oraz wartościach wskaźników. Bez wątpienia pozytywnie oddziałującym na działanie instytucji jako całości jest wdrażanie metodyki zwinnej, które niejako wymuszone jest poprzez realizację projektu. Istotnym pozytywnym aspektem jest także wypracowanie bądź wdrożenie istniejących dobrych praktyk w zakresie digitalizacji. Dotyczy to w szczególności procesów odbioru prac wykonywanych przez wykonawców zewnętrznych oraz oceny ich jakości za pomocą standaryzowanych narzędzi. Niezwykle istotnym aspektem realizacji projektu okazała się konieczność wypracowania metodyk pracy zdalnej oraz współpracy w utrudnionych warunkach funkcjonowania z podmiotami zewnętrznymi. Pomimo oczywistych utrudnień wynikających ze stanu epidemii udało się z nadwyżką zrealizować wskaźniki oraz osiągnąć wszystkie założone  cele.</w:t>
            </w:r>
          </w:p>
        </w:tc>
      </w:tr>
    </w:tbl>
    <w:p>
      <w:pPr>
        <w:pStyle w:val="Normal"/>
        <w:spacing w:before="0" w:after="160"/>
        <w:rPr>
          <w:sz w:val="18"/>
          <w:szCs w:val="18"/>
        </w:rPr>
      </w:pPr>
      <w:r>
        <w:rPr/>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TekstdymkaZnak" w:customStyle="1">
    <w:name w:val="Tekst dymka Znak"/>
    <w:basedOn w:val="DefaultParagraphFont"/>
    <w:link w:val="BalloonText"/>
    <w:uiPriority w:val="99"/>
    <w:semiHidden/>
    <w:qFormat/>
    <w:rsid w:val="004d135d"/>
    <w:rPr>
      <w:rFonts w:ascii="Times New Roman" w:hAnsi="Times New Roman" w:cs="Times New Roman"/>
      <w:sz w:val="18"/>
      <w:szCs w:val="18"/>
    </w:rPr>
  </w:style>
  <w:style w:type="character" w:styleId="Annotationreference">
    <w:name w:val="annotation reference"/>
    <w:basedOn w:val="DefaultParagraphFont"/>
    <w:uiPriority w:val="99"/>
    <w:semiHidden/>
    <w:unhideWhenUsed/>
    <w:qFormat/>
    <w:rsid w:val="00813fef"/>
    <w:rPr>
      <w:sz w:val="16"/>
      <w:szCs w:val="16"/>
    </w:rPr>
  </w:style>
  <w:style w:type="character" w:styleId="TekstkomentarzaZnak" w:customStyle="1">
    <w:name w:val="Tekst komentarza Znak"/>
    <w:basedOn w:val="DefaultParagraphFont"/>
    <w:link w:val="Annotationtext"/>
    <w:uiPriority w:val="99"/>
    <w:semiHidden/>
    <w:qFormat/>
    <w:rsid w:val="00813fef"/>
    <w:rPr>
      <w:sz w:val="20"/>
      <w:szCs w:val="20"/>
    </w:rPr>
  </w:style>
  <w:style w:type="character" w:styleId="Czeinternetowe" w:customStyle="1">
    <w:name w:val="Łącze internetowe"/>
    <w:rPr>
      <w:color w:val="000080"/>
      <w:u w:val="single"/>
    </w:rPr>
  </w:style>
  <w:style w:type="character" w:styleId="TematkomentarzaZnak" w:customStyle="1">
    <w:name w:val="Temat komentarza Znak"/>
    <w:basedOn w:val="TekstkomentarzaZnak"/>
    <w:link w:val="Annotationsubject"/>
    <w:uiPriority w:val="99"/>
    <w:semiHidden/>
    <w:qFormat/>
    <w:rsid w:val="00b379fd"/>
    <w:rPr>
      <w:b/>
      <w:bCs/>
      <w:sz w:val="20"/>
      <w:szCs w:val="20"/>
    </w:rPr>
  </w:style>
  <w:style w:type="character" w:styleId="Style11ptBlueUnderline" w:customStyle="1">
    <w:name w:val="Style 11 pt Blue Underline"/>
    <w:basedOn w:val="DefaultParagraphFont"/>
    <w:qFormat/>
    <w:rsid w:val="00330cd3"/>
    <w:rPr>
      <w:rFonts w:ascii="Arial" w:hAnsi="Arial"/>
      <w:color w:val="0070C0"/>
      <w:sz w:val="22"/>
      <w:u w:val="single"/>
    </w:rPr>
  </w:style>
  <w:style w:type="character" w:styleId="Other" w:customStyle="1">
    <w:name w:val="Other_"/>
    <w:basedOn w:val="DefaultParagraphFont"/>
    <w:link w:val="Other1"/>
    <w:qFormat/>
    <w:rsid w:val="00916301"/>
    <w:rPr>
      <w:rFonts w:ascii="Calibri" w:hAnsi="Calibri" w:eastAsia="Calibri" w:cs="Calibri"/>
      <w:sz w:val="18"/>
      <w:szCs w:val="18"/>
    </w:rPr>
  </w:style>
  <w:style w:type="character" w:styleId="Numeracjawierszy" w:customStyle="1">
    <w:name w:val="Numeracja wierszy"/>
    <w:rPr/>
  </w:style>
  <w:style w:type="character" w:styleId="Tekstpodstawowy2Znak" w:customStyle="1">
    <w:name w:val="Tekst podstawowy 2 Znak"/>
    <w:basedOn w:val="DefaultParagraphFont"/>
    <w:link w:val="BodyText2"/>
    <w:uiPriority w:val="99"/>
    <w:semiHidden/>
    <w:qFormat/>
    <w:rsid w:val="000a482d"/>
    <w:rPr>
      <w:sz w:val="22"/>
    </w:rPr>
  </w:style>
  <w:style w:type="character" w:styleId="Style10ptBold" w:customStyle="1">
    <w:name w:val="Style 10 pt Bold"/>
    <w:basedOn w:val="DefaultParagraphFont"/>
    <w:qFormat/>
    <w:rsid w:val="000a482d"/>
    <w:rPr>
      <w:rFonts w:ascii="Arial" w:hAnsi="Arial"/>
      <w:b/>
      <w:bCs/>
      <w:sz w:val="20"/>
    </w:rPr>
  </w:style>
  <w:style w:type="paragraph" w:styleId="Nagwek">
    <w:name w:val="Nagłówek"/>
    <w:basedOn w:val="Normal"/>
    <w:next w:val="Tretekstu"/>
    <w:qFormat/>
    <w:pPr>
      <w:keepNext w:val="true"/>
      <w:spacing w:before="240" w:after="120"/>
    </w:pPr>
    <w:rPr>
      <w:rFonts w:ascii="Liberation Sans" w:hAnsi="Liberation Sans" w:eastAsia="Noto Sans CJK SC" w:cs="Lohit Devanagari"/>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Lohit Devanagari"/>
    </w:rPr>
  </w:style>
  <w:style w:type="paragraph" w:styleId="Podpis">
    <w:name w:val="Caption"/>
    <w:basedOn w:val="Normal"/>
    <w:qFormat/>
    <w:pPr>
      <w:suppressLineNumbers/>
      <w:spacing w:before="120" w:after="120"/>
    </w:pPr>
    <w:rPr>
      <w:rFonts w:cs="Lohit Devanagari"/>
      <w:i/>
      <w:iCs/>
      <w:sz w:val="24"/>
      <w:szCs w:val="24"/>
    </w:rPr>
  </w:style>
  <w:style w:type="paragraph" w:styleId="Indeks" w:customStyle="1">
    <w:name w:val="Indeks"/>
    <w:basedOn w:val="Normal"/>
    <w:qFormat/>
    <w:pPr>
      <w:suppressLineNumbers/>
    </w:pPr>
    <w:rPr>
      <w:rFonts w:cs="Lohit Devanagari"/>
    </w:rPr>
  </w:style>
  <w:style w:type="paragraph" w:styleId="Gwkaistopka" w:customStyle="1">
    <w:name w:val="Główka i stopka"/>
    <w:basedOn w:val="Normal"/>
    <w:qFormat/>
    <w:pPr/>
    <w:rPr/>
  </w:style>
  <w:style w:type="paragraph" w:styleId="Gwka">
    <w:name w:val="Header"/>
    <w:basedOn w:val="Normal"/>
    <w:next w:val="Tretekstu"/>
    <w:qFormat/>
    <w:pPr>
      <w:keepNext w:val="true"/>
      <w:spacing w:before="240" w:after="120"/>
    </w:pPr>
    <w:rPr>
      <w:rFonts w:ascii="Liberation Sans" w:hAnsi="Liberation Sans" w:eastAsia="Noto Sans CJK SC" w:cs="Lohit Devanagari"/>
      <w:sz w:val="28"/>
      <w:szCs w:val="28"/>
    </w:rPr>
  </w:style>
  <w:style w:type="paragraph" w:styleId="Caption">
    <w:name w:val="caption"/>
    <w:basedOn w:val="Normal"/>
    <w:qFormat/>
    <w:pPr>
      <w:suppressLineNumbers/>
      <w:spacing w:before="120" w:after="120"/>
    </w:pPr>
    <w:rPr>
      <w:rFonts w:cs="Lohit Devanagari"/>
      <w:i/>
      <w:iCs/>
      <w:sz w:val="24"/>
      <w:szCs w:val="24"/>
    </w:rPr>
  </w:style>
  <w:style w:type="paragraph" w:styleId="ListParagraph">
    <w:name w:val="List Paragraph"/>
    <w:basedOn w:val="Normal"/>
    <w:uiPriority w:val="34"/>
    <w:qFormat/>
    <w:rsid w:val="007a0a3d"/>
    <w:pPr>
      <w:spacing w:before="0" w:after="160"/>
      <w:ind w:left="720" w:hanging="0"/>
      <w:contextualSpacing/>
    </w:pPr>
    <w:rPr/>
  </w:style>
  <w:style w:type="paragraph" w:styleId="BalloonText">
    <w:name w:val="Balloon Text"/>
    <w:basedOn w:val="Normal"/>
    <w:link w:val="TekstdymkaZnak"/>
    <w:uiPriority w:val="99"/>
    <w:semiHidden/>
    <w:unhideWhenUsed/>
    <w:qFormat/>
    <w:rsid w:val="004d135d"/>
    <w:pPr>
      <w:spacing w:lineRule="auto" w:line="240" w:before="0" w:after="0"/>
    </w:pPr>
    <w:rPr>
      <w:rFonts w:ascii="Times New Roman" w:hAnsi="Times New Roman" w:cs="Times New Roman"/>
      <w:sz w:val="18"/>
      <w:szCs w:val="18"/>
    </w:rPr>
  </w:style>
  <w:style w:type="paragraph" w:styleId="Annotationtext">
    <w:name w:val="annotation text"/>
    <w:basedOn w:val="Normal"/>
    <w:link w:val="TekstkomentarzaZnak"/>
    <w:uiPriority w:val="99"/>
    <w:semiHidden/>
    <w:unhideWhenUsed/>
    <w:qFormat/>
    <w:rsid w:val="00813fef"/>
    <w:pPr>
      <w:spacing w:lineRule="auto" w:line="240"/>
    </w:pPr>
    <w:rPr>
      <w:sz w:val="20"/>
      <w:szCs w:val="20"/>
    </w:rPr>
  </w:style>
  <w:style w:type="paragraph" w:styleId="Annotationsubject">
    <w:name w:val="annotation subject"/>
    <w:basedOn w:val="Annotationtext"/>
    <w:next w:val="Annotationtext"/>
    <w:link w:val="TematkomentarzaZnak"/>
    <w:uiPriority w:val="99"/>
    <w:semiHidden/>
    <w:unhideWhenUsed/>
    <w:qFormat/>
    <w:rsid w:val="00b379fd"/>
    <w:pPr/>
    <w:rPr>
      <w:b/>
      <w:bCs/>
    </w:rPr>
  </w:style>
  <w:style w:type="paragraph" w:styleId="Revision">
    <w:name w:val="Revision"/>
    <w:uiPriority w:val="99"/>
    <w:semiHidden/>
    <w:qFormat/>
    <w:rsid w:val="009f60f7"/>
    <w:pPr>
      <w:widowControl/>
      <w:suppressAutoHyphens w:val="false"/>
      <w:bidi w:val="0"/>
      <w:spacing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Other1" w:customStyle="1">
    <w:name w:val="Other"/>
    <w:basedOn w:val="Normal"/>
    <w:link w:val="Other"/>
    <w:qFormat/>
    <w:rsid w:val="00916301"/>
    <w:pPr>
      <w:widowControl w:val="false"/>
      <w:suppressAutoHyphens w:val="false"/>
      <w:spacing w:lineRule="auto" w:line="240" w:before="0" w:after="0"/>
    </w:pPr>
    <w:rPr>
      <w:rFonts w:ascii="Calibri" w:hAnsi="Calibri" w:eastAsia="Calibri" w:cs="Calibri"/>
      <w:sz w:val="18"/>
      <w:szCs w:val="18"/>
    </w:rPr>
  </w:style>
  <w:style w:type="paragraph" w:styleId="Standard" w:customStyle="1">
    <w:name w:val="Standard"/>
    <w:qFormat/>
    <w:rsid w:val="00be4a93"/>
    <w:pPr>
      <w:widowControl/>
      <w:suppressAutoHyphens w:val="true"/>
      <w:bidi w:val="0"/>
      <w:spacing w:lineRule="auto" w:line="252" w:before="0" w:after="160"/>
      <w:jc w:val="left"/>
      <w:textAlignment w:val="baseline"/>
    </w:pPr>
    <w:rPr>
      <w:rFonts w:ascii="Calibri" w:hAnsi="Calibri" w:eastAsia="Calibri" w:cs="F" w:asciiTheme="minorHAnsi" w:eastAsiaTheme="minorHAnsi" w:hAnsiTheme="minorHAnsi"/>
      <w:color w:val="auto"/>
      <w:kern w:val="0"/>
      <w:sz w:val="22"/>
      <w:szCs w:val="22"/>
      <w:lang w:val="pl-PL" w:eastAsia="en-US" w:bidi="ar-SA"/>
    </w:rPr>
  </w:style>
  <w:style w:type="paragraph" w:styleId="BodyText2">
    <w:name w:val="Body Text 2"/>
    <w:basedOn w:val="Normal"/>
    <w:link w:val="Tekstpodstawowy2Znak"/>
    <w:uiPriority w:val="99"/>
    <w:semiHidden/>
    <w:unhideWhenUsed/>
    <w:qFormat/>
    <w:rsid w:val="000a482d"/>
    <w:pPr>
      <w:spacing w:lineRule="auto" w:line="480" w:before="0" w:after="120"/>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7a0a3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6BFEC-B267-4EA4-B1B7-E5F0F152E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Application>LibreOffice/7.3.6.2$Linux_X86_64 LibreOffice_project/30$Build-2</Application>
  <AppVersion>15.0000</AppVersion>
  <Pages>7</Pages>
  <Words>3441</Words>
  <Characters>24635</Characters>
  <CharactersWithSpaces>28007</CharactersWithSpaces>
  <Paragraphs>124</Paragraphs>
  <Company>MAiC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2022-10-28T11:32:00Z</dcterms:created>
  <dc:creator>Sankiewicz Szymon</dc:creator>
  <dc:description/>
  <dc:language>pl-PL</dc:language>
  <cp:lastModifiedBy>Marcin Konik</cp:lastModifiedBy>
  <dcterms:modified xsi:type="dcterms:W3CDTF">2022-10-28T14:35:01Z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