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BD" w:rsidRDefault="00B24D64">
      <w:pPr>
        <w:pStyle w:val="Tekstpodstawowy"/>
        <w:pBdr>
          <w:top w:val="single" w:sz="4" w:space="0" w:color="auto"/>
          <w:left w:val="single" w:sz="4" w:space="0" w:color="auto"/>
          <w:bottom w:val="single" w:sz="4" w:space="0" w:color="auto"/>
          <w:right w:val="single" w:sz="4" w:space="0" w:color="auto"/>
        </w:pBdr>
        <w:shd w:val="clear" w:color="auto" w:fill="auto"/>
        <w:spacing w:after="900"/>
      </w:pPr>
      <w:r>
        <w:t xml:space="preserve">Wykonanie </w:t>
      </w:r>
      <w:r w:rsidRPr="00295197">
        <w:rPr>
          <w:lang w:eastAsia="en-US" w:bidi="en-US"/>
        </w:rPr>
        <w:t xml:space="preserve">art. </w:t>
      </w:r>
      <w:r>
        <w:t>119 ust. 1 lit. d) rozporządzenia w sprawie EFMR</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8510"/>
      </w:tblGrid>
      <w:tr w:rsidR="00A164BD">
        <w:trPr>
          <w:trHeight w:hRule="exact" w:val="581"/>
          <w:jc w:val="center"/>
        </w:trPr>
        <w:tc>
          <w:tcPr>
            <w:tcW w:w="566" w:type="dxa"/>
            <w:tcBorders>
              <w:top w:val="single" w:sz="4" w:space="0" w:color="auto"/>
              <w:left w:val="single" w:sz="4" w:space="0" w:color="auto"/>
            </w:tcBorders>
            <w:shd w:val="clear" w:color="auto" w:fill="FFFFFF"/>
          </w:tcPr>
          <w:p w:rsidR="00A164BD" w:rsidRDefault="00B24D64">
            <w:pPr>
              <w:pStyle w:val="Other0"/>
              <w:shd w:val="clear" w:color="auto" w:fill="auto"/>
              <w:ind w:left="100"/>
              <w:jc w:val="center"/>
            </w:pPr>
            <w:r>
              <w:t>A.</w:t>
            </w:r>
          </w:p>
        </w:tc>
        <w:tc>
          <w:tcPr>
            <w:tcW w:w="8510" w:type="dxa"/>
            <w:tcBorders>
              <w:top w:val="single" w:sz="4" w:space="0" w:color="auto"/>
              <w:left w:val="single" w:sz="4" w:space="0" w:color="auto"/>
              <w:right w:val="single" w:sz="4" w:space="0" w:color="auto"/>
            </w:tcBorders>
            <w:shd w:val="clear" w:color="auto" w:fill="FFFFFF"/>
          </w:tcPr>
          <w:p w:rsidR="00A164BD" w:rsidRDefault="00B24D64">
            <w:pPr>
              <w:pStyle w:val="Other0"/>
              <w:shd w:val="clear" w:color="auto" w:fill="auto"/>
              <w:rPr>
                <w:sz w:val="24"/>
                <w:szCs w:val="24"/>
              </w:rPr>
            </w:pPr>
            <w:r>
              <w:rPr>
                <w:b/>
                <w:bCs/>
                <w:sz w:val="24"/>
                <w:szCs w:val="24"/>
              </w:rPr>
              <w:t>Akty prawne</w:t>
            </w:r>
          </w:p>
        </w:tc>
      </w:tr>
      <w:tr w:rsidR="00A164BD">
        <w:trPr>
          <w:trHeight w:hRule="exact" w:val="547"/>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Ustawa z dnia 19 grudnia 2014 r. o rybołówstwie morskim (tj. Dz.U. z 202</w:t>
            </w:r>
            <w:r w:rsidR="00363411">
              <w:t>3</w:t>
            </w:r>
            <w:r>
              <w:t xml:space="preserve"> r. poz. </w:t>
            </w:r>
            <w:r w:rsidR="00363411">
              <w:t>475</w:t>
            </w:r>
            <w:r w:rsidR="00295197">
              <w:t>)</w:t>
            </w:r>
          </w:p>
          <w:p w:rsidR="00A164BD" w:rsidRDefault="00A164BD">
            <w:pPr>
              <w:pStyle w:val="Other0"/>
              <w:shd w:val="clear" w:color="auto" w:fill="auto"/>
            </w:pPr>
            <w:bookmarkStart w:id="0" w:name="_GoBack"/>
            <w:bookmarkEnd w:id="0"/>
          </w:p>
        </w:tc>
      </w:tr>
      <w:tr w:rsidR="00A164BD">
        <w:trPr>
          <w:trHeight w:hRule="exact" w:val="811"/>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Gospodarki Morskiej i Żeglugi Śródlądowej z dnia 15 lutego 2019 r.</w:t>
            </w:r>
          </w:p>
          <w:p w:rsidR="00A164BD" w:rsidRDefault="00B24D64">
            <w:pPr>
              <w:pStyle w:val="Other0"/>
              <w:shd w:val="clear" w:color="auto" w:fill="auto"/>
            </w:pPr>
            <w:r>
              <w:t>w sprawie szczegółowego sposobu podziału ogólnych kwot połowowych i dodatkowych kwot</w:t>
            </w:r>
          </w:p>
          <w:p w:rsidR="00A164BD" w:rsidRDefault="00B24D64">
            <w:pPr>
              <w:pStyle w:val="Other0"/>
              <w:shd w:val="clear" w:color="auto" w:fill="auto"/>
              <w:spacing w:line="230" w:lineRule="auto"/>
            </w:pPr>
            <w:r>
              <w:t>połowowych (Dz.U. z 2019 r. poz. 370</w:t>
            </w:r>
            <w:r w:rsidR="00363411">
              <w:t xml:space="preserve"> </w:t>
            </w:r>
            <w:r w:rsidR="00363411" w:rsidRPr="00363411">
              <w:t>z późn.</w:t>
            </w:r>
            <w:r w:rsidR="00363411">
              <w:t xml:space="preserve"> zm.</w:t>
            </w:r>
            <w:r>
              <w:t>)</w:t>
            </w:r>
          </w:p>
        </w:tc>
      </w:tr>
      <w:tr w:rsidR="00A164BD">
        <w:trPr>
          <w:trHeight w:hRule="exact" w:val="1085"/>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Gospodarki Morskiej i Żeglugi Śródlądowej z dnia 21 grudnia 2018 r. w sprawie kryteriów, na podstawie których Główny Inspektor Rybołówstwa Morskiego dokonuje oceny wagi stwierdzonego naruszenia przepisów wspólnej polityki rybołówstwa</w:t>
            </w:r>
          </w:p>
          <w:p w:rsidR="00A164BD" w:rsidRDefault="00B24D64">
            <w:pPr>
              <w:pStyle w:val="Other0"/>
              <w:shd w:val="clear" w:color="auto" w:fill="auto"/>
            </w:pPr>
            <w:r>
              <w:t>(Dz.U. z 2018 r. poz. 2469)</w:t>
            </w:r>
          </w:p>
        </w:tc>
      </w:tr>
      <w:tr w:rsidR="00A164BD">
        <w:trPr>
          <w:trHeight w:hRule="exact" w:val="816"/>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Rolnictwa i Rozwoju Wsi z dnia 18 września 2015 r. w sprawie</w:t>
            </w:r>
          </w:p>
          <w:p w:rsidR="00A164BD" w:rsidRDefault="00B24D64">
            <w:pPr>
              <w:pStyle w:val="Other0"/>
              <w:shd w:val="clear" w:color="auto" w:fill="auto"/>
            </w:pPr>
            <w:r>
              <w:t>wysokości kar pieniężnych za naruszenia przepisów o rybołówstwie morskim (Dz.U. z 2015 r. poz.1661)</w:t>
            </w:r>
          </w:p>
        </w:tc>
      </w:tr>
      <w:tr w:rsidR="00A164BD">
        <w:trPr>
          <w:trHeight w:hRule="exact" w:val="816"/>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Gospodarki Morskiej i Żeglugi Śródlądowej z dnia 21 grudnia 2018 r. zmieniające rozporządzenie w sprawie wysokości kar pieniężnych za naruszenia przepisów o</w:t>
            </w:r>
          </w:p>
          <w:p w:rsidR="00A164BD" w:rsidRDefault="00B24D64">
            <w:pPr>
              <w:pStyle w:val="Other0"/>
              <w:shd w:val="clear" w:color="auto" w:fill="auto"/>
            </w:pPr>
            <w:r>
              <w:t>rybołówstwie morskim (Dz.U. z 2018 r. poz.2454)</w:t>
            </w:r>
          </w:p>
        </w:tc>
      </w:tr>
      <w:tr w:rsidR="00A164BD">
        <w:trPr>
          <w:trHeight w:hRule="exact" w:val="816"/>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Rolnictwa i Rozwoju Wsi z dnia 26 sierpnia 2015 r. w sprawie wysokości kar pieniężnych za poważne naruszenia przepisów o rybołówstwie morskim (Dz.U. z 2015 r. poz.1455)</w:t>
            </w:r>
          </w:p>
        </w:tc>
      </w:tr>
      <w:tr w:rsidR="00A164BD">
        <w:trPr>
          <w:trHeight w:hRule="exact" w:val="816"/>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Gospodarki Morskiej i Żeglugi Śródlądowej z dnia 21 grudnia 2018 r. zmieniające rozporządzenie w sprawie wysokości kar pieniężnych za poważne naruszenia przepisów wspólnej polityki rybołówstwa (Dz.U. z 2018 r. poz.2460)</w:t>
            </w:r>
          </w:p>
        </w:tc>
      </w:tr>
      <w:tr w:rsidR="00A164BD">
        <w:trPr>
          <w:trHeight w:hRule="exact" w:val="1891"/>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Rady (WE) nr 1224/2009 z dnia 20 listopada 2009 r. ustanawiające wspólnotowy system kontroli w celu zapewnienia przestrzegania przepisów wspólnej polityki rybołówstwa, zmieniające rozporządzenia (WE) nr 847/96, (WE) nr 2371/2002, (WE) nr 811/2004, (WE) 768/2005, (WE) nr 2115/2005, (WE) nr 2166/2005, (WE) nr 388/2006, (WE) nr 509/2007, (WE) nr 676/2007, (WE) nr 1098/2007, (WE) nr 1300/2008, (WE) nr 1342/2008 i uchylające rozporządzenia (EWG) nr 2847/93, (WE) nr 1627/94 oraz (WE) nr 1966/2006 (Dz. U. UE L 343 z 2009 r.);</w:t>
            </w:r>
          </w:p>
        </w:tc>
      </w:tr>
      <w:tr w:rsidR="00A164BD">
        <w:trPr>
          <w:trHeight w:hRule="exact" w:val="1085"/>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wykonawcze Komisji (UE) nr 404/2011 z dnia 8 kwietnia 2011 r. ustanawiające szczegółowe przepisy wykonawcze do rozporządzenia Rady (WE) nr 1224/2009 ustanawiającego wspólnotowy system kontroli w celu zapewnienia przestrzegania przepisów wspólnej polityki rybołówstwa</w:t>
            </w:r>
          </w:p>
        </w:tc>
      </w:tr>
      <w:tr w:rsidR="00A164BD">
        <w:trPr>
          <w:trHeight w:hRule="exact" w:val="1354"/>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Rady (WE) nr 1005/2008 z dnia 29 września 2008 r. ustanawiające wspólnotowy system zapobiegania nielegalnym, nieraportowanym i nieuregulowanym połowom oraz ich powstrzymywania i eliminowania, zmieniające rozporządzenia (EWG) nr 2847/93, (WE) nr 1936/2001 i (WE) nr 601/2004 oraz uchylające rozporządzenia (WE) nr 1093/94 i (WE) nr 1447/1999</w:t>
            </w:r>
          </w:p>
        </w:tc>
      </w:tr>
      <w:tr w:rsidR="00A164BD">
        <w:trPr>
          <w:trHeight w:hRule="exact" w:val="1080"/>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Komisji (WE) nr 1010/2009 z dnia 22 października 2009 r. ustanawiające szczegółowe zasady wykonania rozporządzenia Rady (WE) nr 1005/2008 ustanawiającego wspólnotowy system zapobiegania nielegalnym, nieraportowanym i nieuregulowanym połowom oraz ich powstrzymywania i eliminowania</w:t>
            </w:r>
          </w:p>
        </w:tc>
      </w:tr>
      <w:tr w:rsidR="00A164BD">
        <w:trPr>
          <w:trHeight w:hRule="exact" w:val="826"/>
          <w:jc w:val="center"/>
        </w:trPr>
        <w:tc>
          <w:tcPr>
            <w:tcW w:w="566" w:type="dxa"/>
            <w:tcBorders>
              <w:top w:val="single" w:sz="4" w:space="0" w:color="auto"/>
              <w:left w:val="single" w:sz="4" w:space="0" w:color="auto"/>
              <w:bottom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Gospodarki Morskiej i Żeglugi Śródlądowej z dnia 21 sierpnia 2019 r.</w:t>
            </w:r>
            <w:r w:rsidR="00363411">
              <w:t xml:space="preserve"> </w:t>
            </w:r>
            <w:r>
              <w:t>w sprawie wymiarów i okresów ochronnych organizmów morskich oraz szczegółowych warunków wykonywania rybołówstwa komercyjnego</w:t>
            </w:r>
            <w:hyperlink r:id="rId7" w:history="1">
              <w:r>
                <w:t xml:space="preserve"> (Dz.U. z 2019 r. poz. 1701 z późn. zm.);</w:t>
              </w:r>
            </w:hyperlink>
          </w:p>
        </w:tc>
      </w:tr>
    </w:tbl>
    <w:p w:rsidR="00A164BD" w:rsidRDefault="00B24D6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8510"/>
      </w:tblGrid>
      <w:tr w:rsidR="00A164BD">
        <w:trPr>
          <w:trHeight w:hRule="exact" w:val="1358"/>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 xml:space="preserve">Rozporządzenie Ministra Rolnictwa i Rozwoju Wsi z dnia </w:t>
            </w:r>
            <w:r w:rsidR="00363411">
              <w:t>23 grudnia</w:t>
            </w:r>
            <w:r>
              <w:t xml:space="preserve"> 202</w:t>
            </w:r>
            <w:r w:rsidR="00363411">
              <w:t>2</w:t>
            </w:r>
            <w:r>
              <w:t xml:space="preserve"> r. w sprawie określenia współczynników przeliczeniowych na rok 202</w:t>
            </w:r>
            <w:r w:rsidR="00363411">
              <w:t>3</w:t>
            </w:r>
            <w:r>
              <w:t xml:space="preserve"> do przeliczania ilości organizmów morskich danych gatunków podlegających wymianie w ramach wymiany indywidualnych</w:t>
            </w:r>
          </w:p>
          <w:p w:rsidR="00A164BD" w:rsidRDefault="00B24D64">
            <w:pPr>
              <w:pStyle w:val="Other0"/>
              <w:shd w:val="clear" w:color="auto" w:fill="auto"/>
            </w:pPr>
            <w:r>
              <w:t>kwot połowowych pomiędzy armatorami statków rybackich oraz szczegółowych warunków</w:t>
            </w:r>
          </w:p>
          <w:p w:rsidR="00A164BD" w:rsidRDefault="00B24D64" w:rsidP="00363411">
            <w:pPr>
              <w:pStyle w:val="Other0"/>
              <w:shd w:val="clear" w:color="auto" w:fill="auto"/>
            </w:pPr>
            <w:r>
              <w:t>wymiany tych kwot (Dz.U. z 202</w:t>
            </w:r>
            <w:r w:rsidR="00363411">
              <w:t>2</w:t>
            </w:r>
            <w:r>
              <w:t xml:space="preserve"> r. poz. </w:t>
            </w:r>
            <w:r w:rsidR="00363411">
              <w:t>2799</w:t>
            </w:r>
            <w:r>
              <w:t>);</w:t>
            </w:r>
          </w:p>
        </w:tc>
      </w:tr>
      <w:tr w:rsidR="00A164BD">
        <w:trPr>
          <w:trHeight w:hRule="exact" w:val="1085"/>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Rozporządzenie Ministra Rolnictwa i Rozwoju Wsi z dnia 6 lipca 2015 r. w sprawie wymiarów</w:t>
            </w:r>
          </w:p>
          <w:p w:rsidR="00A164BD" w:rsidRDefault="00B24D64">
            <w:pPr>
              <w:pStyle w:val="Other0"/>
              <w:shd w:val="clear" w:color="auto" w:fill="auto"/>
            </w:pPr>
            <w:r>
              <w:t>i okresów ochronnych organizmów morskich poławianych przy wykonywaniu rybołówstwa</w:t>
            </w:r>
          </w:p>
          <w:p w:rsidR="00A164BD" w:rsidRDefault="00B24D64">
            <w:pPr>
              <w:pStyle w:val="Other0"/>
              <w:shd w:val="clear" w:color="auto" w:fill="auto"/>
            </w:pPr>
            <w:r>
              <w:t>rekreacyjnego oraz szczegółowego sposobu i warunków wykonywania rybołówstwa</w:t>
            </w:r>
          </w:p>
          <w:p w:rsidR="00A164BD" w:rsidRDefault="00B24D64" w:rsidP="00363411">
            <w:pPr>
              <w:pStyle w:val="Other0"/>
              <w:shd w:val="clear" w:color="auto" w:fill="auto"/>
            </w:pPr>
            <w:r>
              <w:t>rekreacyjnego</w:t>
            </w:r>
            <w:hyperlink r:id="rId8" w:history="1">
              <w:r>
                <w:t xml:space="preserve"> (Dz.U. z 20</w:t>
              </w:r>
              <w:r w:rsidR="00363411">
                <w:t>2</w:t>
              </w:r>
              <w:r>
                <w:t xml:space="preserve">1 r. poz. </w:t>
              </w:r>
              <w:r w:rsidR="00363411">
                <w:t>2056</w:t>
              </w:r>
              <w:r>
                <w:t>)</w:t>
              </w:r>
            </w:hyperlink>
          </w:p>
        </w:tc>
      </w:tr>
      <w:tr w:rsidR="00A164BD">
        <w:trPr>
          <w:trHeight w:hRule="exact" w:val="278"/>
          <w:jc w:val="center"/>
        </w:trPr>
        <w:tc>
          <w:tcPr>
            <w:tcW w:w="566" w:type="dxa"/>
            <w:tcBorders>
              <w:top w:val="single" w:sz="4" w:space="0" w:color="auto"/>
              <w:left w:val="single" w:sz="4" w:space="0" w:color="auto"/>
            </w:tcBorders>
            <w:shd w:val="clear" w:color="auto" w:fill="FFFFFF"/>
            <w:vAlign w:val="bottom"/>
          </w:tcPr>
          <w:p w:rsidR="00A164BD" w:rsidRDefault="00B24D64">
            <w:pPr>
              <w:pStyle w:val="Other0"/>
              <w:shd w:val="clear" w:color="auto" w:fill="auto"/>
              <w:ind w:left="120"/>
              <w:jc w:val="center"/>
            </w:pPr>
            <w:r>
              <w:t>B.</w:t>
            </w: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rPr>
                <w:b/>
                <w:bCs/>
              </w:rPr>
              <w:t>Organy administracji rybołówstwa morskiego</w:t>
            </w:r>
          </w:p>
        </w:tc>
      </w:tr>
      <w:tr w:rsidR="00A164BD">
        <w:trPr>
          <w:trHeight w:hRule="exact" w:val="10762"/>
          <w:jc w:val="center"/>
        </w:trPr>
        <w:tc>
          <w:tcPr>
            <w:tcW w:w="566" w:type="dxa"/>
            <w:tcBorders>
              <w:top w:val="single" w:sz="4" w:space="0" w:color="auto"/>
              <w:left w:val="single" w:sz="4" w:space="0" w:color="auto"/>
              <w:bottom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rsidR="00A164BD" w:rsidRDefault="00B24D64">
            <w:pPr>
              <w:pStyle w:val="Other0"/>
              <w:shd w:val="clear" w:color="auto" w:fill="auto"/>
            </w:pPr>
            <w:r>
              <w:t>Organami administracji rybołówstwa morskiego są:</w:t>
            </w:r>
          </w:p>
          <w:p w:rsidR="00A164BD" w:rsidRDefault="00B24D64">
            <w:pPr>
              <w:pStyle w:val="Other0"/>
              <w:numPr>
                <w:ilvl w:val="0"/>
                <w:numId w:val="1"/>
              </w:numPr>
              <w:shd w:val="clear" w:color="auto" w:fill="auto"/>
              <w:tabs>
                <w:tab w:val="left" w:pos="226"/>
              </w:tabs>
            </w:pPr>
            <w:r>
              <w:t>minister właściwy do spraw rybołówstwa;</w:t>
            </w:r>
          </w:p>
          <w:p w:rsidR="00A164BD" w:rsidRDefault="00B24D64">
            <w:pPr>
              <w:pStyle w:val="Other0"/>
              <w:numPr>
                <w:ilvl w:val="0"/>
                <w:numId w:val="1"/>
              </w:numPr>
              <w:shd w:val="clear" w:color="auto" w:fill="auto"/>
              <w:tabs>
                <w:tab w:val="left" w:pos="230"/>
              </w:tabs>
              <w:jc w:val="left"/>
            </w:pPr>
            <w:r>
              <w:t>Główny Inspektor Rybołówstwa Morskiego - jako centralny organ administracji rządowej. Główny Inspektor Rybołówstwa Morskiego podlega ministrowi właściwemu do spraw rybołówstwa.</w:t>
            </w:r>
          </w:p>
          <w:p w:rsidR="00A164BD" w:rsidRDefault="00B24D64">
            <w:pPr>
              <w:pStyle w:val="Other0"/>
              <w:shd w:val="clear" w:color="auto" w:fill="auto"/>
            </w:pPr>
            <w:r>
              <w:t>Minister właściwy do spraw rybołówstwa jest odpowiedzialny za koordynację kontrolno- inspekcyjnych działań Polski w ramach realizacji celów wspólnej polityki rybołówstwa. Organ</w:t>
            </w:r>
          </w:p>
          <w:p w:rsidR="00A164BD" w:rsidRDefault="00B24D64">
            <w:pPr>
              <w:pStyle w:val="Other0"/>
              <w:shd w:val="clear" w:color="auto" w:fill="auto"/>
            </w:pPr>
            <w:r>
              <w:t>ten:</w:t>
            </w:r>
          </w:p>
          <w:p w:rsidR="00A164BD" w:rsidRDefault="00B24D64">
            <w:pPr>
              <w:pStyle w:val="Other0"/>
              <w:numPr>
                <w:ilvl w:val="0"/>
                <w:numId w:val="2"/>
              </w:numPr>
              <w:shd w:val="clear" w:color="auto" w:fill="auto"/>
              <w:tabs>
                <w:tab w:val="left" w:pos="278"/>
              </w:tabs>
            </w:pPr>
            <w:r>
              <w:t>jest odpowiedzialny za monitorowanie działalności połowowej statków rybackich za pomocą satelitarnego systemu monitorowania statków, o którym mowa w art. 9 ust. 1</w:t>
            </w:r>
          </w:p>
          <w:p w:rsidR="00A164BD" w:rsidRDefault="00B24D64">
            <w:pPr>
              <w:pStyle w:val="Other0"/>
              <w:shd w:val="clear" w:color="auto" w:fill="auto"/>
            </w:pPr>
            <w:r>
              <w:t>rozporządzenia nr 1224/2009;</w:t>
            </w:r>
          </w:p>
          <w:p w:rsidR="00A164BD" w:rsidRDefault="00B24D64">
            <w:pPr>
              <w:pStyle w:val="Other0"/>
              <w:numPr>
                <w:ilvl w:val="0"/>
                <w:numId w:val="2"/>
              </w:numPr>
              <w:shd w:val="clear" w:color="auto" w:fill="auto"/>
              <w:tabs>
                <w:tab w:val="left" w:pos="226"/>
              </w:tabs>
            </w:pPr>
            <w:r>
              <w:t>zbiera, gromadzi i przetwarza dane w zakresie wykonywania rybołówstwa morskiego;</w:t>
            </w:r>
          </w:p>
          <w:p w:rsidR="00A164BD" w:rsidRDefault="00B24D64">
            <w:pPr>
              <w:pStyle w:val="Other0"/>
              <w:numPr>
                <w:ilvl w:val="0"/>
                <w:numId w:val="2"/>
              </w:numPr>
              <w:shd w:val="clear" w:color="auto" w:fill="auto"/>
              <w:tabs>
                <w:tab w:val="left" w:pos="235"/>
              </w:tabs>
            </w:pPr>
            <w:r>
              <w:t>realizuje obowiązki państwa członkowskiego Unii Europejskiej dotyczące:</w:t>
            </w:r>
          </w:p>
          <w:p w:rsidR="00A164BD" w:rsidRDefault="00B24D64">
            <w:pPr>
              <w:pStyle w:val="Other0"/>
              <w:numPr>
                <w:ilvl w:val="0"/>
                <w:numId w:val="3"/>
              </w:numPr>
              <w:shd w:val="clear" w:color="auto" w:fill="auto"/>
              <w:tabs>
                <w:tab w:val="left" w:pos="235"/>
              </w:tabs>
            </w:pPr>
            <w:r>
              <w:t>przypadkowych połowów waleni, określone w rozporządzeniu nr 812/2004,</w:t>
            </w:r>
          </w:p>
          <w:p w:rsidR="00A164BD" w:rsidRDefault="00B24D64">
            <w:pPr>
              <w:pStyle w:val="Other0"/>
              <w:numPr>
                <w:ilvl w:val="0"/>
                <w:numId w:val="3"/>
              </w:numPr>
              <w:shd w:val="clear" w:color="auto" w:fill="auto"/>
              <w:tabs>
                <w:tab w:val="left" w:pos="254"/>
              </w:tabs>
            </w:pPr>
            <w:r>
              <w:t>programu krajowego, w tym przekazywania sprawozdań, o których mowa w art. 25 ust. 3</w:t>
            </w:r>
          </w:p>
          <w:p w:rsidR="00A164BD" w:rsidRDefault="00B24D64">
            <w:pPr>
              <w:pStyle w:val="Other0"/>
              <w:shd w:val="clear" w:color="auto" w:fill="auto"/>
            </w:pPr>
            <w:r>
              <w:t>rozporządzenia nr 1380/2013;</w:t>
            </w:r>
          </w:p>
          <w:p w:rsidR="00A164BD" w:rsidRDefault="00B24D64">
            <w:pPr>
              <w:pStyle w:val="Other0"/>
              <w:numPr>
                <w:ilvl w:val="0"/>
                <w:numId w:val="2"/>
              </w:numPr>
              <w:shd w:val="clear" w:color="auto" w:fill="auto"/>
              <w:tabs>
                <w:tab w:val="left" w:pos="250"/>
              </w:tabs>
            </w:pPr>
            <w:r>
              <w:t>umożliwia przekazywanie informacji, o których mowa w art. 40 ust. 1 rozporządzenia nr 1005/2008, poprzez stronę internetową urzędu obsługującego tego ministra;</w:t>
            </w:r>
          </w:p>
          <w:p w:rsidR="00A164BD" w:rsidRDefault="00B24D64">
            <w:pPr>
              <w:pStyle w:val="Other0"/>
              <w:numPr>
                <w:ilvl w:val="0"/>
                <w:numId w:val="2"/>
              </w:numPr>
              <w:shd w:val="clear" w:color="auto" w:fill="auto"/>
              <w:tabs>
                <w:tab w:val="left" w:pos="235"/>
              </w:tabs>
            </w:pPr>
            <w:r>
              <w:t>pełni funkcję organu, o którym mowa w art. 5 ust. 5 rozporządzenia nr 1224/2009;</w:t>
            </w:r>
          </w:p>
          <w:p w:rsidR="00A164BD" w:rsidRDefault="00B24D64">
            <w:pPr>
              <w:pStyle w:val="Other0"/>
              <w:numPr>
                <w:ilvl w:val="0"/>
                <w:numId w:val="2"/>
              </w:numPr>
              <w:shd w:val="clear" w:color="auto" w:fill="auto"/>
              <w:tabs>
                <w:tab w:val="left" w:pos="240"/>
              </w:tabs>
            </w:pPr>
            <w:r>
              <w:t>za pośrednictwem Centrum Monitorowania Rybołówstwa:</w:t>
            </w:r>
          </w:p>
          <w:p w:rsidR="00A164BD" w:rsidRDefault="00B24D64">
            <w:pPr>
              <w:pStyle w:val="Other0"/>
              <w:numPr>
                <w:ilvl w:val="0"/>
                <w:numId w:val="4"/>
              </w:numPr>
              <w:shd w:val="clear" w:color="auto" w:fill="auto"/>
              <w:tabs>
                <w:tab w:val="left" w:pos="240"/>
              </w:tabs>
            </w:pPr>
            <w:r>
              <w:t>przyjmuje uprzednie powiadomienia, o których mowa w art. 17 i art. 18 rozporządzenia nr</w:t>
            </w:r>
          </w:p>
          <w:p w:rsidR="00A164BD" w:rsidRDefault="00B24D64">
            <w:pPr>
              <w:pStyle w:val="Other0"/>
              <w:shd w:val="clear" w:color="auto" w:fill="auto"/>
            </w:pPr>
            <w:r>
              <w:t>1224/2009,</w:t>
            </w:r>
          </w:p>
          <w:p w:rsidR="00A164BD" w:rsidRDefault="00B24D64">
            <w:pPr>
              <w:pStyle w:val="Other0"/>
              <w:numPr>
                <w:ilvl w:val="0"/>
                <w:numId w:val="4"/>
              </w:numPr>
              <w:shd w:val="clear" w:color="auto" w:fill="auto"/>
              <w:tabs>
                <w:tab w:val="left" w:pos="240"/>
              </w:tabs>
            </w:pPr>
            <w:r>
              <w:t>przyjmuje uprzednie powiadomienia, o których mowa w art. 11 rozporządzenia Parlamentu Europejskiego i Rady (UE) 2016/1139 z dnia 6 lipca 2016 r. ustanawiającego wieloletni plan w odniesieniu do stad dorsza, śledzia i szprota w Morzu Bałtyckim oraz połowów eksploatujących te stada, zmieniającego rozporządzenie Rady (WE) nr 2187/2005 i uchylającego rozporządzenie Rady (WE) nr 1098/2007,</w:t>
            </w:r>
          </w:p>
          <w:p w:rsidR="00A164BD" w:rsidRDefault="00B24D64">
            <w:pPr>
              <w:pStyle w:val="Other0"/>
              <w:numPr>
                <w:ilvl w:val="0"/>
                <w:numId w:val="4"/>
              </w:numPr>
              <w:shd w:val="clear" w:color="auto" w:fill="auto"/>
              <w:tabs>
                <w:tab w:val="left" w:pos="216"/>
              </w:tabs>
            </w:pPr>
            <w:r>
              <w:t>wykonuje obowiązki państwa członkowskiego Unii Europejskiej w zakresie powiadomienia o wejściu do portu statku rybackiego i wyładunku w innym państwie członkowskim Unii</w:t>
            </w:r>
          </w:p>
          <w:p w:rsidR="00A164BD" w:rsidRDefault="00B24D64">
            <w:pPr>
              <w:pStyle w:val="Other0"/>
              <w:shd w:val="clear" w:color="auto" w:fill="auto"/>
            </w:pPr>
            <w:r>
              <w:t>Europejskiej,</w:t>
            </w:r>
          </w:p>
          <w:p w:rsidR="00A164BD" w:rsidRDefault="00B24D64">
            <w:pPr>
              <w:pStyle w:val="Other0"/>
              <w:numPr>
                <w:ilvl w:val="0"/>
                <w:numId w:val="4"/>
              </w:numPr>
              <w:shd w:val="clear" w:color="auto" w:fill="auto"/>
              <w:tabs>
                <w:tab w:val="left" w:pos="250"/>
              </w:tabs>
            </w:pPr>
            <w:r>
              <w:t>realizuje zadania punktu kontaktowego, o którym mowa w art. 80 ust. 5 rozporządzenia nr</w:t>
            </w:r>
          </w:p>
          <w:p w:rsidR="00A164BD" w:rsidRDefault="00B24D64">
            <w:pPr>
              <w:pStyle w:val="Other0"/>
              <w:shd w:val="clear" w:color="auto" w:fill="auto"/>
            </w:pPr>
            <w:r>
              <w:t>1224/2009,</w:t>
            </w:r>
          </w:p>
          <w:p w:rsidR="00A164BD" w:rsidRDefault="00B24D64">
            <w:pPr>
              <w:pStyle w:val="Other0"/>
              <w:numPr>
                <w:ilvl w:val="0"/>
                <w:numId w:val="4"/>
              </w:numPr>
              <w:shd w:val="clear" w:color="auto" w:fill="auto"/>
              <w:tabs>
                <w:tab w:val="left" w:pos="278"/>
              </w:tabs>
            </w:pPr>
            <w:r>
              <w:t>monitoruje i dokonuje kontroli danych, o których mowa w art. 19 rozporządzenia nr 404/2011;</w:t>
            </w:r>
          </w:p>
          <w:p w:rsidR="00A164BD" w:rsidRDefault="00B24D64">
            <w:pPr>
              <w:pStyle w:val="Other0"/>
              <w:numPr>
                <w:ilvl w:val="0"/>
                <w:numId w:val="2"/>
              </w:numPr>
              <w:shd w:val="clear" w:color="auto" w:fill="auto"/>
              <w:tabs>
                <w:tab w:val="left" w:pos="278"/>
              </w:tabs>
            </w:pPr>
            <w:r>
              <w:t>zatwierdza świadectwa połowowe, w przypadkach, o których mowa w art. 15 ust. 1</w:t>
            </w:r>
          </w:p>
          <w:p w:rsidR="00A164BD" w:rsidRDefault="00B24D64">
            <w:pPr>
              <w:pStyle w:val="Other0"/>
              <w:shd w:val="clear" w:color="auto" w:fill="auto"/>
            </w:pPr>
            <w:r>
              <w:t>rozporządzenia nr 1005/2008;</w:t>
            </w:r>
          </w:p>
          <w:p w:rsidR="00A164BD" w:rsidRDefault="00B24D64">
            <w:pPr>
              <w:pStyle w:val="Other0"/>
              <w:numPr>
                <w:ilvl w:val="0"/>
                <w:numId w:val="2"/>
              </w:numPr>
              <w:shd w:val="clear" w:color="auto" w:fill="auto"/>
              <w:tabs>
                <w:tab w:val="left" w:pos="269"/>
              </w:tabs>
            </w:pPr>
            <w:r>
              <w:t>wyznacza obserwatorów kontroli, o których mowa w art. 93 ust. 2 rozporządzenia nr</w:t>
            </w:r>
          </w:p>
          <w:p w:rsidR="00A164BD" w:rsidRDefault="00B24D64">
            <w:pPr>
              <w:pStyle w:val="Other0"/>
              <w:shd w:val="clear" w:color="auto" w:fill="auto"/>
            </w:pPr>
            <w:r>
              <w:t>404/2011;</w:t>
            </w:r>
          </w:p>
          <w:p w:rsidR="00A164BD" w:rsidRDefault="00B24D64">
            <w:pPr>
              <w:pStyle w:val="Other0"/>
              <w:numPr>
                <w:ilvl w:val="0"/>
                <w:numId w:val="2"/>
              </w:numPr>
              <w:shd w:val="clear" w:color="auto" w:fill="auto"/>
              <w:tabs>
                <w:tab w:val="left" w:pos="235"/>
              </w:tabs>
            </w:pPr>
            <w:r>
              <w:t>przekazuje informacje, o których mowa w art. 34 rozporządzenia nr 1224/2009.</w:t>
            </w:r>
          </w:p>
        </w:tc>
      </w:tr>
    </w:tbl>
    <w:p w:rsidR="00A164BD" w:rsidRDefault="00B24D6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8510"/>
      </w:tblGrid>
      <w:tr w:rsidR="00A164BD">
        <w:trPr>
          <w:trHeight w:hRule="exact" w:val="6192"/>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tcPr>
          <w:p w:rsidR="00A164BD" w:rsidRDefault="00B24D64">
            <w:pPr>
              <w:pStyle w:val="Other0"/>
              <w:shd w:val="clear" w:color="auto" w:fill="auto"/>
            </w:pPr>
            <w:r>
              <w:t>Główny Inspektor Rybołówstwa Morskiego jest odpowiedzialny za zadania związane z kontrolą przestrzegania przepisów o rybołówstwie morskim oraz o organizacji rynku rybnego. Organ ten:</w:t>
            </w:r>
          </w:p>
          <w:p w:rsidR="00A164BD" w:rsidRDefault="00B24D64">
            <w:pPr>
              <w:pStyle w:val="Other0"/>
              <w:shd w:val="clear" w:color="auto" w:fill="auto"/>
            </w:pPr>
            <w:r>
              <w:t>1) sprawuje nadzór nad przestrzeganiem przepisów o rybołówstwie morskim i o organizacji rynku rybnego, w tym:</w:t>
            </w:r>
          </w:p>
          <w:p w:rsidR="00A164BD" w:rsidRDefault="00B24D64">
            <w:pPr>
              <w:pStyle w:val="Other0"/>
              <w:shd w:val="clear" w:color="auto" w:fill="auto"/>
            </w:pPr>
            <w:r>
              <w:t>a) wykonuje kontrole, a także inspekcje, o których mowa w rozporządzeniu n</w:t>
            </w:r>
            <w:hyperlink r:id="rId9" w:history="1">
              <w:r>
                <w:t xml:space="preserve">r 1224/2009 </w:t>
              </w:r>
            </w:hyperlink>
            <w:r>
              <w:t>oraz rozporządzeniu nr</w:t>
            </w:r>
            <w:hyperlink r:id="rId10" w:history="1">
              <w:r>
                <w:t xml:space="preserve"> 1005/2008,</w:t>
              </w:r>
            </w:hyperlink>
          </w:p>
          <w:p w:rsidR="00A164BD" w:rsidRDefault="00B24D64">
            <w:pPr>
              <w:pStyle w:val="Other0"/>
              <w:shd w:val="clear" w:color="auto" w:fill="auto"/>
            </w:pPr>
            <w:r>
              <w:t>b) w przypadku przywozu produktów rybołówstwa drogą morską realizuje obowiązki państwa członkowskiego Unii Europejskiej, o których mowa w rozporządzeniu nr</w:t>
            </w:r>
            <w:hyperlink r:id="rId11" w:history="1">
              <w:r>
                <w:t xml:space="preserve"> 1005/2008;</w:t>
              </w:r>
            </w:hyperlink>
          </w:p>
          <w:p w:rsidR="00A164BD" w:rsidRDefault="00B24D64">
            <w:pPr>
              <w:pStyle w:val="Other0"/>
              <w:shd w:val="clear" w:color="auto" w:fill="auto"/>
            </w:pPr>
            <w:r>
              <w:t>2) dokonuje oceny wagi naruszeń przepisów Wspólnej Polityki Rybołówstwa w ramach wspólnotowego systemu kontroli;</w:t>
            </w:r>
          </w:p>
          <w:p w:rsidR="00A164BD" w:rsidRDefault="00B24D64">
            <w:pPr>
              <w:pStyle w:val="Other0"/>
              <w:shd w:val="clear" w:color="auto" w:fill="auto"/>
            </w:pPr>
            <w:r>
              <w:t>3) nakłada kary pieniężne za naruszenia przepisów o rybołówstwie morskim oraz o organizacji rynku rybnego;</w:t>
            </w:r>
          </w:p>
          <w:p w:rsidR="00A164BD" w:rsidRDefault="00B24D64">
            <w:pPr>
              <w:pStyle w:val="Other0"/>
              <w:shd w:val="clear" w:color="auto" w:fill="auto"/>
            </w:pPr>
            <w:r>
              <w:t>4) przyznaje punkty za poważne naruszenia;</w:t>
            </w:r>
          </w:p>
          <w:p w:rsidR="00A164BD" w:rsidRDefault="00B24D64">
            <w:pPr>
              <w:pStyle w:val="Other0"/>
              <w:shd w:val="clear" w:color="auto" w:fill="auto"/>
            </w:pPr>
            <w:r>
              <w:t>5) poświadcza dokumenty, o których mowa w</w:t>
            </w:r>
            <w:hyperlink r:id="rId12" w:history="1">
              <w:r>
                <w:t xml:space="preserve"> art. 7 ust. 2 i 3 </w:t>
              </w:r>
            </w:hyperlink>
            <w:r>
              <w:t>rozporządzenia nr 404/2011;</w:t>
            </w:r>
          </w:p>
          <w:p w:rsidR="00A164BD" w:rsidRDefault="00B24D64">
            <w:pPr>
              <w:pStyle w:val="Other0"/>
              <w:shd w:val="clear" w:color="auto" w:fill="auto"/>
            </w:pPr>
            <w:r>
              <w:t>6) poświadcza dokumenty, o których mowa w</w:t>
            </w:r>
            <w:hyperlink r:id="rId13" w:history="1">
              <w:r>
                <w:t xml:space="preserve"> art. 14 ust. 5 lub 6 </w:t>
              </w:r>
            </w:hyperlink>
            <w:r>
              <w:t>ustawy z dnia 19 grudnia 2014 r. o rybołówstwie morskim;</w:t>
            </w:r>
          </w:p>
          <w:p w:rsidR="00A164BD" w:rsidRDefault="00B24D64">
            <w:pPr>
              <w:pStyle w:val="Other0"/>
              <w:shd w:val="clear" w:color="auto" w:fill="auto"/>
              <w:jc w:val="left"/>
            </w:pPr>
            <w:r>
              <w:t>7) wykonuje obowiązki państwa członkowskiego Unii Europejskiej w zakresie: a) przyjęcia deklaracji, o której mowa w</w:t>
            </w:r>
            <w:hyperlink r:id="rId14" w:history="1">
              <w:r>
                <w:t xml:space="preserve"> art. 8 ust. 1 </w:t>
              </w:r>
            </w:hyperlink>
            <w:r>
              <w:t>rozporządzenia nr</w:t>
            </w:r>
            <w:hyperlink r:id="rId15" w:history="1">
              <w:r>
                <w:t xml:space="preserve"> 1005/2008,</w:t>
              </w:r>
            </w:hyperlink>
            <w:r>
              <w:t xml:space="preserve"> b) weryfikacji mocy silników zgodnie z</w:t>
            </w:r>
            <w:hyperlink r:id="rId16" w:history="1">
              <w:r>
                <w:t xml:space="preserve"> art. 41 </w:t>
              </w:r>
            </w:hyperlink>
            <w:r>
              <w:t>rozporządzenia nr</w:t>
            </w:r>
            <w:hyperlink r:id="rId17" w:history="1">
              <w:r>
                <w:t xml:space="preserve"> 1224/2009</w:t>
              </w:r>
            </w:hyperlink>
          </w:p>
          <w:p w:rsidR="00A164BD" w:rsidRDefault="00B24D64">
            <w:pPr>
              <w:pStyle w:val="Other0"/>
              <w:shd w:val="clear" w:color="auto" w:fill="auto"/>
            </w:pPr>
            <w:r>
              <w:t>- za pośrednictwem inspektorów rybołówstwa morskiego.</w:t>
            </w:r>
          </w:p>
        </w:tc>
      </w:tr>
      <w:tr w:rsidR="00A164BD">
        <w:trPr>
          <w:trHeight w:hRule="exact" w:val="278"/>
          <w:jc w:val="center"/>
        </w:trPr>
        <w:tc>
          <w:tcPr>
            <w:tcW w:w="566" w:type="dxa"/>
            <w:tcBorders>
              <w:top w:val="single" w:sz="4" w:space="0" w:color="auto"/>
              <w:left w:val="single" w:sz="4" w:space="0" w:color="auto"/>
            </w:tcBorders>
            <w:shd w:val="clear" w:color="auto" w:fill="FFFFFF"/>
            <w:vAlign w:val="bottom"/>
          </w:tcPr>
          <w:p w:rsidR="00A164BD" w:rsidRDefault="00B24D64">
            <w:pPr>
              <w:pStyle w:val="Other0"/>
              <w:shd w:val="clear" w:color="auto" w:fill="auto"/>
              <w:ind w:left="120"/>
              <w:jc w:val="center"/>
            </w:pPr>
            <w:r>
              <w:t>C.</w:t>
            </w: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rPr>
                <w:b/>
                <w:bCs/>
              </w:rPr>
              <w:t>Rejestr statków rybackich</w:t>
            </w:r>
          </w:p>
        </w:tc>
      </w:tr>
      <w:tr w:rsidR="00A164BD">
        <w:trPr>
          <w:trHeight w:hRule="exact" w:val="2160"/>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center"/>
          </w:tcPr>
          <w:p w:rsidR="00A164BD" w:rsidRDefault="00B24D64">
            <w:pPr>
              <w:pStyle w:val="Other0"/>
              <w:shd w:val="clear" w:color="auto" w:fill="auto"/>
            </w:pPr>
            <w:r>
              <w:t>Rejestr floty rybackiej jest prowadzony zgodnie z art. 24 rozporządzenia Rady 1380/2013. Licencje połowowe i specjalne zezwolenia połowowe wydawane są zgodnie z art. 6 i art. 7</w:t>
            </w:r>
          </w:p>
          <w:p w:rsidR="00A164BD" w:rsidRDefault="00B24D64">
            <w:pPr>
              <w:pStyle w:val="Other0"/>
              <w:shd w:val="clear" w:color="auto" w:fill="auto"/>
            </w:pPr>
            <w:r>
              <w:t>rozporządzenia Rady nr 1224/2009. Szczegółowe zasady wydawania licencji połowowych</w:t>
            </w:r>
          </w:p>
          <w:p w:rsidR="00A164BD" w:rsidRDefault="00B24D64">
            <w:pPr>
              <w:pStyle w:val="Other0"/>
              <w:shd w:val="clear" w:color="auto" w:fill="auto"/>
            </w:pPr>
            <w:r>
              <w:t xml:space="preserve">określa ustawa z dnia 19 grudnia 2014 r. o rybołówstwie morskim. Licencja wydawana jest na wniosek </w:t>
            </w:r>
            <w:r w:rsidR="00363411">
              <w:t>uprawnio</w:t>
            </w:r>
            <w:r w:rsidR="00363411">
              <w:t xml:space="preserve">nego </w:t>
            </w:r>
            <w:r>
              <w:t>podmiotu po wpisaniu statku do rejestru statków rybackich. W</w:t>
            </w:r>
          </w:p>
          <w:p w:rsidR="00A164BD" w:rsidRDefault="00B24D64">
            <w:pPr>
              <w:pStyle w:val="Other0"/>
              <w:shd w:val="clear" w:color="auto" w:fill="auto"/>
            </w:pPr>
            <w:r>
              <w:t>celu otrzymania specjalnego zezwolenia połowowego, które uprawnia do prowadzenia</w:t>
            </w:r>
          </w:p>
          <w:p w:rsidR="00A164BD" w:rsidRDefault="00B24D64">
            <w:pPr>
              <w:pStyle w:val="Other0"/>
              <w:shd w:val="clear" w:color="auto" w:fill="auto"/>
            </w:pPr>
            <w:r>
              <w:t>połowów na wodach Morza Bałtyckiego, konieczne jest uprzednie otrzymanie licencji</w:t>
            </w:r>
          </w:p>
          <w:p w:rsidR="00A164BD" w:rsidRDefault="00B24D64">
            <w:pPr>
              <w:pStyle w:val="Other0"/>
              <w:shd w:val="clear" w:color="auto" w:fill="auto"/>
            </w:pPr>
            <w:r>
              <w:t>połowowej. Wykonywanie rybołówstwa wymaga posiadania obu ww. dokumentów.</w:t>
            </w:r>
          </w:p>
        </w:tc>
      </w:tr>
      <w:tr w:rsidR="00A164BD">
        <w:trPr>
          <w:trHeight w:hRule="exact" w:val="278"/>
          <w:jc w:val="center"/>
        </w:trPr>
        <w:tc>
          <w:tcPr>
            <w:tcW w:w="566" w:type="dxa"/>
            <w:tcBorders>
              <w:top w:val="single" w:sz="4" w:space="0" w:color="auto"/>
              <w:left w:val="single" w:sz="4" w:space="0" w:color="auto"/>
            </w:tcBorders>
            <w:shd w:val="clear" w:color="auto" w:fill="FFFFFF"/>
            <w:vAlign w:val="bottom"/>
          </w:tcPr>
          <w:p w:rsidR="00A164BD" w:rsidRDefault="00B24D64">
            <w:pPr>
              <w:pStyle w:val="Other0"/>
              <w:shd w:val="clear" w:color="auto" w:fill="auto"/>
              <w:ind w:left="120"/>
              <w:jc w:val="center"/>
            </w:pPr>
            <w:r>
              <w:t>D.</w:t>
            </w: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rPr>
                <w:b/>
                <w:bCs/>
              </w:rPr>
              <w:t>Zbieranie danych</w:t>
            </w:r>
          </w:p>
        </w:tc>
      </w:tr>
      <w:tr w:rsidR="00A164BD">
        <w:trPr>
          <w:trHeight w:hRule="exact" w:val="4584"/>
          <w:jc w:val="center"/>
        </w:trPr>
        <w:tc>
          <w:tcPr>
            <w:tcW w:w="566" w:type="dxa"/>
            <w:tcBorders>
              <w:top w:val="single" w:sz="4" w:space="0" w:color="auto"/>
              <w:left w:val="single" w:sz="4" w:space="0" w:color="auto"/>
              <w:bottom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A164BD" w:rsidRDefault="00B24D64">
            <w:pPr>
              <w:pStyle w:val="Other0"/>
              <w:shd w:val="clear" w:color="auto" w:fill="auto"/>
            </w:pPr>
            <w:r>
              <w:t>Procesy gromadzenia danych mające na celu zapewnienie zgodności z zasadami wspólnej polityki rybołówstwa i monitorowanie działalność połowowa, zgodnie z rozporządzeniem (WE) 1224/2009 wykonywane są przez Centrum Monitorowania Rybołówstwa.</w:t>
            </w:r>
          </w:p>
          <w:p w:rsidR="00A164BD" w:rsidRDefault="00B24D64">
            <w:pPr>
              <w:pStyle w:val="Other0"/>
              <w:shd w:val="clear" w:color="auto" w:fill="auto"/>
            </w:pPr>
            <w:r>
              <w:t>Do zadań Centrum Monitorowania Rybołówstwa należy w szczególności:</w:t>
            </w:r>
          </w:p>
          <w:p w:rsidR="00A164BD" w:rsidRDefault="00B24D64">
            <w:pPr>
              <w:pStyle w:val="Other0"/>
              <w:numPr>
                <w:ilvl w:val="0"/>
                <w:numId w:val="5"/>
              </w:numPr>
              <w:shd w:val="clear" w:color="auto" w:fill="auto"/>
              <w:tabs>
                <w:tab w:val="left" w:pos="254"/>
              </w:tabs>
            </w:pPr>
            <w:r>
              <w:t>wprowadzanie danych dotyczących działalności połowowej do Elektronicznego Systemu Raportowania (ERS);</w:t>
            </w:r>
          </w:p>
          <w:p w:rsidR="00A164BD" w:rsidRDefault="00B24D64">
            <w:pPr>
              <w:pStyle w:val="Other0"/>
              <w:numPr>
                <w:ilvl w:val="0"/>
                <w:numId w:val="5"/>
              </w:numPr>
              <w:shd w:val="clear" w:color="auto" w:fill="auto"/>
              <w:tabs>
                <w:tab w:val="left" w:pos="336"/>
              </w:tabs>
            </w:pPr>
            <w:r>
              <w:t>przygotowywanie i przekazywanie raportów do systemu informatycznego Komisji Europejskiej „FIDES" oraz do międzynarodowych organizacji rybackich i instytucji naukowych, danych związanych z wykonywaniem rybołówstwa morskiego;</w:t>
            </w:r>
          </w:p>
          <w:p w:rsidR="00A164BD" w:rsidRDefault="00B24D64">
            <w:pPr>
              <w:pStyle w:val="Other0"/>
              <w:numPr>
                <w:ilvl w:val="0"/>
                <w:numId w:val="5"/>
              </w:numPr>
              <w:shd w:val="clear" w:color="auto" w:fill="auto"/>
              <w:tabs>
                <w:tab w:val="left" w:pos="230"/>
              </w:tabs>
            </w:pPr>
            <w:r>
              <w:t>satelitarne monitorowanie statków rybackich (VMS): pływających pod polską banderą, bez względu na wody lub port, w którym się znajdują, państw członkowskich Unii Europejskiej oraz statków rybackich państw trzecich w momencie, gdy znajdują się one na wodach podlegających jurysdykcji Rzeczypospolitej Polskiej;</w:t>
            </w:r>
          </w:p>
          <w:p w:rsidR="00A164BD" w:rsidRDefault="00B24D64">
            <w:pPr>
              <w:pStyle w:val="Other0"/>
              <w:numPr>
                <w:ilvl w:val="0"/>
                <w:numId w:val="5"/>
              </w:numPr>
              <w:shd w:val="clear" w:color="auto" w:fill="auto"/>
              <w:tabs>
                <w:tab w:val="left" w:pos="307"/>
              </w:tabs>
            </w:pPr>
            <w:r>
              <w:t>zapisywanie i przechowywanie danych z VMS otrzymanych od statków rybackich pływających pod polską banderą lub zarejestrowanych w polskim rejestrze statków oraz danych otrzymanych od statków rybackich pływających pod banderą innego niż Polska państwa członkowskiego w formie danych komputerowych przez okres trzech lat;</w:t>
            </w:r>
          </w:p>
        </w:tc>
      </w:tr>
    </w:tbl>
    <w:p w:rsidR="00A164BD" w:rsidRDefault="00B24D6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8510"/>
      </w:tblGrid>
      <w:tr w:rsidR="00A164BD">
        <w:trPr>
          <w:trHeight w:hRule="exact" w:val="9413"/>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5. zapisywanie i przechowywanie danych z ERS otrzymanych z elektronicznych dzienników połowowych od statków rybackich pływających pod polską banderą oraz danych otrzymanych od statków rybackich pływających pod banderą innego niż Polska państwa członkowskiego w formie danych komputerowych;</w:t>
            </w:r>
          </w:p>
          <w:p w:rsidR="00A164BD" w:rsidRDefault="00B24D64">
            <w:pPr>
              <w:pStyle w:val="Other0"/>
              <w:shd w:val="clear" w:color="auto" w:fill="auto"/>
            </w:pPr>
            <w:r>
              <w:t>6. przesyłanie do CMR innych państw danych dotyczących statków rybackich pływających pod</w:t>
            </w:r>
          </w:p>
          <w:p w:rsidR="00A164BD" w:rsidRDefault="00B24D64">
            <w:pPr>
              <w:pStyle w:val="Other0"/>
              <w:shd w:val="clear" w:color="auto" w:fill="auto"/>
            </w:pPr>
            <w:r>
              <w:t>polską banderą w czasie, gdy znajdują się one na wodach danego państwa, a w szczególności danych z systemu VMS oraz ERS;</w:t>
            </w:r>
          </w:p>
          <w:p w:rsidR="00A164BD" w:rsidRDefault="00B24D64">
            <w:pPr>
              <w:pStyle w:val="Other0"/>
              <w:shd w:val="clear" w:color="auto" w:fill="auto"/>
            </w:pPr>
            <w:r>
              <w:t>7. współpraca z Głównym Inspektorem Rybołówstwa Morskiego w zakresie: otrzymywanych dokumentów, informowania o nieprawidłowościach w działaniu terminali satelitarnych znajdujących się na jednostkach rybackich, wymian inspektorów do zagranicznych portów i na zagraniczne statki kontrolne w ramach wspólnych kampanii kontrolnych (Joint Deployment Plans - JDP), wymian inspektorów z innych państwach członkowskich w ramach wspólnych kampanii kontrolnych JDP;</w:t>
            </w:r>
          </w:p>
          <w:p w:rsidR="00A164BD" w:rsidRDefault="00B24D64">
            <w:pPr>
              <w:pStyle w:val="Other0"/>
              <w:shd w:val="clear" w:color="auto" w:fill="auto"/>
            </w:pPr>
            <w:r>
              <w:t>8. stały udział w Grupie Sterującej oraz Grupie Technicznej ds. kontroli rybołówstwa na Bałtyku oraz w pracach i spotkaniach organizowanych przez Europejską Agencję Kontroli Rybołówstwa (EFCA);</w:t>
            </w:r>
          </w:p>
          <w:p w:rsidR="00A164BD" w:rsidRDefault="00B24D64">
            <w:pPr>
              <w:pStyle w:val="Other0"/>
              <w:shd w:val="clear" w:color="auto" w:fill="auto"/>
            </w:pPr>
            <w:r>
              <w:t>9. współpraca ze służbami kontrolnymi innych państw członkowskich, Komisji Europejskiej i Europejskiej Agencji Kontroli Rybołówstwa (EFCA);</w:t>
            </w:r>
          </w:p>
          <w:p w:rsidR="00A164BD" w:rsidRDefault="00B24D64">
            <w:pPr>
              <w:pStyle w:val="Other0"/>
              <w:shd w:val="clear" w:color="auto" w:fill="auto"/>
            </w:pPr>
            <w:r>
              <w:t>10. koordynowanie, udział i zapewnienie prawidłowego przebiegu całorocznych kampanii inspekcyjnych (JDP) prowadzonych na Morzu Bałtyckim, w tym przygotowywanie zestawień kontrolnych i planów działań dla statków kontrolnych;</w:t>
            </w:r>
          </w:p>
          <w:p w:rsidR="00A164BD" w:rsidRDefault="00B24D64">
            <w:pPr>
              <w:pStyle w:val="Other0"/>
              <w:shd w:val="clear" w:color="auto" w:fill="auto"/>
            </w:pPr>
            <w:r>
              <w:t xml:space="preserve">11. administrowanie, zarządzanie i utrzymanie ciągłości pracy systemów informatycznych: </w:t>
            </w:r>
            <w:r w:rsidRPr="00295197">
              <w:rPr>
                <w:lang w:eastAsia="en-US" w:bidi="en-US"/>
              </w:rPr>
              <w:t>E</w:t>
            </w:r>
            <w:r w:rsidRPr="00295197">
              <w:rPr>
                <w:lang w:eastAsia="en-US" w:bidi="en-US"/>
              </w:rPr>
              <w:softHyphen/>
              <w:t>logbook,</w:t>
            </w:r>
            <w:r>
              <w:t xml:space="preserve"> ERS, VMS, Powiadomień SMS, Sales Note ( system elektronicznej rejestracji dokumentów sprzedaży i przejęcia produktów rybnych, w związku z art. 62 rozporządzenia Rady (WE) nr 1224/2009 z dnia 20 listopada 2009 r. ustanawiającego wspólnotowy system kontroli w celu zapewnienia przestrzegania przepisów wspólnej polityki rybołówstwa,</w:t>
            </w:r>
          </w:p>
          <w:p w:rsidR="00A164BD" w:rsidRDefault="00B24D64">
            <w:pPr>
              <w:pStyle w:val="Other0"/>
              <w:shd w:val="clear" w:color="auto" w:fill="auto"/>
            </w:pPr>
            <w:r>
              <w:t>zmieniającego rozporządzenia (WE) nr 847/96, (WE) nr 2371/2002, (WE) nr 811/2004, (WE) nr 768/2005, (WE) nr 2115/2005, (WE) nr 2166/2005, (WE) nr 388/2006, (WE) nr 509/2007,</w:t>
            </w:r>
          </w:p>
          <w:p w:rsidR="00A164BD" w:rsidRDefault="00B24D64">
            <w:pPr>
              <w:pStyle w:val="Other0"/>
              <w:shd w:val="clear" w:color="auto" w:fill="auto"/>
            </w:pPr>
            <w:r>
              <w:t>(WE) nr 676/2007, (WE) nr 1098/2007, (WE) nr 1300/2008, (WE) nr 1342/2008 i uchylającego rozporządzenia (EWG) nr 2847/93, (WE) nr 1627/94 oraz (WE) nr 1966/2006(Dz. Urz. UE L 343</w:t>
            </w:r>
          </w:p>
          <w:p w:rsidR="00A164BD" w:rsidRDefault="00B24D64">
            <w:pPr>
              <w:pStyle w:val="Other0"/>
              <w:shd w:val="clear" w:color="auto" w:fill="auto"/>
            </w:pPr>
            <w:r>
              <w:t>z 22.12.2009, str. 1), zwanego dalej „rozporządzeniem nr 1224/2009”), oraz przekazywanie danych do Systemu Wymiany Danych Rybackich UE (FIDES III);</w:t>
            </w:r>
          </w:p>
          <w:p w:rsidR="00A164BD" w:rsidRDefault="00B24D64">
            <w:pPr>
              <w:pStyle w:val="Other0"/>
              <w:shd w:val="clear" w:color="auto" w:fill="auto"/>
            </w:pPr>
            <w:r>
              <w:t>12. prowadzenie prac i dokumentacji dotyczących rozwoju i modernizacji systemów</w:t>
            </w:r>
          </w:p>
          <w:p w:rsidR="00A164BD" w:rsidRDefault="00B24D64">
            <w:pPr>
              <w:pStyle w:val="Other0"/>
              <w:shd w:val="clear" w:color="auto" w:fill="auto"/>
            </w:pPr>
            <w:r>
              <w:t>informatycznych, w tym monitorowanie jakości i poprawności danych otrzymanych z systemu</w:t>
            </w:r>
          </w:p>
          <w:p w:rsidR="00A164BD" w:rsidRDefault="00B24D64">
            <w:pPr>
              <w:pStyle w:val="Other0"/>
              <w:shd w:val="clear" w:color="auto" w:fill="auto"/>
            </w:pPr>
            <w:r w:rsidRPr="00295197">
              <w:rPr>
                <w:lang w:eastAsia="en-US" w:bidi="en-US"/>
              </w:rPr>
              <w:t xml:space="preserve">VMS </w:t>
            </w:r>
            <w:r>
              <w:t>oraz dzienników elektronicznych przy użyciu systemu walidacji;</w:t>
            </w:r>
          </w:p>
        </w:tc>
      </w:tr>
      <w:tr w:rsidR="00A164BD">
        <w:trPr>
          <w:trHeight w:hRule="exact" w:val="278"/>
          <w:jc w:val="center"/>
        </w:trPr>
        <w:tc>
          <w:tcPr>
            <w:tcW w:w="566" w:type="dxa"/>
            <w:tcBorders>
              <w:top w:val="single" w:sz="4" w:space="0" w:color="auto"/>
              <w:left w:val="single" w:sz="4" w:space="0" w:color="auto"/>
            </w:tcBorders>
            <w:shd w:val="clear" w:color="auto" w:fill="FFFFFF"/>
            <w:vAlign w:val="bottom"/>
          </w:tcPr>
          <w:p w:rsidR="00A164BD" w:rsidRDefault="00B24D64">
            <w:pPr>
              <w:pStyle w:val="Other0"/>
              <w:shd w:val="clear" w:color="auto" w:fill="auto"/>
              <w:ind w:left="120"/>
              <w:jc w:val="center"/>
            </w:pPr>
            <w:r>
              <w:t>E.</w:t>
            </w: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rPr>
                <w:b/>
                <w:bCs/>
              </w:rPr>
              <w:t>Kwoty połowowe</w:t>
            </w:r>
          </w:p>
        </w:tc>
      </w:tr>
      <w:tr w:rsidR="00A164BD">
        <w:trPr>
          <w:trHeight w:hRule="exact" w:val="4051"/>
          <w:jc w:val="center"/>
        </w:trPr>
        <w:tc>
          <w:tcPr>
            <w:tcW w:w="566" w:type="dxa"/>
            <w:tcBorders>
              <w:top w:val="single" w:sz="4" w:space="0" w:color="auto"/>
              <w:left w:val="single" w:sz="4" w:space="0" w:color="auto"/>
              <w:bottom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A164BD" w:rsidRDefault="00B24D64">
            <w:pPr>
              <w:pStyle w:val="Other0"/>
              <w:shd w:val="clear" w:color="auto" w:fill="auto"/>
            </w:pPr>
            <w:r>
              <w:t>Kwoty połowowe przyznawane corocznie w drodze rozporządzenia Rady (UE) ustalającego uprawnienia do połowów odniesieniu do niektórych stad ryb i grup stad ryb w Morzu Bałtyckim obowiązują w odniesieniu do łososia, szprota, dorsza stada wschodniego, dorsza stada zachodniego, śledzia stada centralnego, śledzia stada zachodniego i gładzicy. Ogólne kwoty połowowe są dzielone na indywidualne kwoty połowowe i wspólne kwoty połowowe na podstawie rozporządzenia Ministra Gospodarki Morskiej i Żeglugi Śródlądowej z dnia 15 lutego 2019 r. w sprawie szczegółowego sposobu podziału ogólnych kwot połowowych i dodatkowych kwot połowowych.</w:t>
            </w:r>
          </w:p>
          <w:p w:rsidR="00A164BD" w:rsidRDefault="00B24D64">
            <w:pPr>
              <w:pStyle w:val="Other0"/>
              <w:shd w:val="clear" w:color="auto" w:fill="auto"/>
            </w:pPr>
            <w:r>
              <w:t>Ustawa o rybołówstwie morskim zezwala na możliwość wymiany indywidualnych kwot połowowych pomiędzy armatorami statków rybackich, zgodnie z zasadą „gatunek za gatunek”.</w:t>
            </w:r>
          </w:p>
          <w:p w:rsidR="00A164BD" w:rsidRDefault="00B24D64">
            <w:pPr>
              <w:pStyle w:val="Other0"/>
              <w:shd w:val="clear" w:color="auto" w:fill="auto"/>
            </w:pPr>
            <w:r>
              <w:t>Rozwiązanie zakłada, iż indywidualne kwoty połowowe mogą być wymieniane w całości lub w części pomiędzy armatorami statków rybackich, którym przyznano na dany obszar indywidualne kwoty połowowe gatunków organizmów morskich, których dotyczy wymiana. Wymian dokonywać można zgodnie ze współczynnikiem przeliczeniowym ilości organizmów</w:t>
            </w:r>
          </w:p>
        </w:tc>
      </w:tr>
    </w:tbl>
    <w:p w:rsidR="00A164BD" w:rsidRDefault="00B24D6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8510"/>
      </w:tblGrid>
      <w:tr w:rsidR="00A164BD">
        <w:trPr>
          <w:trHeight w:hRule="exact" w:val="1896"/>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morskich danego gatunku objętego indywidualną kwotą połowową, która może być wymieniona na określoną ilość organizmów morskich innego gatunku objętego indywidualną kwotą połowową na danym obszarze. Szczegółowy współczynnik przeliczeniowym jest corocznie określany przez ministra właściwego do spraw rybołówstwa, w drodze rozporządzenia, na podstawie wysokości ogólnych kwot połowowych oraz wartości rynkowej</w:t>
            </w:r>
          </w:p>
          <w:p w:rsidR="00A164BD" w:rsidRDefault="00B24D64">
            <w:pPr>
              <w:pStyle w:val="Other0"/>
              <w:shd w:val="clear" w:color="auto" w:fill="auto"/>
            </w:pPr>
            <w:r>
              <w:t>za poszczególne gatunki organizmów morskich i zgodnie z przepisami ustawy. Minister określa</w:t>
            </w:r>
          </w:p>
          <w:p w:rsidR="00A164BD" w:rsidRDefault="00B24D64">
            <w:pPr>
              <w:pStyle w:val="Other0"/>
              <w:shd w:val="clear" w:color="auto" w:fill="auto"/>
            </w:pPr>
            <w:r>
              <w:t>również szczegółowe warunki wymiany indywidualnych kwot połowowych.</w:t>
            </w:r>
          </w:p>
        </w:tc>
      </w:tr>
      <w:tr w:rsidR="00A164BD">
        <w:trPr>
          <w:trHeight w:hRule="exact" w:val="278"/>
          <w:jc w:val="center"/>
        </w:trPr>
        <w:tc>
          <w:tcPr>
            <w:tcW w:w="566" w:type="dxa"/>
            <w:tcBorders>
              <w:top w:val="single" w:sz="4" w:space="0" w:color="auto"/>
              <w:left w:val="single" w:sz="4" w:space="0" w:color="auto"/>
            </w:tcBorders>
            <w:shd w:val="clear" w:color="auto" w:fill="FFFFFF"/>
            <w:vAlign w:val="bottom"/>
          </w:tcPr>
          <w:p w:rsidR="00A164BD" w:rsidRDefault="00B24D64">
            <w:pPr>
              <w:pStyle w:val="Other0"/>
              <w:shd w:val="clear" w:color="auto" w:fill="auto"/>
              <w:ind w:left="120"/>
              <w:jc w:val="center"/>
            </w:pPr>
            <w:r>
              <w:t>F.</w:t>
            </w: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rPr>
                <w:b/>
                <w:bCs/>
              </w:rPr>
              <w:t>Kontrola</w:t>
            </w:r>
          </w:p>
        </w:tc>
      </w:tr>
      <w:tr w:rsidR="00A164BD">
        <w:trPr>
          <w:trHeight w:hRule="exact" w:val="6989"/>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t>Bezpośredni nadzór nad przestrzeganiem przepisów o rybołówstwie morskim sprawuje Główny Inspektor Rybołówstwa Morskiego za pośrednictwem inspektorów rybołówstwa morskiego. Przy realizacji swoich zadań Główny Inspektor Rybołówstwa Morskiego współdziała z organami i jednostkami organizacyjnymi Inspekcji Jakości Handlowej Artykułów</w:t>
            </w:r>
          </w:p>
          <w:p w:rsidR="00A164BD" w:rsidRDefault="00B24D64">
            <w:pPr>
              <w:pStyle w:val="Other0"/>
              <w:shd w:val="clear" w:color="auto" w:fill="auto"/>
            </w:pPr>
            <w:r>
              <w:t>Rolno-Spożywczych, Krajowej Administracji Skarbowej, Inspekcji Handlowej, Inspekcji</w:t>
            </w:r>
          </w:p>
          <w:p w:rsidR="00A164BD" w:rsidRDefault="00B24D64">
            <w:pPr>
              <w:pStyle w:val="Other0"/>
              <w:shd w:val="clear" w:color="auto" w:fill="auto"/>
            </w:pPr>
            <w:r>
              <w:t>Weterynaryjnej, Państwowej Inspekcji Sanitarnej, Państwowej Straży Rybackiej, Społecznej Straży Rybackiej, Straży Granicznej, Inspekcji Transportu Drogowego, Policji, oraz ze strażami gminnymi, wojewódzkimi inspektoratami ochrony środowiska, podmiotami zarządzającymi</w:t>
            </w:r>
          </w:p>
          <w:p w:rsidR="00A164BD" w:rsidRDefault="00B24D64">
            <w:pPr>
              <w:pStyle w:val="Other0"/>
              <w:shd w:val="clear" w:color="auto" w:fill="auto"/>
            </w:pPr>
            <w:r>
              <w:t>portami i przystaniami morskimi i z terenowymi organami administracji morskiej, z</w:t>
            </w:r>
          </w:p>
          <w:p w:rsidR="00A164BD" w:rsidRDefault="00B24D64">
            <w:pPr>
              <w:pStyle w:val="Other0"/>
              <w:shd w:val="clear" w:color="auto" w:fill="auto"/>
            </w:pPr>
            <w:r>
              <w:t>uwzględnieniem właściwości i kompetencji tych organów i jednostek organizacyjnych.</w:t>
            </w:r>
          </w:p>
          <w:p w:rsidR="00A164BD" w:rsidRDefault="00B24D64">
            <w:pPr>
              <w:pStyle w:val="Other0"/>
              <w:shd w:val="clear" w:color="auto" w:fill="auto"/>
            </w:pPr>
            <w:r>
              <w:t>W ramach działalności inspekcyjnej prowadzone są: inspekcje na morzu, inspekcje na lądzie, w tym inspekcje wyładunków w porcie, inspekcje dotyczące rynku rybnego na etapie pierwszej sprzedaży, transportu i magazynowania.. W czasie wykonywania czynności kontrolnych i inspekcji, inspektorzy rybołówstwa morskiego korzystają z danych pochodzących z systemów elektronicznych. Podczas inspekcji sprawdzane są m. in.: zapisy w dzienniku połowowym, dokumenty przewozowe oraz dokumenty uprawniające do wykonywania rybołówstwa morskiego. Dokonuje się także kontroli narzędzi połowowych i złowionych organizmów morskich. Wynikiem kontroli jest protokół, który podpisuje inspektor rybołówstwa morskiego oraz podmiot kontrolowany albo inna osoba upoważniona do występowania w imieniu tego podmiotu. Protokół może pozostać „bez uwag” albo zawierać wskazanie naruszeń przepisów. Wyniki kontroli są wpisywane do systemu inspekcji rybackich i statystyk (OSIRIS). W przypadku stwierdzenia naruszeń przepisów prowadzone jest postępowanie administracyjne, zgodnie z przepisami Kodeksu postępowania administracyjnego, którego wynikiem jest wydanie decyzji administracyjnej wymierzającej karę pieniężną i/lub przyznającej punkty za poważne naruszenie przepisów Wspólnej Polityki Rybołówstwa.</w:t>
            </w:r>
          </w:p>
        </w:tc>
      </w:tr>
      <w:tr w:rsidR="00A164BD">
        <w:trPr>
          <w:trHeight w:hRule="exact" w:val="283"/>
          <w:jc w:val="center"/>
        </w:trPr>
        <w:tc>
          <w:tcPr>
            <w:tcW w:w="566" w:type="dxa"/>
            <w:tcBorders>
              <w:top w:val="single" w:sz="4" w:space="0" w:color="auto"/>
              <w:left w:val="single" w:sz="4" w:space="0" w:color="auto"/>
            </w:tcBorders>
            <w:shd w:val="clear" w:color="auto" w:fill="FFFFFF"/>
            <w:vAlign w:val="bottom"/>
          </w:tcPr>
          <w:p w:rsidR="00A164BD" w:rsidRDefault="00B24D64">
            <w:pPr>
              <w:pStyle w:val="Other0"/>
              <w:shd w:val="clear" w:color="auto" w:fill="auto"/>
              <w:ind w:left="120"/>
              <w:jc w:val="center"/>
            </w:pPr>
            <w:r>
              <w:t>G.</w:t>
            </w: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pPr>
            <w:r>
              <w:rPr>
                <w:b/>
                <w:bCs/>
              </w:rPr>
              <w:t>Przypadki niezgodności ze strony Państw Członkowskich lub beneficjentów</w:t>
            </w:r>
          </w:p>
        </w:tc>
      </w:tr>
      <w:tr w:rsidR="00A164BD">
        <w:trPr>
          <w:trHeight w:hRule="exact" w:val="542"/>
          <w:jc w:val="center"/>
        </w:trPr>
        <w:tc>
          <w:tcPr>
            <w:tcW w:w="566" w:type="dxa"/>
            <w:tcBorders>
              <w:top w:val="single" w:sz="4" w:space="0" w:color="auto"/>
              <w:left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right w:val="single" w:sz="4" w:space="0" w:color="auto"/>
            </w:tcBorders>
            <w:shd w:val="clear" w:color="auto" w:fill="FFFFFF"/>
            <w:vAlign w:val="bottom"/>
          </w:tcPr>
          <w:p w:rsidR="00A164BD" w:rsidRDefault="00B24D64">
            <w:pPr>
              <w:pStyle w:val="Other0"/>
              <w:shd w:val="clear" w:color="auto" w:fill="auto"/>
              <w:spacing w:line="233" w:lineRule="auto"/>
            </w:pPr>
            <w:r>
              <w:t>Wszyscy przyznani beneficjenci EFMR są sprawdzani przed przyznaniem dotacji zgodnie z art. 10 rozporządzenia (UE) nr 508/2014.</w:t>
            </w:r>
          </w:p>
        </w:tc>
      </w:tr>
      <w:tr w:rsidR="00A164BD" w:rsidTr="007A4E54">
        <w:trPr>
          <w:trHeight w:hRule="exact" w:val="802"/>
          <w:jc w:val="center"/>
        </w:trPr>
        <w:tc>
          <w:tcPr>
            <w:tcW w:w="566" w:type="dxa"/>
            <w:tcBorders>
              <w:top w:val="single" w:sz="4" w:space="0" w:color="auto"/>
              <w:left w:val="single" w:sz="4" w:space="0" w:color="auto"/>
              <w:bottom w:val="single" w:sz="4" w:space="0" w:color="auto"/>
            </w:tcBorders>
            <w:shd w:val="clear" w:color="auto" w:fill="FFFFFF"/>
          </w:tcPr>
          <w:p w:rsidR="00A164BD" w:rsidRDefault="00A164BD">
            <w:pPr>
              <w:rPr>
                <w:sz w:val="10"/>
                <w:szCs w:val="10"/>
              </w:rPr>
            </w:pP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A164BD" w:rsidRDefault="00A8522D" w:rsidP="002F2903">
            <w:pPr>
              <w:pStyle w:val="Other0"/>
              <w:shd w:val="clear" w:color="auto" w:fill="auto"/>
              <w:spacing w:line="233" w:lineRule="auto"/>
            </w:pPr>
            <w:r w:rsidRPr="00A8522D">
              <w:t>W roku 202</w:t>
            </w:r>
            <w:r w:rsidR="00955EE6">
              <w:t>2</w:t>
            </w:r>
            <w:r w:rsidRPr="00A8522D">
              <w:t xml:space="preserve"> wykryto  </w:t>
            </w:r>
            <w:r w:rsidR="00955EE6">
              <w:t>10</w:t>
            </w:r>
            <w:r w:rsidRPr="00A8522D">
              <w:t xml:space="preserve"> poważnych naruszeń przepisów Wspólnej Polityki Rybołówstwa (WPR). </w:t>
            </w:r>
            <w:r w:rsidR="002F2903">
              <w:t>Postępowania administracyjne są w toku.</w:t>
            </w:r>
          </w:p>
        </w:tc>
      </w:tr>
    </w:tbl>
    <w:p w:rsidR="00A164BD" w:rsidRDefault="00A164BD">
      <w:pPr>
        <w:spacing w:line="14" w:lineRule="exact"/>
      </w:pPr>
    </w:p>
    <w:sectPr w:rsidR="00A164BD">
      <w:pgSz w:w="11900" w:h="16840"/>
      <w:pgMar w:top="1415" w:right="1412" w:bottom="1483" w:left="1412" w:header="987" w:footer="105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79" w:rsidRDefault="00724579">
      <w:r>
        <w:separator/>
      </w:r>
    </w:p>
  </w:endnote>
  <w:endnote w:type="continuationSeparator" w:id="0">
    <w:p w:rsidR="00724579" w:rsidRDefault="0072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79" w:rsidRDefault="00724579"/>
  </w:footnote>
  <w:footnote w:type="continuationSeparator" w:id="0">
    <w:p w:rsidR="00724579" w:rsidRDefault="007245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908"/>
    <w:multiLevelType w:val="multilevel"/>
    <w:tmpl w:val="F81E43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F1028"/>
    <w:multiLevelType w:val="multilevel"/>
    <w:tmpl w:val="F25E7F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43106"/>
    <w:multiLevelType w:val="multilevel"/>
    <w:tmpl w:val="ED30E2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1F4550"/>
    <w:multiLevelType w:val="multilevel"/>
    <w:tmpl w:val="81283C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5C0A88"/>
    <w:multiLevelType w:val="multilevel"/>
    <w:tmpl w:val="89C01F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BD"/>
    <w:rsid w:val="00293C75"/>
    <w:rsid w:val="00295197"/>
    <w:rsid w:val="002A68B2"/>
    <w:rsid w:val="002F2903"/>
    <w:rsid w:val="00363411"/>
    <w:rsid w:val="003B1693"/>
    <w:rsid w:val="004A0992"/>
    <w:rsid w:val="00724579"/>
    <w:rsid w:val="007A4E54"/>
    <w:rsid w:val="007F600A"/>
    <w:rsid w:val="008274EA"/>
    <w:rsid w:val="00955EE6"/>
    <w:rsid w:val="009B0CEB"/>
    <w:rsid w:val="00A164BD"/>
    <w:rsid w:val="00A8522D"/>
    <w:rsid w:val="00B24D64"/>
    <w:rsid w:val="00C17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C2FA"/>
  <w15:docId w15:val="{9215B26F-5229-4EDB-B416-655E36CC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Pr>
      <w:rFonts w:ascii="Calibri" w:eastAsia="Calibri" w:hAnsi="Calibri" w:cs="Calibri"/>
      <w:b/>
      <w:bCs/>
      <w:i w:val="0"/>
      <w:iCs w:val="0"/>
      <w:smallCaps w:val="0"/>
      <w:strike w:val="0"/>
      <w:sz w:val="22"/>
      <w:szCs w:val="22"/>
      <w:u w:val="none"/>
    </w:rPr>
  </w:style>
  <w:style w:type="character" w:customStyle="1" w:styleId="Other">
    <w:name w:val="Other_"/>
    <w:basedOn w:val="Domylnaczcionkaakapitu"/>
    <w:link w:val="Other0"/>
    <w:rPr>
      <w:rFonts w:ascii="Calibri" w:eastAsia="Calibri" w:hAnsi="Calibri" w:cs="Calibri"/>
      <w:b w:val="0"/>
      <w:bCs w:val="0"/>
      <w:i w:val="0"/>
      <w:iCs w:val="0"/>
      <w:smallCaps w:val="0"/>
      <w:strike w:val="0"/>
      <w:sz w:val="22"/>
      <w:szCs w:val="22"/>
      <w:u w:val="none"/>
    </w:rPr>
  </w:style>
  <w:style w:type="paragraph" w:styleId="Tekstpodstawowy">
    <w:name w:val="Body Text"/>
    <w:basedOn w:val="Normalny"/>
    <w:link w:val="TekstpodstawowyZnak"/>
    <w:qFormat/>
    <w:pPr>
      <w:shd w:val="clear" w:color="auto" w:fill="FFFFFF"/>
      <w:spacing w:after="600"/>
      <w:jc w:val="center"/>
    </w:pPr>
    <w:rPr>
      <w:rFonts w:ascii="Calibri" w:eastAsia="Calibri" w:hAnsi="Calibri" w:cs="Calibri"/>
      <w:b/>
      <w:bCs/>
      <w:sz w:val="22"/>
      <w:szCs w:val="22"/>
    </w:rPr>
  </w:style>
  <w:style w:type="paragraph" w:customStyle="1" w:styleId="Other0">
    <w:name w:val="Other"/>
    <w:basedOn w:val="Normalny"/>
    <w:link w:val="Other"/>
    <w:pPr>
      <w:shd w:val="clear" w:color="auto" w:fill="FFFFFF"/>
      <w:jc w:val="both"/>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A852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522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jrgi3ds" TargetMode="External"/><Relationship Id="rId13" Type="http://schemas.openxmlformats.org/officeDocument/2006/relationships/hyperlink" Target="https://sip.legalis.pl/document-view.seam?documentId=mfrxilrtg4ytgnbxg4yteltqmfyc4nbyge2tqobvg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imbuga2ds" TargetMode="External"/><Relationship Id="rId12" Type="http://schemas.openxmlformats.org/officeDocument/2006/relationships/hyperlink" Target="https://sip.legalis.pl/document-view.seam?documentId=mfrxilrrgyydinrtheztiltqmfyc4mjwhe3dinzvha" TargetMode="External"/><Relationship Id="rId17" Type="http://schemas.openxmlformats.org/officeDocument/2006/relationships/hyperlink" Target="https://sip.legalis.pl/document-view.seam?documentId=mfrxilrrge2tgnjvgqyda" TargetMode="External"/><Relationship Id="rId2" Type="http://schemas.openxmlformats.org/officeDocument/2006/relationships/styles" Target="styles.xml"/><Relationship Id="rId16" Type="http://schemas.openxmlformats.org/officeDocument/2006/relationships/hyperlink" Target="https://sip.legalis.pl/document-view.seam?documentId=mfrxilrrge2tgnjvgqydaltqmfyc4mjtge3dmnrrg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yguztgnztgqyq"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yguztgnztgqyq" TargetMode="External"/><Relationship Id="rId10" Type="http://schemas.openxmlformats.org/officeDocument/2006/relationships/hyperlink" Target="https://sip.legalis.pl/document-view.seam?documentId=mfrxilryguztgnztgqy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rge2tgnjvgqyda" TargetMode="External"/><Relationship Id="rId14" Type="http://schemas.openxmlformats.org/officeDocument/2006/relationships/hyperlink" Target="https://sip.legalis.pl/document-view.seam?documentId=mfrxilryguztgnztgqys44dboaxdcnbtga2dcn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2530</Words>
  <Characters>15181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Rokosz Anna</dc:creator>
  <cp:keywords/>
  <cp:lastModifiedBy>Ciągadlak-Socha Joanna</cp:lastModifiedBy>
  <cp:revision>6</cp:revision>
  <dcterms:created xsi:type="dcterms:W3CDTF">2023-03-23T11:17:00Z</dcterms:created>
  <dcterms:modified xsi:type="dcterms:W3CDTF">2023-03-31T07:39:00Z</dcterms:modified>
</cp:coreProperties>
</file>