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960" w:rsidRPr="002802EA" w:rsidRDefault="00F40960" w:rsidP="002802EA">
      <w:pPr>
        <w:pStyle w:val="Nagwek1"/>
        <w:spacing w:before="0" w:line="360" w:lineRule="auto"/>
        <w:rPr>
          <w:rFonts w:ascii="Calibri" w:hAnsi="Calibri" w:cs="Calibri"/>
          <w:color w:val="auto"/>
          <w:sz w:val="28"/>
          <w:szCs w:val="28"/>
        </w:rPr>
      </w:pPr>
      <w:r w:rsidRPr="002802EA">
        <w:rPr>
          <w:rFonts w:ascii="Calibri" w:hAnsi="Calibri" w:cs="Calibri"/>
          <w:color w:val="auto"/>
          <w:sz w:val="28"/>
          <w:szCs w:val="28"/>
        </w:rPr>
        <w:t>Sprawozdanie z wykonania planu działalności</w:t>
      </w:r>
      <w:r w:rsidR="002802EA" w:rsidRPr="002802EA">
        <w:rPr>
          <w:rFonts w:ascii="Calibri" w:hAnsi="Calibri" w:cs="Calibri"/>
          <w:color w:val="auto"/>
          <w:sz w:val="28"/>
          <w:szCs w:val="28"/>
        </w:rPr>
        <w:t xml:space="preserve"> </w:t>
      </w:r>
      <w:r w:rsidRPr="002802EA">
        <w:rPr>
          <w:rFonts w:ascii="Calibri" w:hAnsi="Calibri" w:cs="Calibri"/>
          <w:color w:val="auto"/>
          <w:sz w:val="28"/>
          <w:szCs w:val="28"/>
        </w:rPr>
        <w:t>Regionalnej Dyrekcji Ochrony Środowiska w Olsztynie za rok 201</w:t>
      </w:r>
      <w:r w:rsidR="0004304D" w:rsidRPr="002802EA">
        <w:rPr>
          <w:rFonts w:ascii="Calibri" w:hAnsi="Calibri" w:cs="Calibri"/>
          <w:color w:val="auto"/>
          <w:sz w:val="28"/>
          <w:szCs w:val="28"/>
        </w:rPr>
        <w:t>9</w:t>
      </w:r>
    </w:p>
    <w:p w:rsidR="00F40960" w:rsidRPr="002802EA" w:rsidRDefault="00F40960" w:rsidP="002802EA">
      <w:pPr>
        <w:shd w:val="clear" w:color="auto" w:fill="FFFFFF"/>
        <w:spacing w:line="360" w:lineRule="auto"/>
        <w:ind w:right="14"/>
        <w:jc w:val="center"/>
        <w:rPr>
          <w:rFonts w:ascii="Arial" w:hAnsi="Arial" w:cs="Arial"/>
          <w:sz w:val="18"/>
          <w:szCs w:val="18"/>
        </w:rPr>
      </w:pPr>
    </w:p>
    <w:p w:rsidR="00F40960" w:rsidRPr="002802EA" w:rsidRDefault="00F40960" w:rsidP="002802EA">
      <w:pPr>
        <w:pStyle w:val="Nagwek2"/>
        <w:spacing w:before="0" w:line="360" w:lineRule="auto"/>
        <w:rPr>
          <w:rFonts w:ascii="Calibri" w:hAnsi="Calibri" w:cs="Calibri"/>
          <w:color w:val="auto"/>
        </w:rPr>
      </w:pPr>
      <w:r w:rsidRPr="002802EA">
        <w:rPr>
          <w:rFonts w:ascii="Calibri" w:hAnsi="Calibri" w:cs="Calibri"/>
          <w:color w:val="auto"/>
        </w:rPr>
        <w:t>Część A: Realizacja najważniejszych celów w roku 201</w:t>
      </w:r>
      <w:r w:rsidR="0004304D" w:rsidRPr="002802EA">
        <w:rPr>
          <w:rFonts w:ascii="Calibri" w:hAnsi="Calibri" w:cs="Calibri"/>
          <w:color w:val="auto"/>
        </w:rPr>
        <w:t>9</w:t>
      </w:r>
    </w:p>
    <w:tbl>
      <w:tblPr>
        <w:tblW w:w="15584" w:type="dxa"/>
        <w:tblInd w:w="-25" w:type="dxa"/>
        <w:tblBorders>
          <w:top w:val="single" w:sz="4" w:space="0" w:color="000000"/>
          <w:left w:val="single" w:sz="6" w:space="0" w:color="000000"/>
          <w:bottom w:val="single" w:sz="6"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Caption w:val="Realizacja najważniejszych celów w roku 2019"/>
        <w:tblDescription w:val="Tabela zawiera mierniki określające stopień realizacji celu, w tym nazwę, planowaną wartość do osiągnięcia oraz osiągniętą wartośćna koniec roku, najważniejsze planowane zadania oraz najważniejsze podjęte zadania służące realizacji celu"/>
      </w:tblPr>
      <w:tblGrid>
        <w:gridCol w:w="532"/>
        <w:gridCol w:w="1728"/>
        <w:gridCol w:w="1842"/>
        <w:gridCol w:w="1560"/>
        <w:gridCol w:w="1559"/>
        <w:gridCol w:w="2126"/>
        <w:gridCol w:w="6237"/>
      </w:tblGrid>
      <w:tr w:rsidR="00F40960" w:rsidRPr="00170B4F" w:rsidTr="00E350D4">
        <w:trPr>
          <w:trHeight w:val="446"/>
          <w:tblHeader/>
        </w:trPr>
        <w:tc>
          <w:tcPr>
            <w:tcW w:w="532" w:type="dxa"/>
            <w:vMerge w:val="restart"/>
            <w:shd w:val="clear" w:color="auto" w:fill="auto"/>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Lp.</w:t>
            </w:r>
          </w:p>
        </w:tc>
        <w:tc>
          <w:tcPr>
            <w:tcW w:w="1728" w:type="dxa"/>
            <w:vMerge w:val="restart"/>
            <w:shd w:val="clear" w:color="auto" w:fill="auto"/>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Cel</w:t>
            </w:r>
          </w:p>
        </w:tc>
        <w:tc>
          <w:tcPr>
            <w:tcW w:w="4961" w:type="dxa"/>
            <w:gridSpan w:val="3"/>
            <w:shd w:val="clear" w:color="auto" w:fill="auto"/>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Mierniki określające stopień realizacji celu</w:t>
            </w:r>
          </w:p>
        </w:tc>
        <w:tc>
          <w:tcPr>
            <w:tcW w:w="2126" w:type="dxa"/>
            <w:vMerge w:val="restart"/>
            <w:shd w:val="clear" w:color="auto" w:fill="auto"/>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Najważniejsze planowane zadania służące realizacji celu</w:t>
            </w:r>
          </w:p>
        </w:tc>
        <w:tc>
          <w:tcPr>
            <w:tcW w:w="6237" w:type="dxa"/>
            <w:vMerge w:val="restart"/>
            <w:shd w:val="clear" w:color="auto" w:fill="auto"/>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Najważniejsze podjęte zadania służące realizacji celu</w:t>
            </w:r>
          </w:p>
        </w:tc>
      </w:tr>
      <w:tr w:rsidR="00F40960" w:rsidRPr="00170B4F" w:rsidTr="00E350D4">
        <w:trPr>
          <w:trHeight w:val="706"/>
          <w:tblHeader/>
        </w:trPr>
        <w:tc>
          <w:tcPr>
            <w:tcW w:w="532" w:type="dxa"/>
            <w:vMerge/>
            <w:shd w:val="clear" w:color="auto" w:fill="auto"/>
          </w:tcPr>
          <w:p w:rsidR="00F40960" w:rsidRPr="00E350D4" w:rsidRDefault="00F40960" w:rsidP="00E350D4">
            <w:pPr>
              <w:snapToGrid w:val="0"/>
              <w:rPr>
                <w:rFonts w:ascii="Calibri" w:hAnsi="Calibri" w:cs="Calibri"/>
                <w:color w:val="000000"/>
                <w:sz w:val="20"/>
                <w:szCs w:val="20"/>
              </w:rPr>
            </w:pPr>
          </w:p>
        </w:tc>
        <w:tc>
          <w:tcPr>
            <w:tcW w:w="1728" w:type="dxa"/>
            <w:vMerge/>
            <w:shd w:val="clear" w:color="auto" w:fill="auto"/>
          </w:tcPr>
          <w:p w:rsidR="00F40960" w:rsidRPr="00E350D4" w:rsidRDefault="00F40960" w:rsidP="00E350D4">
            <w:pPr>
              <w:snapToGrid w:val="0"/>
              <w:rPr>
                <w:rFonts w:ascii="Calibri" w:hAnsi="Calibri" w:cs="Calibri"/>
                <w:color w:val="000000"/>
                <w:sz w:val="20"/>
                <w:szCs w:val="20"/>
              </w:rPr>
            </w:pPr>
          </w:p>
        </w:tc>
        <w:tc>
          <w:tcPr>
            <w:tcW w:w="1842" w:type="dxa"/>
            <w:shd w:val="clear" w:color="auto" w:fill="auto"/>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Nazwa</w:t>
            </w:r>
          </w:p>
        </w:tc>
        <w:tc>
          <w:tcPr>
            <w:tcW w:w="1560" w:type="dxa"/>
            <w:shd w:val="clear" w:color="auto" w:fill="auto"/>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Planowana wartość do osiągnięcia na koniec roku, którego dotyczy sprawozdanie</w:t>
            </w:r>
          </w:p>
        </w:tc>
        <w:tc>
          <w:tcPr>
            <w:tcW w:w="1559" w:type="dxa"/>
            <w:shd w:val="clear" w:color="auto" w:fill="auto"/>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Osiągnięta wartość na koniec roku, którego dotyczy sprawozdanie</w:t>
            </w:r>
          </w:p>
        </w:tc>
        <w:tc>
          <w:tcPr>
            <w:tcW w:w="2126" w:type="dxa"/>
            <w:vMerge/>
            <w:shd w:val="clear" w:color="auto" w:fill="auto"/>
          </w:tcPr>
          <w:p w:rsidR="00F40960" w:rsidRPr="00E350D4" w:rsidRDefault="00F40960" w:rsidP="00E350D4">
            <w:pPr>
              <w:snapToGrid w:val="0"/>
              <w:rPr>
                <w:rFonts w:ascii="Calibri" w:hAnsi="Calibri" w:cs="Calibri"/>
                <w:color w:val="000000"/>
                <w:sz w:val="20"/>
                <w:szCs w:val="20"/>
              </w:rPr>
            </w:pPr>
          </w:p>
        </w:tc>
        <w:tc>
          <w:tcPr>
            <w:tcW w:w="6237" w:type="dxa"/>
            <w:vMerge/>
            <w:shd w:val="clear" w:color="auto" w:fill="auto"/>
          </w:tcPr>
          <w:p w:rsidR="00F40960" w:rsidRPr="00E350D4" w:rsidRDefault="00F40960" w:rsidP="00E350D4">
            <w:pPr>
              <w:snapToGrid w:val="0"/>
              <w:rPr>
                <w:rFonts w:ascii="Calibri" w:hAnsi="Calibri" w:cs="Calibri"/>
                <w:color w:val="000000"/>
                <w:sz w:val="20"/>
                <w:szCs w:val="20"/>
              </w:rPr>
            </w:pPr>
          </w:p>
        </w:tc>
      </w:tr>
      <w:tr w:rsidR="00F40960" w:rsidRPr="00170B4F" w:rsidTr="00E350D4">
        <w:trPr>
          <w:trHeight w:val="224"/>
          <w:tblHeader/>
        </w:trPr>
        <w:tc>
          <w:tcPr>
            <w:tcW w:w="532" w:type="dxa"/>
            <w:tcBorders>
              <w:bottom w:val="single" w:sz="6" w:space="0" w:color="000000"/>
            </w:tcBorders>
            <w:shd w:val="clear" w:color="auto" w:fill="auto"/>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1</w:t>
            </w:r>
          </w:p>
        </w:tc>
        <w:tc>
          <w:tcPr>
            <w:tcW w:w="1728" w:type="dxa"/>
            <w:tcBorders>
              <w:bottom w:val="single" w:sz="6" w:space="0" w:color="000000"/>
            </w:tcBorders>
            <w:shd w:val="clear" w:color="auto" w:fill="auto"/>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2</w:t>
            </w:r>
          </w:p>
        </w:tc>
        <w:tc>
          <w:tcPr>
            <w:tcW w:w="1842" w:type="dxa"/>
            <w:tcBorders>
              <w:bottom w:val="single" w:sz="6" w:space="0" w:color="000000"/>
            </w:tcBorders>
            <w:shd w:val="clear" w:color="auto" w:fill="auto"/>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3</w:t>
            </w:r>
          </w:p>
        </w:tc>
        <w:tc>
          <w:tcPr>
            <w:tcW w:w="1560" w:type="dxa"/>
            <w:tcBorders>
              <w:bottom w:val="single" w:sz="6" w:space="0" w:color="000000"/>
            </w:tcBorders>
            <w:shd w:val="clear" w:color="auto" w:fill="auto"/>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4</w:t>
            </w:r>
          </w:p>
        </w:tc>
        <w:tc>
          <w:tcPr>
            <w:tcW w:w="1559" w:type="dxa"/>
            <w:tcBorders>
              <w:bottom w:val="single" w:sz="6" w:space="0" w:color="000000"/>
            </w:tcBorders>
            <w:shd w:val="clear" w:color="auto" w:fill="auto"/>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5</w:t>
            </w:r>
          </w:p>
        </w:tc>
        <w:tc>
          <w:tcPr>
            <w:tcW w:w="2126" w:type="dxa"/>
            <w:tcBorders>
              <w:bottom w:val="single" w:sz="6" w:space="0" w:color="000000"/>
            </w:tcBorders>
            <w:shd w:val="clear" w:color="auto" w:fill="auto"/>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6</w:t>
            </w:r>
          </w:p>
        </w:tc>
        <w:tc>
          <w:tcPr>
            <w:tcW w:w="6237" w:type="dxa"/>
            <w:tcBorders>
              <w:bottom w:val="single" w:sz="6" w:space="0" w:color="000000"/>
            </w:tcBorders>
            <w:shd w:val="clear" w:color="auto" w:fill="auto"/>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7</w:t>
            </w:r>
          </w:p>
        </w:tc>
      </w:tr>
      <w:tr w:rsidR="00F40960" w:rsidRPr="00170B4F" w:rsidTr="00E350D4">
        <w:trPr>
          <w:trHeight w:val="3886"/>
        </w:trPr>
        <w:tc>
          <w:tcPr>
            <w:tcW w:w="532" w:type="dxa"/>
            <w:vMerge w:val="restart"/>
            <w:tcBorders>
              <w:top w:val="single" w:sz="6" w:space="0" w:color="000000"/>
            </w:tcBorders>
            <w:shd w:val="clear" w:color="auto" w:fill="FFFFFF"/>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1</w:t>
            </w:r>
          </w:p>
        </w:tc>
        <w:tc>
          <w:tcPr>
            <w:tcW w:w="1728" w:type="dxa"/>
            <w:vMerge w:val="restart"/>
            <w:tcBorders>
              <w:top w:val="single" w:sz="6" w:space="0" w:color="000000"/>
            </w:tcBorders>
            <w:shd w:val="clear" w:color="auto" w:fill="FFFFFF"/>
          </w:tcPr>
          <w:p w:rsidR="00F40960" w:rsidRPr="00E350D4" w:rsidRDefault="00F40960" w:rsidP="00E350D4">
            <w:pPr>
              <w:snapToGrid w:val="0"/>
              <w:ind w:left="-73" w:right="-92"/>
              <w:rPr>
                <w:rFonts w:ascii="Calibri" w:hAnsi="Calibri" w:cs="Calibri"/>
                <w:color w:val="000000"/>
                <w:sz w:val="20"/>
                <w:szCs w:val="20"/>
              </w:rPr>
            </w:pPr>
            <w:r w:rsidRPr="00E350D4">
              <w:rPr>
                <w:rFonts w:ascii="Calibri" w:hAnsi="Calibri" w:cs="Calibri"/>
                <w:color w:val="000000"/>
                <w:sz w:val="20"/>
                <w:szCs w:val="20"/>
              </w:rPr>
              <w:t>Zapewnienie funkcjonowania systemu ocen oddziaływania na środowisko</w:t>
            </w:r>
          </w:p>
        </w:tc>
        <w:tc>
          <w:tcPr>
            <w:tcW w:w="1842" w:type="dxa"/>
            <w:vMerge w:val="restart"/>
            <w:tcBorders>
              <w:top w:val="single" w:sz="6" w:space="0" w:color="000000"/>
            </w:tcBorders>
            <w:shd w:val="clear" w:color="auto" w:fill="FFFFFF"/>
          </w:tcPr>
          <w:p w:rsidR="00F40960" w:rsidRPr="00E350D4" w:rsidRDefault="00F40960" w:rsidP="00E350D4">
            <w:pPr>
              <w:snapToGrid w:val="0"/>
              <w:ind w:left="-73" w:right="-92"/>
              <w:rPr>
                <w:rFonts w:ascii="Calibri" w:hAnsi="Calibri" w:cs="Calibri"/>
                <w:color w:val="000000"/>
                <w:sz w:val="20"/>
                <w:szCs w:val="20"/>
              </w:rPr>
            </w:pPr>
            <w:r w:rsidRPr="00E350D4">
              <w:rPr>
                <w:rFonts w:ascii="Calibri" w:hAnsi="Calibri" w:cs="Calibri"/>
                <w:color w:val="000000"/>
                <w:sz w:val="20"/>
                <w:szCs w:val="20"/>
              </w:rPr>
              <w:t>Liczba spraw z zakresu systemu ocen oddziaływania na środowisko załatwionych w danym roku do liczby spraw rozpatrywanych w danym roku</w:t>
            </w:r>
          </w:p>
        </w:tc>
        <w:tc>
          <w:tcPr>
            <w:tcW w:w="1560" w:type="dxa"/>
            <w:vMerge w:val="restart"/>
            <w:tcBorders>
              <w:top w:val="single" w:sz="6" w:space="0" w:color="000000"/>
            </w:tcBorders>
            <w:shd w:val="clear" w:color="auto" w:fill="FFFFFF"/>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13</w:t>
            </w:r>
            <w:r w:rsidR="0004304D" w:rsidRPr="00E350D4">
              <w:rPr>
                <w:rFonts w:ascii="Calibri" w:hAnsi="Calibri" w:cs="Calibri"/>
                <w:color w:val="000000"/>
                <w:sz w:val="20"/>
                <w:szCs w:val="20"/>
              </w:rPr>
              <w:t>60/141</w:t>
            </w:r>
            <w:r w:rsidRPr="00E350D4">
              <w:rPr>
                <w:rFonts w:ascii="Calibri" w:hAnsi="Calibri" w:cs="Calibri"/>
                <w:color w:val="000000"/>
                <w:sz w:val="20"/>
                <w:szCs w:val="20"/>
              </w:rPr>
              <w:t>0</w:t>
            </w:r>
          </w:p>
        </w:tc>
        <w:tc>
          <w:tcPr>
            <w:tcW w:w="1559" w:type="dxa"/>
            <w:vMerge w:val="restart"/>
            <w:tcBorders>
              <w:top w:val="single" w:sz="6" w:space="0" w:color="000000"/>
            </w:tcBorders>
            <w:shd w:val="clear" w:color="auto" w:fill="FFFFFF"/>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1</w:t>
            </w:r>
            <w:r w:rsidR="007E4480" w:rsidRPr="00E350D4">
              <w:rPr>
                <w:rFonts w:ascii="Calibri" w:hAnsi="Calibri" w:cs="Calibri"/>
                <w:color w:val="000000"/>
                <w:sz w:val="20"/>
                <w:szCs w:val="20"/>
              </w:rPr>
              <w:t>478/1593</w:t>
            </w:r>
          </w:p>
        </w:tc>
        <w:tc>
          <w:tcPr>
            <w:tcW w:w="2126" w:type="dxa"/>
            <w:tcBorders>
              <w:top w:val="single" w:sz="6" w:space="0" w:color="000000"/>
              <w:bottom w:val="single" w:sz="6" w:space="0" w:color="000000"/>
            </w:tcBorders>
            <w:shd w:val="clear" w:color="auto" w:fill="FFFFFF"/>
          </w:tcPr>
          <w:p w:rsidR="00F40960" w:rsidRPr="00E350D4" w:rsidRDefault="00F40960" w:rsidP="00E350D4">
            <w:pPr>
              <w:ind w:left="-54" w:right="-88" w:firstLine="14"/>
              <w:rPr>
                <w:rFonts w:ascii="Calibri" w:hAnsi="Calibri" w:cs="Calibri"/>
                <w:color w:val="000000"/>
                <w:sz w:val="20"/>
                <w:szCs w:val="20"/>
              </w:rPr>
            </w:pPr>
            <w:r w:rsidRPr="00E350D4">
              <w:rPr>
                <w:rFonts w:ascii="Calibri" w:hAnsi="Calibri" w:cs="Calibri"/>
                <w:color w:val="000000"/>
                <w:sz w:val="20"/>
                <w:szCs w:val="20"/>
              </w:rPr>
              <w:t>Opiniowanie, uzgadnianie i wydawanie decyzji o środowiskowych uwarunkowaniach w sprawach przedsięwzięć mogących znacząco oddziaływać na środowisko.</w:t>
            </w:r>
          </w:p>
        </w:tc>
        <w:tc>
          <w:tcPr>
            <w:tcW w:w="6237" w:type="dxa"/>
            <w:tcBorders>
              <w:top w:val="single" w:sz="6" w:space="0" w:color="000000"/>
            </w:tcBorders>
            <w:shd w:val="clear" w:color="auto" w:fill="FFFFFF"/>
          </w:tcPr>
          <w:p w:rsidR="00AD0898" w:rsidRPr="00E350D4" w:rsidRDefault="00B571D1" w:rsidP="00E350D4">
            <w:pPr>
              <w:snapToGrid w:val="0"/>
              <w:rPr>
                <w:rFonts w:ascii="Calibri" w:hAnsi="Calibri" w:cs="Calibri"/>
                <w:color w:val="000000"/>
                <w:sz w:val="20"/>
                <w:szCs w:val="20"/>
              </w:rPr>
            </w:pPr>
            <w:r w:rsidRPr="00E350D4">
              <w:rPr>
                <w:rFonts w:ascii="Calibri" w:hAnsi="Calibri" w:cs="Calibri"/>
                <w:color w:val="000000"/>
                <w:sz w:val="20"/>
                <w:szCs w:val="20"/>
              </w:rPr>
              <w:t>Analiza spraw oraz wymiana doświadczeń z innymi pracownikami RDOŚ i GDOŚ pozwoliły na sprawne  rozwiązywanie problemów i trafne podejmowanie rozstrzygnięcia co do istoty sprawy. W drodze postanowień wydawano stanowiska w sprawie konieczności, bądź braku konieczności sporządzania raportu oddziaływaniu przedsięwzięć na obszary Natura 2000, a także wydawano uzgodnienia warunków realizacji inwestycji. Wpływające wnioski były weryfikowane przez pracowników merytorycznych bez zbędnej zwłoki. Pozwoliło to na możliwie szybkie zastosowanie ewentualnego wezwania wnioskodawcy do uzupełnienia wniosku. Ponadto, pracownicy niezwłocznie zgłaszali problemy pojawiające się w prowadzonych postępowaniach, przez co bezpośredni przełożony mógł na bieżąco monitorować  proces wydawania decyzji oraz wspomagać pracowników merytorycznie. W wielu przypadkach współpraca taka pomogła sprawniej przeprowadzić postępowanie. Działania te przełożyły się w znaczącej większości do</w:t>
            </w:r>
            <w:r w:rsidR="001227F2" w:rsidRPr="00E350D4">
              <w:rPr>
                <w:rFonts w:ascii="Calibri" w:hAnsi="Calibri" w:cs="Calibri"/>
                <w:color w:val="000000"/>
                <w:sz w:val="20"/>
                <w:szCs w:val="20"/>
              </w:rPr>
              <w:t xml:space="preserve"> zachowania ustawowego</w:t>
            </w:r>
            <w:r w:rsidRPr="00E350D4">
              <w:rPr>
                <w:rFonts w:ascii="Calibri" w:hAnsi="Calibri" w:cs="Calibri"/>
                <w:color w:val="000000"/>
                <w:sz w:val="20"/>
                <w:szCs w:val="20"/>
              </w:rPr>
              <w:t xml:space="preserve"> termin</w:t>
            </w:r>
            <w:r w:rsidR="001227F2" w:rsidRPr="00E350D4">
              <w:rPr>
                <w:rFonts w:ascii="Calibri" w:hAnsi="Calibri" w:cs="Calibri"/>
                <w:color w:val="000000"/>
                <w:sz w:val="20"/>
                <w:szCs w:val="20"/>
              </w:rPr>
              <w:t>u</w:t>
            </w:r>
            <w:r w:rsidRPr="00E350D4">
              <w:rPr>
                <w:rFonts w:ascii="Calibri" w:hAnsi="Calibri" w:cs="Calibri"/>
                <w:color w:val="000000"/>
                <w:sz w:val="20"/>
                <w:szCs w:val="20"/>
              </w:rPr>
              <w:t xml:space="preserve"> załatwiani</w:t>
            </w:r>
            <w:r w:rsidR="001227F2" w:rsidRPr="00E350D4">
              <w:rPr>
                <w:rFonts w:ascii="Calibri" w:hAnsi="Calibri" w:cs="Calibri"/>
                <w:color w:val="000000"/>
                <w:sz w:val="20"/>
                <w:szCs w:val="20"/>
              </w:rPr>
              <w:t>a</w:t>
            </w:r>
            <w:r w:rsidRPr="00E350D4">
              <w:rPr>
                <w:rFonts w:ascii="Calibri" w:hAnsi="Calibri" w:cs="Calibri"/>
                <w:color w:val="000000"/>
                <w:sz w:val="20"/>
                <w:szCs w:val="20"/>
              </w:rPr>
              <w:t xml:space="preserve"> spraw.</w:t>
            </w:r>
            <w:r w:rsidR="001B6215" w:rsidRPr="00E350D4">
              <w:rPr>
                <w:rFonts w:ascii="Calibri" w:hAnsi="Calibri" w:cs="Calibri"/>
                <w:color w:val="000000"/>
                <w:sz w:val="20"/>
                <w:szCs w:val="20"/>
              </w:rPr>
              <w:t xml:space="preserve"> </w:t>
            </w:r>
            <w:r w:rsidRPr="00E350D4">
              <w:rPr>
                <w:rFonts w:ascii="Calibri" w:hAnsi="Calibri" w:cs="Calibri"/>
                <w:color w:val="000000"/>
                <w:sz w:val="20"/>
                <w:szCs w:val="20"/>
              </w:rPr>
              <w:t xml:space="preserve"> W celu realizacji zadania prowadzono nadzór nad terminowością realizowanych zadań, w tym poprzez składanie comie</w:t>
            </w:r>
            <w:r w:rsidRPr="00E350D4">
              <w:rPr>
                <w:rFonts w:ascii="Calibri" w:hAnsi="Calibri" w:cs="Calibri"/>
                <w:color w:val="000000"/>
                <w:sz w:val="20"/>
                <w:szCs w:val="20"/>
              </w:rPr>
              <w:softHyphen/>
              <w:t>sięcz</w:t>
            </w:r>
            <w:r w:rsidRPr="00E350D4">
              <w:rPr>
                <w:rFonts w:ascii="Calibri" w:hAnsi="Calibri" w:cs="Calibri"/>
                <w:color w:val="000000"/>
                <w:sz w:val="20"/>
                <w:szCs w:val="20"/>
              </w:rPr>
              <w:softHyphen/>
              <w:t>nych sprawozdań z terminowości prowadzonych postępowań.</w:t>
            </w:r>
          </w:p>
        </w:tc>
      </w:tr>
      <w:tr w:rsidR="00F40960" w:rsidRPr="00170B4F" w:rsidTr="00E350D4">
        <w:trPr>
          <w:trHeight w:val="922"/>
        </w:trPr>
        <w:tc>
          <w:tcPr>
            <w:tcW w:w="532" w:type="dxa"/>
            <w:vMerge/>
            <w:shd w:val="clear" w:color="auto" w:fill="FFFFFF"/>
          </w:tcPr>
          <w:p w:rsidR="00F40960" w:rsidRPr="00E350D4" w:rsidRDefault="00F40960" w:rsidP="00E350D4">
            <w:pPr>
              <w:snapToGrid w:val="0"/>
              <w:rPr>
                <w:rFonts w:ascii="Calibri" w:hAnsi="Calibri" w:cs="Calibri"/>
                <w:color w:val="000000"/>
                <w:sz w:val="20"/>
                <w:szCs w:val="20"/>
              </w:rPr>
            </w:pPr>
          </w:p>
        </w:tc>
        <w:tc>
          <w:tcPr>
            <w:tcW w:w="1728" w:type="dxa"/>
            <w:vMerge/>
            <w:shd w:val="clear" w:color="auto" w:fill="FFFFFF"/>
          </w:tcPr>
          <w:p w:rsidR="00F40960" w:rsidRPr="00E350D4" w:rsidRDefault="00F40960" w:rsidP="00E350D4">
            <w:pPr>
              <w:snapToGrid w:val="0"/>
              <w:ind w:left="-73" w:right="-92"/>
              <w:rPr>
                <w:rFonts w:ascii="Calibri" w:hAnsi="Calibri" w:cs="Calibri"/>
                <w:color w:val="000000"/>
                <w:sz w:val="20"/>
                <w:szCs w:val="20"/>
              </w:rPr>
            </w:pPr>
          </w:p>
        </w:tc>
        <w:tc>
          <w:tcPr>
            <w:tcW w:w="1842" w:type="dxa"/>
            <w:vMerge/>
            <w:shd w:val="clear" w:color="auto" w:fill="FFFFFF"/>
          </w:tcPr>
          <w:p w:rsidR="00F40960" w:rsidRPr="00E350D4" w:rsidRDefault="00F40960" w:rsidP="00E350D4">
            <w:pPr>
              <w:snapToGrid w:val="0"/>
              <w:ind w:left="-73" w:right="-92"/>
              <w:rPr>
                <w:rFonts w:ascii="Calibri" w:hAnsi="Calibri" w:cs="Calibri"/>
                <w:color w:val="000000"/>
                <w:sz w:val="20"/>
                <w:szCs w:val="20"/>
              </w:rPr>
            </w:pPr>
          </w:p>
        </w:tc>
        <w:tc>
          <w:tcPr>
            <w:tcW w:w="1560" w:type="dxa"/>
            <w:vMerge/>
            <w:shd w:val="clear" w:color="auto" w:fill="FFFFFF"/>
          </w:tcPr>
          <w:p w:rsidR="00F40960" w:rsidRPr="00E350D4" w:rsidRDefault="00F40960" w:rsidP="00E350D4">
            <w:pPr>
              <w:snapToGrid w:val="0"/>
              <w:rPr>
                <w:rFonts w:ascii="Calibri" w:hAnsi="Calibri" w:cs="Calibri"/>
                <w:color w:val="000000"/>
                <w:sz w:val="20"/>
                <w:szCs w:val="20"/>
              </w:rPr>
            </w:pPr>
          </w:p>
        </w:tc>
        <w:tc>
          <w:tcPr>
            <w:tcW w:w="1559" w:type="dxa"/>
            <w:vMerge/>
            <w:shd w:val="clear" w:color="auto" w:fill="FFFFFF"/>
          </w:tcPr>
          <w:p w:rsidR="00F40960" w:rsidRPr="00E350D4" w:rsidRDefault="00F40960" w:rsidP="00E350D4">
            <w:pPr>
              <w:snapToGrid w:val="0"/>
              <w:rPr>
                <w:rFonts w:ascii="Calibri" w:hAnsi="Calibri" w:cs="Calibri"/>
                <w:color w:val="000000"/>
                <w:sz w:val="20"/>
                <w:szCs w:val="20"/>
              </w:rPr>
            </w:pPr>
          </w:p>
        </w:tc>
        <w:tc>
          <w:tcPr>
            <w:tcW w:w="2126" w:type="dxa"/>
            <w:tcBorders>
              <w:top w:val="single" w:sz="6" w:space="0" w:color="000000"/>
              <w:bottom w:val="single" w:sz="6" w:space="0" w:color="000000"/>
            </w:tcBorders>
            <w:shd w:val="clear" w:color="auto" w:fill="FFFFFF"/>
          </w:tcPr>
          <w:p w:rsidR="00F40960" w:rsidRPr="00E350D4" w:rsidRDefault="00F40960" w:rsidP="00E350D4">
            <w:pPr>
              <w:ind w:left="-54" w:right="-88" w:firstLine="14"/>
              <w:rPr>
                <w:rFonts w:ascii="Calibri" w:hAnsi="Calibri" w:cs="Calibri"/>
                <w:color w:val="000000"/>
                <w:sz w:val="20"/>
                <w:szCs w:val="20"/>
              </w:rPr>
            </w:pPr>
            <w:r w:rsidRPr="00E350D4">
              <w:rPr>
                <w:rFonts w:ascii="Calibri" w:hAnsi="Calibri" w:cs="Calibri"/>
                <w:color w:val="000000"/>
                <w:sz w:val="20"/>
                <w:szCs w:val="20"/>
              </w:rPr>
              <w:t xml:space="preserve">Udział w postępowaniach mających na celu wydanie uzgodnienia stopnia szczegółowości prognozy o oddziaływaniu na środowisko oraz </w:t>
            </w:r>
            <w:r w:rsidRPr="00E350D4">
              <w:rPr>
                <w:rFonts w:ascii="Calibri" w:hAnsi="Calibri" w:cs="Calibri"/>
                <w:color w:val="000000"/>
                <w:sz w:val="20"/>
                <w:szCs w:val="20"/>
              </w:rPr>
              <w:lastRenderedPageBreak/>
              <w:t>postępowań mających na celu wydawanie opinii do projektów strategii, planów, programów oraz innych dokumentów wymagających przeprowadzenia strategicznej oceny na środowisko.</w:t>
            </w:r>
          </w:p>
        </w:tc>
        <w:tc>
          <w:tcPr>
            <w:tcW w:w="6237" w:type="dxa"/>
            <w:shd w:val="clear" w:color="auto" w:fill="FFFFFF"/>
          </w:tcPr>
          <w:p w:rsidR="00F40960" w:rsidRPr="00E350D4" w:rsidRDefault="00F40960" w:rsidP="00E350D4">
            <w:pPr>
              <w:tabs>
                <w:tab w:val="left" w:pos="5987"/>
                <w:tab w:val="left" w:pos="6021"/>
              </w:tabs>
              <w:snapToGrid w:val="0"/>
              <w:ind w:left="-73" w:right="175"/>
              <w:rPr>
                <w:rFonts w:ascii="Calibri" w:hAnsi="Calibri" w:cs="Calibri"/>
                <w:color w:val="000000"/>
                <w:sz w:val="20"/>
                <w:szCs w:val="20"/>
              </w:rPr>
            </w:pPr>
            <w:r w:rsidRPr="00E350D4">
              <w:rPr>
                <w:rFonts w:ascii="Calibri" w:hAnsi="Calibri" w:cs="Calibri"/>
                <w:color w:val="000000"/>
                <w:sz w:val="20"/>
                <w:szCs w:val="20"/>
              </w:rPr>
              <w:lastRenderedPageBreak/>
              <w:t>Przedkładane wnioski spełnia</w:t>
            </w:r>
            <w:r w:rsidR="000B70F5" w:rsidRPr="00E350D4">
              <w:rPr>
                <w:rFonts w:ascii="Calibri" w:hAnsi="Calibri" w:cs="Calibri"/>
                <w:color w:val="000000"/>
                <w:sz w:val="20"/>
                <w:szCs w:val="20"/>
              </w:rPr>
              <w:t xml:space="preserve">ły </w:t>
            </w:r>
            <w:r w:rsidRPr="00E350D4">
              <w:rPr>
                <w:rFonts w:ascii="Calibri" w:hAnsi="Calibri" w:cs="Calibri"/>
                <w:color w:val="000000"/>
                <w:sz w:val="20"/>
                <w:szCs w:val="20"/>
              </w:rPr>
              <w:t xml:space="preserve"> wymagania określone w przepisach szczególnych. Prośba o ich uzupełnienie </w:t>
            </w:r>
            <w:r w:rsidR="000B70F5" w:rsidRPr="00E350D4">
              <w:rPr>
                <w:rFonts w:ascii="Calibri" w:hAnsi="Calibri" w:cs="Calibri"/>
                <w:color w:val="000000"/>
                <w:sz w:val="20"/>
                <w:szCs w:val="20"/>
              </w:rPr>
              <w:t xml:space="preserve">była </w:t>
            </w:r>
            <w:r w:rsidRPr="00E350D4">
              <w:rPr>
                <w:rFonts w:ascii="Calibri" w:hAnsi="Calibri" w:cs="Calibri"/>
                <w:color w:val="000000"/>
                <w:sz w:val="20"/>
                <w:szCs w:val="20"/>
              </w:rPr>
              <w:t xml:space="preserve">sporadyczna, stąd też możliwe </w:t>
            </w:r>
            <w:r w:rsidR="000B70F5" w:rsidRPr="00E350D4">
              <w:rPr>
                <w:rFonts w:ascii="Calibri" w:hAnsi="Calibri" w:cs="Calibri"/>
                <w:color w:val="000000"/>
                <w:sz w:val="20"/>
                <w:szCs w:val="20"/>
              </w:rPr>
              <w:t>było</w:t>
            </w:r>
            <w:r w:rsidRPr="00E350D4">
              <w:rPr>
                <w:rFonts w:ascii="Calibri" w:hAnsi="Calibri" w:cs="Calibri"/>
                <w:color w:val="000000"/>
                <w:sz w:val="20"/>
                <w:szCs w:val="20"/>
              </w:rPr>
              <w:t xml:space="preserve"> wydawanie opinii  i uzgodnień z zachowaniem </w:t>
            </w:r>
            <w:r w:rsidR="000B70F5" w:rsidRPr="00E350D4">
              <w:rPr>
                <w:rFonts w:ascii="Calibri" w:hAnsi="Calibri" w:cs="Calibri"/>
                <w:color w:val="000000"/>
                <w:sz w:val="20"/>
                <w:szCs w:val="20"/>
              </w:rPr>
              <w:t xml:space="preserve"> </w:t>
            </w:r>
            <w:r w:rsidRPr="00E350D4">
              <w:rPr>
                <w:rFonts w:ascii="Calibri" w:hAnsi="Calibri" w:cs="Calibri"/>
                <w:color w:val="000000"/>
                <w:sz w:val="20"/>
                <w:szCs w:val="20"/>
              </w:rPr>
              <w:t>terminu.</w:t>
            </w:r>
          </w:p>
        </w:tc>
      </w:tr>
      <w:tr w:rsidR="00F40960" w:rsidRPr="00170B4F" w:rsidTr="00E350D4">
        <w:trPr>
          <w:trHeight w:val="578"/>
        </w:trPr>
        <w:tc>
          <w:tcPr>
            <w:tcW w:w="532" w:type="dxa"/>
            <w:tcBorders>
              <w:top w:val="single" w:sz="6" w:space="0" w:color="000000"/>
            </w:tcBorders>
            <w:shd w:val="clear" w:color="auto" w:fill="FFFFFF"/>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2</w:t>
            </w:r>
          </w:p>
        </w:tc>
        <w:tc>
          <w:tcPr>
            <w:tcW w:w="1728" w:type="dxa"/>
            <w:tcBorders>
              <w:top w:val="single" w:sz="6" w:space="0" w:color="000000"/>
            </w:tcBorders>
            <w:shd w:val="clear" w:color="auto" w:fill="FFFFFF"/>
          </w:tcPr>
          <w:p w:rsidR="00F40960" w:rsidRPr="00E350D4" w:rsidRDefault="00F40960" w:rsidP="00E350D4">
            <w:pPr>
              <w:ind w:left="-73" w:right="-92"/>
              <w:rPr>
                <w:rFonts w:ascii="Calibri" w:hAnsi="Calibri" w:cs="Calibri"/>
                <w:color w:val="000000"/>
                <w:sz w:val="20"/>
                <w:szCs w:val="20"/>
              </w:rPr>
            </w:pPr>
            <w:r w:rsidRPr="00E350D4">
              <w:rPr>
                <w:rFonts w:ascii="Calibri" w:hAnsi="Calibri" w:cs="Calibri"/>
                <w:color w:val="000000"/>
                <w:sz w:val="20"/>
                <w:szCs w:val="20"/>
              </w:rPr>
              <w:t>Zapewnienie ograniczania degradacji środowiska naturalnego oraz powstrzymywanie utraty różnorodności biologicznej</w:t>
            </w:r>
          </w:p>
        </w:tc>
        <w:tc>
          <w:tcPr>
            <w:tcW w:w="1842" w:type="dxa"/>
            <w:tcBorders>
              <w:top w:val="single" w:sz="6" w:space="0" w:color="000000"/>
            </w:tcBorders>
            <w:shd w:val="clear" w:color="auto" w:fill="FFFFFF"/>
          </w:tcPr>
          <w:p w:rsidR="00F40960" w:rsidRPr="00E350D4" w:rsidRDefault="00F40960" w:rsidP="00E350D4">
            <w:pPr>
              <w:ind w:left="-73" w:right="-92"/>
              <w:rPr>
                <w:rFonts w:ascii="Calibri" w:hAnsi="Calibri" w:cs="Calibri"/>
                <w:color w:val="000000"/>
                <w:sz w:val="20"/>
                <w:szCs w:val="20"/>
              </w:rPr>
            </w:pPr>
            <w:r w:rsidRPr="00E350D4">
              <w:rPr>
                <w:rFonts w:ascii="Calibri" w:hAnsi="Calibri" w:cs="Calibri"/>
                <w:color w:val="000000"/>
                <w:sz w:val="20"/>
                <w:szCs w:val="20"/>
              </w:rPr>
              <w:t>Liczba zarządzeń oraz rozporządzeń w sprawie ustanowienia planów zadań ochronnych lub planów ochrony dla obszarów Natura 2000 do łącznej liczby obszarów Natura 2000</w:t>
            </w:r>
          </w:p>
        </w:tc>
        <w:tc>
          <w:tcPr>
            <w:tcW w:w="1560" w:type="dxa"/>
            <w:tcBorders>
              <w:top w:val="single" w:sz="6" w:space="0" w:color="000000"/>
            </w:tcBorders>
            <w:shd w:val="clear" w:color="auto" w:fill="FFFFFF"/>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3</w:t>
            </w:r>
            <w:r w:rsidR="0004304D" w:rsidRPr="00E350D4">
              <w:rPr>
                <w:rFonts w:ascii="Calibri" w:hAnsi="Calibri" w:cs="Calibri"/>
                <w:color w:val="000000"/>
                <w:sz w:val="20"/>
                <w:szCs w:val="20"/>
              </w:rPr>
              <w:t>7</w:t>
            </w:r>
            <w:r w:rsidRPr="00E350D4">
              <w:rPr>
                <w:rFonts w:ascii="Calibri" w:hAnsi="Calibri" w:cs="Calibri"/>
                <w:color w:val="000000"/>
                <w:sz w:val="20"/>
                <w:szCs w:val="20"/>
              </w:rPr>
              <w:t>/987</w:t>
            </w:r>
          </w:p>
        </w:tc>
        <w:tc>
          <w:tcPr>
            <w:tcW w:w="1559" w:type="dxa"/>
            <w:tcBorders>
              <w:top w:val="single" w:sz="6" w:space="0" w:color="000000"/>
            </w:tcBorders>
            <w:shd w:val="clear" w:color="auto" w:fill="FFFFFF"/>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33/987</w:t>
            </w:r>
          </w:p>
        </w:tc>
        <w:tc>
          <w:tcPr>
            <w:tcW w:w="2126" w:type="dxa"/>
            <w:tcBorders>
              <w:top w:val="single" w:sz="6" w:space="0" w:color="000000"/>
            </w:tcBorders>
            <w:shd w:val="clear" w:color="auto" w:fill="FFFFFF"/>
          </w:tcPr>
          <w:p w:rsidR="00F40960" w:rsidRPr="00E350D4" w:rsidRDefault="0004304D" w:rsidP="00E350D4">
            <w:pPr>
              <w:ind w:left="-54" w:right="-88" w:firstLine="14"/>
              <w:rPr>
                <w:rFonts w:ascii="Calibri" w:hAnsi="Calibri" w:cs="Calibri"/>
                <w:color w:val="000000"/>
                <w:sz w:val="20"/>
                <w:szCs w:val="20"/>
              </w:rPr>
            </w:pPr>
            <w:r w:rsidRPr="00E350D4">
              <w:rPr>
                <w:rFonts w:ascii="Calibri" w:hAnsi="Calibri" w:cs="Calibri"/>
                <w:color w:val="000000"/>
                <w:sz w:val="20"/>
                <w:szCs w:val="20"/>
              </w:rPr>
              <w:t>Opracowanie planów zadań ochronnych dla obszarów Natura 2000. Ochrona prawna rezerwatów przyrody. Ochrona obszarów Natura 2000, rezerwatów przyrody, siedlisk przyrodniczych</w:t>
            </w:r>
            <w:r w:rsidR="00335ED4" w:rsidRPr="00E350D4">
              <w:rPr>
                <w:rFonts w:ascii="Calibri" w:hAnsi="Calibri" w:cs="Calibri"/>
                <w:color w:val="000000"/>
                <w:sz w:val="20"/>
                <w:szCs w:val="20"/>
              </w:rPr>
              <w:t xml:space="preserve"> </w:t>
            </w:r>
            <w:r w:rsidRPr="00E350D4">
              <w:rPr>
                <w:rFonts w:ascii="Calibri" w:hAnsi="Calibri" w:cs="Calibri"/>
                <w:color w:val="000000"/>
                <w:sz w:val="20"/>
                <w:szCs w:val="20"/>
              </w:rPr>
              <w:t>i gatunków.</w:t>
            </w:r>
          </w:p>
        </w:tc>
        <w:tc>
          <w:tcPr>
            <w:tcW w:w="6237" w:type="dxa"/>
            <w:tcBorders>
              <w:top w:val="single" w:sz="6" w:space="0" w:color="000000"/>
            </w:tcBorders>
            <w:shd w:val="clear" w:color="auto" w:fill="FFFFFF"/>
          </w:tcPr>
          <w:p w:rsidR="00F40960" w:rsidRPr="00E350D4" w:rsidRDefault="00335ED4" w:rsidP="00E350D4">
            <w:pPr>
              <w:snapToGrid w:val="0"/>
              <w:ind w:left="-65"/>
              <w:rPr>
                <w:rFonts w:ascii="Calibri" w:hAnsi="Calibri" w:cs="Calibri"/>
                <w:color w:val="000000"/>
                <w:sz w:val="20"/>
                <w:szCs w:val="20"/>
              </w:rPr>
            </w:pPr>
            <w:r w:rsidRPr="00E350D4">
              <w:rPr>
                <w:rFonts w:ascii="Calibri" w:hAnsi="Calibri" w:cs="Calibri"/>
                <w:color w:val="000000"/>
                <w:sz w:val="20"/>
                <w:szCs w:val="20"/>
              </w:rPr>
              <w:t xml:space="preserve">Ponownie przystąpiono do </w:t>
            </w:r>
            <w:r w:rsidR="004565D6" w:rsidRPr="00E350D4">
              <w:rPr>
                <w:rFonts w:ascii="Calibri" w:hAnsi="Calibri" w:cs="Calibri"/>
                <w:color w:val="000000"/>
                <w:sz w:val="20"/>
                <w:szCs w:val="20"/>
              </w:rPr>
              <w:t>p</w:t>
            </w:r>
            <w:r w:rsidRPr="00E350D4">
              <w:rPr>
                <w:rFonts w:ascii="Calibri" w:hAnsi="Calibri" w:cs="Calibri"/>
                <w:color w:val="000000"/>
                <w:sz w:val="20"/>
                <w:szCs w:val="20"/>
              </w:rPr>
              <w:t>rowadzenia prac nad projektem planu dla obszaru Ostoja Piska</w:t>
            </w:r>
            <w:r w:rsidR="004565D6" w:rsidRPr="00E350D4">
              <w:rPr>
                <w:rFonts w:ascii="Calibri" w:hAnsi="Calibri" w:cs="Calibri"/>
                <w:color w:val="000000"/>
                <w:sz w:val="20"/>
                <w:szCs w:val="20"/>
              </w:rPr>
              <w:t xml:space="preserve">. Planowane </w:t>
            </w:r>
            <w:r w:rsidRPr="00E350D4">
              <w:rPr>
                <w:rFonts w:ascii="Calibri" w:hAnsi="Calibri" w:cs="Calibri"/>
                <w:color w:val="000000"/>
                <w:sz w:val="20"/>
                <w:szCs w:val="20"/>
              </w:rPr>
              <w:t xml:space="preserve">ustanowienie </w:t>
            </w:r>
            <w:r w:rsidR="004565D6" w:rsidRPr="00E350D4">
              <w:rPr>
                <w:rFonts w:ascii="Calibri" w:hAnsi="Calibri" w:cs="Calibri"/>
                <w:color w:val="000000"/>
                <w:sz w:val="20"/>
                <w:szCs w:val="20"/>
              </w:rPr>
              <w:t>PZO</w:t>
            </w:r>
            <w:r w:rsidRPr="00E350D4">
              <w:rPr>
                <w:rFonts w:ascii="Calibri" w:hAnsi="Calibri" w:cs="Calibri"/>
                <w:color w:val="000000"/>
                <w:sz w:val="20"/>
                <w:szCs w:val="20"/>
              </w:rPr>
              <w:t xml:space="preserve"> dla obszaru zaplanowano na luty 2020</w:t>
            </w:r>
            <w:r w:rsidR="004565D6" w:rsidRPr="00E350D4">
              <w:rPr>
                <w:rFonts w:ascii="Calibri" w:hAnsi="Calibri" w:cs="Calibri"/>
                <w:color w:val="000000"/>
                <w:sz w:val="20"/>
                <w:szCs w:val="20"/>
              </w:rPr>
              <w:t xml:space="preserve"> r. Jednocześnie</w:t>
            </w:r>
            <w:r w:rsidRPr="00E350D4">
              <w:rPr>
                <w:rFonts w:ascii="Calibri" w:hAnsi="Calibri" w:cs="Calibri"/>
                <w:color w:val="000000"/>
                <w:sz w:val="20"/>
                <w:szCs w:val="20"/>
              </w:rPr>
              <w:t xml:space="preserve"> prowadzono uzupełnienie projektów planów dla obszarów </w:t>
            </w:r>
            <w:proofErr w:type="spellStart"/>
            <w:r w:rsidRPr="00E350D4">
              <w:rPr>
                <w:rFonts w:ascii="Calibri" w:hAnsi="Calibri" w:cs="Calibri"/>
                <w:color w:val="000000"/>
                <w:sz w:val="20"/>
                <w:szCs w:val="20"/>
              </w:rPr>
              <w:t>Mamerki</w:t>
            </w:r>
            <w:proofErr w:type="spellEnd"/>
            <w:r w:rsidRPr="00E350D4">
              <w:rPr>
                <w:rFonts w:ascii="Calibri" w:hAnsi="Calibri" w:cs="Calibri"/>
                <w:color w:val="000000"/>
                <w:sz w:val="20"/>
                <w:szCs w:val="20"/>
              </w:rPr>
              <w:t xml:space="preserve"> i </w:t>
            </w:r>
            <w:proofErr w:type="spellStart"/>
            <w:r w:rsidRPr="00E350D4">
              <w:rPr>
                <w:rFonts w:ascii="Calibri" w:hAnsi="Calibri" w:cs="Calibri"/>
                <w:color w:val="000000"/>
                <w:sz w:val="20"/>
                <w:szCs w:val="20"/>
              </w:rPr>
              <w:t>Gierłoż</w:t>
            </w:r>
            <w:proofErr w:type="spellEnd"/>
            <w:r w:rsidR="004565D6" w:rsidRPr="00E350D4">
              <w:rPr>
                <w:rFonts w:ascii="Calibri" w:hAnsi="Calibri" w:cs="Calibri"/>
                <w:color w:val="000000"/>
                <w:sz w:val="20"/>
                <w:szCs w:val="20"/>
              </w:rPr>
              <w:t xml:space="preserve">. W powyższym zakresie </w:t>
            </w:r>
            <w:r w:rsidRPr="00E350D4">
              <w:rPr>
                <w:rFonts w:ascii="Calibri" w:hAnsi="Calibri" w:cs="Calibri"/>
                <w:color w:val="000000"/>
                <w:sz w:val="20"/>
                <w:szCs w:val="20"/>
              </w:rPr>
              <w:t xml:space="preserve">nie udało się rozpocząć konsultacji społecznych. </w:t>
            </w:r>
          </w:p>
          <w:p w:rsidR="00335ED4" w:rsidRPr="00E350D4" w:rsidRDefault="00335ED4" w:rsidP="00E350D4">
            <w:pPr>
              <w:snapToGrid w:val="0"/>
              <w:ind w:left="-65" w:right="34"/>
              <w:rPr>
                <w:rFonts w:ascii="Calibri" w:hAnsi="Calibri" w:cs="Calibri"/>
                <w:sz w:val="20"/>
                <w:szCs w:val="20"/>
              </w:rPr>
            </w:pPr>
            <w:r w:rsidRPr="00E350D4">
              <w:rPr>
                <w:rFonts w:ascii="Calibri" w:hAnsi="Calibri" w:cs="Calibri"/>
                <w:color w:val="000000"/>
                <w:sz w:val="20"/>
                <w:szCs w:val="20"/>
              </w:rPr>
              <w:t>Ustanowiono zadania ochronne dla rezerwatów, które nie posiadają planu ochrony, a w przypad</w:t>
            </w:r>
            <w:r w:rsidRPr="00E350D4">
              <w:rPr>
                <w:rFonts w:ascii="Calibri" w:hAnsi="Calibri" w:cs="Calibri"/>
                <w:color w:val="000000"/>
                <w:sz w:val="20"/>
                <w:szCs w:val="20"/>
              </w:rPr>
              <w:softHyphen/>
              <w:t xml:space="preserve">ku których podjęcie lub kontynuacja zadań ochronnych było niezbędne. </w:t>
            </w:r>
            <w:r w:rsidRPr="00E350D4">
              <w:rPr>
                <w:rFonts w:ascii="Calibri" w:hAnsi="Calibri" w:cs="Calibri"/>
                <w:sz w:val="20"/>
                <w:szCs w:val="20"/>
              </w:rPr>
              <w:t>W ramach działania wykonywano</w:t>
            </w:r>
            <w:r w:rsidR="000B70F5" w:rsidRPr="00E350D4">
              <w:rPr>
                <w:rFonts w:ascii="Calibri" w:hAnsi="Calibri" w:cs="Calibri"/>
                <w:sz w:val="20"/>
                <w:szCs w:val="20"/>
              </w:rPr>
              <w:t xml:space="preserve"> </w:t>
            </w:r>
            <w:r w:rsidRPr="00E350D4">
              <w:rPr>
                <w:rFonts w:ascii="Calibri" w:hAnsi="Calibri" w:cs="Calibri"/>
                <w:sz w:val="20"/>
                <w:szCs w:val="20"/>
              </w:rPr>
              <w:t>i sfinansowano działania ochronne w rezerwacie przyrody Kulka.</w:t>
            </w:r>
          </w:p>
          <w:p w:rsidR="00335ED4" w:rsidRPr="00E350D4" w:rsidRDefault="00335ED4" w:rsidP="00E350D4">
            <w:pPr>
              <w:snapToGrid w:val="0"/>
              <w:ind w:left="-65"/>
              <w:rPr>
                <w:rFonts w:ascii="Calibri" w:hAnsi="Calibri" w:cs="Calibri"/>
                <w:color w:val="000000"/>
                <w:sz w:val="20"/>
                <w:szCs w:val="20"/>
              </w:rPr>
            </w:pPr>
            <w:r w:rsidRPr="00E350D4">
              <w:rPr>
                <w:rFonts w:ascii="Calibri" w:hAnsi="Calibri" w:cs="Calibri"/>
                <w:sz w:val="20"/>
                <w:szCs w:val="20"/>
              </w:rPr>
              <w:t>W związku ze zmianą algorytmu wyliczania miernika zmieniona została wartość planowana do osiągnięcia na koniec 2019 r. (aktualizacja planu działalności Wydziału złożona została wraz z półrocznym raportem</w:t>
            </w:r>
            <w:r w:rsidR="000B70F5" w:rsidRPr="00E350D4">
              <w:rPr>
                <w:rFonts w:ascii="Calibri" w:hAnsi="Calibri" w:cs="Calibri"/>
                <w:sz w:val="20"/>
                <w:szCs w:val="20"/>
              </w:rPr>
              <w:t xml:space="preserve"> </w:t>
            </w:r>
            <w:r w:rsidRPr="00E350D4">
              <w:rPr>
                <w:rFonts w:ascii="Calibri" w:hAnsi="Calibri" w:cs="Calibri"/>
                <w:sz w:val="20"/>
                <w:szCs w:val="20"/>
              </w:rPr>
              <w:t>w zakresie monitorowania ryzyka w Wydziale Ochrony Przyrody i Obszarów Natura 2000)</w:t>
            </w:r>
            <w:r w:rsidR="004565D6" w:rsidRPr="00E350D4">
              <w:rPr>
                <w:rFonts w:ascii="Calibri" w:hAnsi="Calibri" w:cs="Calibri"/>
                <w:sz w:val="20"/>
                <w:szCs w:val="20"/>
              </w:rPr>
              <w:t>.</w:t>
            </w:r>
          </w:p>
        </w:tc>
      </w:tr>
      <w:tr w:rsidR="00F40960" w:rsidRPr="00170B4F" w:rsidTr="00E350D4">
        <w:trPr>
          <w:trHeight w:val="578"/>
        </w:trPr>
        <w:tc>
          <w:tcPr>
            <w:tcW w:w="532" w:type="dxa"/>
            <w:tcBorders>
              <w:top w:val="single" w:sz="6" w:space="0" w:color="000000"/>
            </w:tcBorders>
            <w:shd w:val="clear" w:color="auto" w:fill="FFFFFF"/>
          </w:tcPr>
          <w:p w:rsidR="00F40960" w:rsidRPr="00E350D4" w:rsidRDefault="00F40960" w:rsidP="00E350D4">
            <w:pPr>
              <w:snapToGrid w:val="0"/>
              <w:rPr>
                <w:rFonts w:ascii="Calibri" w:hAnsi="Calibri" w:cs="Calibri"/>
                <w:color w:val="000000"/>
                <w:sz w:val="20"/>
                <w:szCs w:val="20"/>
              </w:rPr>
            </w:pPr>
            <w:r w:rsidRPr="00E350D4">
              <w:rPr>
                <w:rFonts w:ascii="Calibri" w:hAnsi="Calibri" w:cs="Calibri"/>
                <w:color w:val="000000"/>
                <w:sz w:val="20"/>
                <w:szCs w:val="20"/>
              </w:rPr>
              <w:t>3.</w:t>
            </w:r>
          </w:p>
        </w:tc>
        <w:tc>
          <w:tcPr>
            <w:tcW w:w="1728" w:type="dxa"/>
            <w:tcBorders>
              <w:top w:val="single" w:sz="6" w:space="0" w:color="000000"/>
            </w:tcBorders>
            <w:shd w:val="clear" w:color="auto" w:fill="FFFFFF"/>
          </w:tcPr>
          <w:p w:rsidR="00F40960" w:rsidRPr="00E350D4" w:rsidRDefault="00F40960" w:rsidP="00E350D4">
            <w:pPr>
              <w:ind w:left="-73" w:right="-92"/>
              <w:rPr>
                <w:rFonts w:ascii="Calibri" w:hAnsi="Calibri" w:cs="Calibri"/>
                <w:color w:val="000000"/>
                <w:sz w:val="20"/>
                <w:szCs w:val="20"/>
              </w:rPr>
            </w:pPr>
            <w:r w:rsidRPr="00E350D4">
              <w:rPr>
                <w:rFonts w:ascii="Calibri" w:hAnsi="Calibri" w:cs="Calibri"/>
                <w:color w:val="000000"/>
                <w:sz w:val="20"/>
                <w:szCs w:val="20"/>
              </w:rPr>
              <w:t xml:space="preserve">Efektywne orzekanie dla zapewnienia zachowania wartości przyrodniczych terenów cennych pod względem przyrodniczym oraz </w:t>
            </w:r>
            <w:r w:rsidRPr="00E350D4">
              <w:rPr>
                <w:rFonts w:ascii="Calibri" w:hAnsi="Calibri" w:cs="Calibri"/>
                <w:color w:val="000000"/>
                <w:sz w:val="20"/>
                <w:szCs w:val="20"/>
              </w:rPr>
              <w:lastRenderedPageBreak/>
              <w:t>ochrony fauny i flory.</w:t>
            </w:r>
          </w:p>
        </w:tc>
        <w:tc>
          <w:tcPr>
            <w:tcW w:w="1842" w:type="dxa"/>
            <w:tcBorders>
              <w:top w:val="single" w:sz="6" w:space="0" w:color="000000"/>
            </w:tcBorders>
            <w:shd w:val="clear" w:color="auto" w:fill="FFFFFF"/>
          </w:tcPr>
          <w:p w:rsidR="00F40960" w:rsidRPr="00E350D4" w:rsidRDefault="00F40960" w:rsidP="00E350D4">
            <w:pPr>
              <w:ind w:left="-73" w:right="-92"/>
              <w:rPr>
                <w:rFonts w:ascii="Calibri" w:hAnsi="Calibri" w:cs="Calibri"/>
                <w:color w:val="000000"/>
                <w:sz w:val="20"/>
                <w:szCs w:val="20"/>
              </w:rPr>
            </w:pPr>
            <w:r w:rsidRPr="00E350D4">
              <w:rPr>
                <w:rFonts w:ascii="Calibri" w:hAnsi="Calibri" w:cs="Calibri"/>
                <w:color w:val="000000"/>
                <w:sz w:val="20"/>
                <w:szCs w:val="20"/>
              </w:rPr>
              <w:lastRenderedPageBreak/>
              <w:t>Liczba rozstrzygnięć administracyjnych w danym roku do liczby spraw administracyjnych wszczętych w danym roku</w:t>
            </w:r>
          </w:p>
        </w:tc>
        <w:tc>
          <w:tcPr>
            <w:tcW w:w="1560" w:type="dxa"/>
            <w:tcBorders>
              <w:top w:val="single" w:sz="6" w:space="0" w:color="000000"/>
            </w:tcBorders>
            <w:shd w:val="clear" w:color="auto" w:fill="FFFFFF"/>
          </w:tcPr>
          <w:p w:rsidR="00F40960" w:rsidRPr="00E350D4" w:rsidRDefault="0004304D" w:rsidP="00E350D4">
            <w:pPr>
              <w:snapToGrid w:val="0"/>
              <w:rPr>
                <w:rFonts w:ascii="Calibri" w:hAnsi="Calibri" w:cs="Calibri"/>
                <w:color w:val="000000"/>
                <w:sz w:val="20"/>
                <w:szCs w:val="20"/>
              </w:rPr>
            </w:pPr>
            <w:r w:rsidRPr="00E350D4">
              <w:rPr>
                <w:rFonts w:ascii="Calibri" w:hAnsi="Calibri" w:cs="Calibri"/>
                <w:color w:val="000000"/>
                <w:sz w:val="20"/>
                <w:szCs w:val="20"/>
              </w:rPr>
              <w:t>7000/7200</w:t>
            </w:r>
          </w:p>
        </w:tc>
        <w:tc>
          <w:tcPr>
            <w:tcW w:w="1559" w:type="dxa"/>
            <w:tcBorders>
              <w:top w:val="single" w:sz="6" w:space="0" w:color="000000"/>
            </w:tcBorders>
            <w:shd w:val="clear" w:color="auto" w:fill="FFFFFF"/>
          </w:tcPr>
          <w:p w:rsidR="00F40960" w:rsidRPr="00E350D4" w:rsidRDefault="0004304D" w:rsidP="00E350D4">
            <w:pPr>
              <w:snapToGrid w:val="0"/>
              <w:rPr>
                <w:rFonts w:ascii="Calibri" w:hAnsi="Calibri" w:cs="Calibri"/>
                <w:color w:val="000000"/>
                <w:sz w:val="20"/>
                <w:szCs w:val="20"/>
              </w:rPr>
            </w:pPr>
            <w:r w:rsidRPr="00E350D4">
              <w:rPr>
                <w:rFonts w:ascii="Calibri" w:hAnsi="Calibri" w:cs="Calibri"/>
                <w:color w:val="000000"/>
                <w:sz w:val="20"/>
                <w:szCs w:val="20"/>
              </w:rPr>
              <w:t>7601/7592</w:t>
            </w:r>
          </w:p>
        </w:tc>
        <w:tc>
          <w:tcPr>
            <w:tcW w:w="2126" w:type="dxa"/>
            <w:tcBorders>
              <w:top w:val="single" w:sz="6" w:space="0" w:color="000000"/>
            </w:tcBorders>
            <w:shd w:val="clear" w:color="auto" w:fill="FFFFFF"/>
          </w:tcPr>
          <w:p w:rsidR="00F40960" w:rsidRPr="00E350D4" w:rsidRDefault="00F40960" w:rsidP="00E350D4">
            <w:pPr>
              <w:ind w:left="-54" w:right="-88" w:firstLine="14"/>
              <w:rPr>
                <w:rFonts w:ascii="Calibri" w:hAnsi="Calibri" w:cs="Calibri"/>
                <w:color w:val="000000"/>
                <w:sz w:val="20"/>
                <w:szCs w:val="20"/>
              </w:rPr>
            </w:pPr>
            <w:r w:rsidRPr="00E350D4">
              <w:rPr>
                <w:rFonts w:ascii="Calibri" w:hAnsi="Calibri" w:cs="Calibri"/>
                <w:color w:val="000000"/>
                <w:sz w:val="20"/>
                <w:szCs w:val="20"/>
              </w:rPr>
              <w:t xml:space="preserve">Wydawanie decyzji zezwalających na odstępstwa od zakazów obowiązujących w rezerwatach przyrody. Wydawanie decyzji określających warunki prowadzenia działań. Wydawanie decyzji zezwalających na </w:t>
            </w:r>
            <w:r w:rsidRPr="00E350D4">
              <w:rPr>
                <w:rFonts w:ascii="Calibri" w:hAnsi="Calibri" w:cs="Calibri"/>
                <w:color w:val="000000"/>
                <w:sz w:val="20"/>
                <w:szCs w:val="20"/>
              </w:rPr>
              <w:lastRenderedPageBreak/>
              <w:t>odstępstwa od zakazów obowiązujących w stosunku do gatunków chronionych. Wydawanie uzgodnień decyzji zezwalających na wycinkę drzew rosnących w pasie drogowym drogi publicznej. Wydawanie uzgodnień decyzji, planów i studiów z zakresu zagospodarowania przestrzennego. Uzgodnienia projektów uchwał JST w sprawie utworzenia lub likwidacji form ochrony przyrody, zmiany granic lub obowiązujących zakazów.</w:t>
            </w:r>
          </w:p>
        </w:tc>
        <w:tc>
          <w:tcPr>
            <w:tcW w:w="6237" w:type="dxa"/>
            <w:tcBorders>
              <w:top w:val="single" w:sz="6" w:space="0" w:color="000000"/>
            </w:tcBorders>
            <w:shd w:val="clear" w:color="auto" w:fill="FFFFFF"/>
          </w:tcPr>
          <w:p w:rsidR="004565D6" w:rsidRPr="00E350D4" w:rsidRDefault="004565D6" w:rsidP="00E350D4">
            <w:pPr>
              <w:snapToGrid w:val="0"/>
              <w:ind w:left="-65" w:right="34"/>
              <w:rPr>
                <w:rFonts w:ascii="Calibri" w:hAnsi="Calibri" w:cs="Calibri"/>
                <w:color w:val="000000"/>
                <w:sz w:val="20"/>
                <w:szCs w:val="20"/>
              </w:rPr>
            </w:pPr>
            <w:r w:rsidRPr="00E350D4">
              <w:rPr>
                <w:rFonts w:ascii="Calibri" w:hAnsi="Calibri" w:cs="Calibri"/>
                <w:color w:val="000000"/>
                <w:sz w:val="20"/>
                <w:szCs w:val="20"/>
              </w:rPr>
              <w:lastRenderedPageBreak/>
              <w:t>Realizacja zadań ustawowych, wynikających z ustaw: o ochronie przyrody oraz o planowaniu i zagospodarowaniu przestrzennym (a także aktów wykonawczych lub wytycznych) – zgodnie z wpływającymi wnioskami od jednostek organiza</w:t>
            </w:r>
            <w:r w:rsidRPr="00E350D4">
              <w:rPr>
                <w:rFonts w:ascii="Calibri" w:hAnsi="Calibri" w:cs="Calibri"/>
                <w:color w:val="000000"/>
                <w:sz w:val="20"/>
                <w:szCs w:val="20"/>
              </w:rPr>
              <w:softHyphen/>
              <w:t>cyjnych, organizacji społecznych i osób fizycznych.</w:t>
            </w:r>
          </w:p>
          <w:p w:rsidR="004565D6" w:rsidRPr="00E350D4" w:rsidRDefault="004565D6" w:rsidP="00E350D4">
            <w:pPr>
              <w:snapToGrid w:val="0"/>
              <w:ind w:left="-62" w:right="34"/>
              <w:rPr>
                <w:rFonts w:ascii="Calibri" w:hAnsi="Calibri" w:cs="Calibri"/>
                <w:color w:val="000000"/>
                <w:sz w:val="20"/>
                <w:szCs w:val="20"/>
              </w:rPr>
            </w:pPr>
            <w:r w:rsidRPr="00E350D4">
              <w:rPr>
                <w:rFonts w:ascii="Calibri" w:hAnsi="Calibri" w:cs="Calibri"/>
                <w:color w:val="000000"/>
                <w:sz w:val="20"/>
                <w:szCs w:val="20"/>
              </w:rPr>
              <w:t xml:space="preserve">Wszystkie wpływające wnioski były szczegółowo analizowane przez pracowników Wydziału. </w:t>
            </w:r>
          </w:p>
          <w:p w:rsidR="004565D6" w:rsidRPr="00E350D4" w:rsidRDefault="004565D6" w:rsidP="00E350D4">
            <w:pPr>
              <w:snapToGrid w:val="0"/>
              <w:ind w:left="-62" w:right="34"/>
              <w:rPr>
                <w:rFonts w:ascii="Calibri" w:hAnsi="Calibri" w:cs="Calibri"/>
                <w:color w:val="000000"/>
                <w:sz w:val="20"/>
                <w:szCs w:val="20"/>
              </w:rPr>
            </w:pPr>
            <w:r w:rsidRPr="00E350D4">
              <w:rPr>
                <w:rFonts w:ascii="Calibri" w:hAnsi="Calibri" w:cs="Calibri"/>
                <w:color w:val="000000"/>
                <w:sz w:val="20"/>
                <w:szCs w:val="20"/>
              </w:rPr>
              <w:t xml:space="preserve">Wnioski podlegały rozpatrzeniu w toku wszczętego postępowania administracyjnego. Postępowania te kończyły się wydaniem </w:t>
            </w:r>
            <w:r w:rsidRPr="00E350D4">
              <w:rPr>
                <w:rFonts w:ascii="Calibri" w:hAnsi="Calibri" w:cs="Calibri"/>
                <w:color w:val="000000"/>
                <w:sz w:val="20"/>
                <w:szCs w:val="20"/>
              </w:rPr>
              <w:br/>
              <w:t xml:space="preserve">w sprawie decyzji, postanowienia lub opinii. Tam gdzie dopuszczają to </w:t>
            </w:r>
            <w:r w:rsidRPr="00E350D4">
              <w:rPr>
                <w:rFonts w:ascii="Calibri" w:hAnsi="Calibri" w:cs="Calibri"/>
                <w:color w:val="000000"/>
                <w:sz w:val="20"/>
                <w:szCs w:val="20"/>
              </w:rPr>
              <w:lastRenderedPageBreak/>
              <w:t>przepisy prawa sprawy załatwiane były również w trybie tzw. milczącej zgody.</w:t>
            </w:r>
          </w:p>
          <w:p w:rsidR="004565D6" w:rsidRPr="00E350D4" w:rsidRDefault="004565D6" w:rsidP="00E350D4">
            <w:pPr>
              <w:snapToGrid w:val="0"/>
              <w:ind w:left="-62" w:right="34"/>
              <w:rPr>
                <w:rFonts w:ascii="Calibri" w:hAnsi="Calibri" w:cs="Calibri"/>
                <w:color w:val="000000"/>
                <w:sz w:val="20"/>
                <w:szCs w:val="20"/>
              </w:rPr>
            </w:pPr>
            <w:r w:rsidRPr="00E350D4">
              <w:rPr>
                <w:rFonts w:ascii="Calibri" w:hAnsi="Calibri" w:cs="Calibri"/>
                <w:color w:val="000000"/>
                <w:sz w:val="20"/>
                <w:szCs w:val="20"/>
              </w:rPr>
              <w:t>W decyzjach derogacyjnych z zakresu ochrony gatunkowej oraz rezerwatowej określano szczegółowe warunki prowadzenia wnioskowanych działań, np. badań naukowych tak, aby ich realizacja nie wpływała negatywnie na właściwy stan ochrony poszczególnych gatunków lub cele ochrony przyrody rezerwatów.</w:t>
            </w:r>
          </w:p>
          <w:p w:rsidR="004565D6" w:rsidRPr="00E350D4" w:rsidRDefault="004565D6" w:rsidP="00E350D4">
            <w:pPr>
              <w:snapToGrid w:val="0"/>
              <w:ind w:left="-62" w:right="34"/>
              <w:rPr>
                <w:rFonts w:ascii="Calibri" w:hAnsi="Calibri" w:cs="Calibri"/>
                <w:color w:val="000000"/>
                <w:sz w:val="20"/>
                <w:szCs w:val="20"/>
              </w:rPr>
            </w:pPr>
            <w:r w:rsidRPr="00E350D4">
              <w:rPr>
                <w:rFonts w:ascii="Calibri" w:hAnsi="Calibri" w:cs="Calibri"/>
                <w:color w:val="000000"/>
                <w:sz w:val="20"/>
                <w:szCs w:val="20"/>
              </w:rPr>
              <w:t>W drodze sprzeciwu, a następnie decyzji o warunkach prowadzenia działań zapewniano przyjazną dla przyrody realizację działań melioracyjnych lub innych działań mogących zmienić warunki wodne lub wodno-glebowe.</w:t>
            </w:r>
          </w:p>
          <w:p w:rsidR="004565D6" w:rsidRPr="00E350D4" w:rsidRDefault="004565D6" w:rsidP="00E350D4">
            <w:pPr>
              <w:tabs>
                <w:tab w:val="left" w:pos="5987"/>
              </w:tabs>
              <w:snapToGrid w:val="0"/>
              <w:ind w:left="-65" w:right="34"/>
              <w:rPr>
                <w:rFonts w:ascii="Calibri" w:hAnsi="Calibri" w:cs="Calibri"/>
                <w:color w:val="000000"/>
                <w:sz w:val="20"/>
                <w:szCs w:val="20"/>
              </w:rPr>
            </w:pPr>
            <w:r w:rsidRPr="00E350D4">
              <w:rPr>
                <w:rFonts w:ascii="Calibri" w:hAnsi="Calibri" w:cs="Calibri"/>
                <w:color w:val="000000"/>
                <w:sz w:val="20"/>
                <w:szCs w:val="20"/>
              </w:rPr>
              <w:t>W drodze postanowień odmawiano akceptacji decyzji i dokumentów planistycznych z zakresu zagospodaro</w:t>
            </w:r>
            <w:r w:rsidRPr="00E350D4">
              <w:rPr>
                <w:rFonts w:ascii="Calibri" w:hAnsi="Calibri" w:cs="Calibri"/>
                <w:color w:val="000000"/>
                <w:sz w:val="20"/>
                <w:szCs w:val="20"/>
              </w:rPr>
              <w:softHyphen/>
              <w:t>wania przestrzennego, których zapisy i ustalenia naruszały zakazy obowiązu</w:t>
            </w:r>
            <w:r w:rsidRPr="00E350D4">
              <w:rPr>
                <w:rFonts w:ascii="Calibri" w:hAnsi="Calibri" w:cs="Calibri"/>
                <w:color w:val="000000"/>
                <w:sz w:val="20"/>
                <w:szCs w:val="20"/>
              </w:rPr>
              <w:softHyphen/>
              <w:t>jące w stosunku do parków krajobrazowych, obszarów chronionego krajobrazu lub mogły powodować naruszenie spójności i integralności obszarów Natura 2000.</w:t>
            </w:r>
          </w:p>
          <w:p w:rsidR="004565D6" w:rsidRPr="00E350D4" w:rsidRDefault="004565D6" w:rsidP="00E350D4">
            <w:pPr>
              <w:tabs>
                <w:tab w:val="left" w:pos="5846"/>
              </w:tabs>
              <w:snapToGrid w:val="0"/>
              <w:ind w:left="-65"/>
              <w:rPr>
                <w:rFonts w:ascii="Calibri" w:hAnsi="Calibri" w:cs="Calibri"/>
                <w:color w:val="000000"/>
                <w:sz w:val="20"/>
                <w:szCs w:val="20"/>
              </w:rPr>
            </w:pPr>
            <w:r w:rsidRPr="00E350D4">
              <w:rPr>
                <w:rFonts w:ascii="Calibri" w:hAnsi="Calibri" w:cs="Calibri"/>
                <w:color w:val="000000"/>
                <w:sz w:val="20"/>
                <w:szCs w:val="20"/>
              </w:rPr>
              <w:t>Podobnie w przypadku uzgodnień projektów decyzji na usuwanie drzew w pasie drogowym dróg publicznych – jeżeli prowadziły do uszczu</w:t>
            </w:r>
            <w:r w:rsidRPr="00E350D4">
              <w:rPr>
                <w:rFonts w:ascii="Calibri" w:hAnsi="Calibri" w:cs="Calibri"/>
                <w:color w:val="000000"/>
                <w:sz w:val="20"/>
                <w:szCs w:val="20"/>
              </w:rPr>
              <w:softHyphen/>
              <w:t>ple</w:t>
            </w:r>
            <w:r w:rsidRPr="00E350D4">
              <w:rPr>
                <w:rFonts w:ascii="Calibri" w:hAnsi="Calibri" w:cs="Calibri"/>
                <w:color w:val="000000"/>
                <w:sz w:val="20"/>
                <w:szCs w:val="20"/>
              </w:rPr>
              <w:softHyphen/>
              <w:t xml:space="preserve">nia wartości przyrodniczej i krajobrazowej alei przydrożnych. </w:t>
            </w:r>
          </w:p>
          <w:p w:rsidR="00F40960" w:rsidRPr="00E350D4" w:rsidRDefault="004565D6" w:rsidP="00E350D4">
            <w:pPr>
              <w:tabs>
                <w:tab w:val="left" w:pos="5987"/>
              </w:tabs>
              <w:snapToGrid w:val="0"/>
              <w:ind w:left="-65" w:right="175"/>
              <w:rPr>
                <w:rFonts w:ascii="Calibri" w:hAnsi="Calibri" w:cs="Calibri"/>
                <w:color w:val="000000"/>
                <w:sz w:val="20"/>
                <w:szCs w:val="20"/>
              </w:rPr>
            </w:pPr>
            <w:r w:rsidRPr="00E350D4">
              <w:rPr>
                <w:rFonts w:ascii="Calibri" w:hAnsi="Calibri" w:cs="Calibri"/>
                <w:color w:val="000000"/>
                <w:sz w:val="20"/>
                <w:szCs w:val="20"/>
              </w:rPr>
              <w:t>Wartość miernika została przekroczona (z wyjątkiem wydawanie uzgodnień decyzji, planów i studiów z zakresu zagospodarowania przestrzennego)  – w ciągu roku wpłynęło więcej wniosków niż zakładano, a co z tym związane, prowadzono więcej postępowań.</w:t>
            </w:r>
          </w:p>
        </w:tc>
      </w:tr>
      <w:tr w:rsidR="00E21A93" w:rsidRPr="00170B4F" w:rsidTr="00E350D4">
        <w:trPr>
          <w:trHeight w:val="583"/>
        </w:trPr>
        <w:tc>
          <w:tcPr>
            <w:tcW w:w="532" w:type="dxa"/>
            <w:tcBorders>
              <w:top w:val="single" w:sz="6" w:space="0" w:color="000000"/>
            </w:tcBorders>
            <w:shd w:val="clear" w:color="auto" w:fill="FFFFFF"/>
          </w:tcPr>
          <w:p w:rsidR="00E21A93" w:rsidRPr="00E350D4" w:rsidRDefault="00E21A93" w:rsidP="00E350D4">
            <w:pPr>
              <w:snapToGrid w:val="0"/>
              <w:rPr>
                <w:rFonts w:ascii="Calibri" w:hAnsi="Calibri" w:cs="Calibri"/>
                <w:color w:val="000000"/>
                <w:sz w:val="20"/>
                <w:szCs w:val="20"/>
              </w:rPr>
            </w:pPr>
            <w:r w:rsidRPr="00E350D4">
              <w:rPr>
                <w:rFonts w:ascii="Calibri" w:hAnsi="Calibri" w:cs="Calibri"/>
                <w:color w:val="000000"/>
                <w:sz w:val="20"/>
                <w:szCs w:val="20"/>
              </w:rPr>
              <w:lastRenderedPageBreak/>
              <w:t>4</w:t>
            </w:r>
          </w:p>
        </w:tc>
        <w:tc>
          <w:tcPr>
            <w:tcW w:w="1728" w:type="dxa"/>
            <w:tcBorders>
              <w:top w:val="single" w:sz="6" w:space="0" w:color="000000"/>
            </w:tcBorders>
            <w:shd w:val="clear" w:color="auto" w:fill="FFFFFF"/>
          </w:tcPr>
          <w:p w:rsidR="00E21A93" w:rsidRPr="00E350D4" w:rsidRDefault="00E21A93" w:rsidP="00E350D4">
            <w:pPr>
              <w:snapToGrid w:val="0"/>
              <w:ind w:left="-73" w:right="-92"/>
              <w:rPr>
                <w:rFonts w:ascii="Calibri" w:hAnsi="Calibri" w:cs="Calibri"/>
                <w:color w:val="000000"/>
                <w:sz w:val="20"/>
                <w:szCs w:val="20"/>
              </w:rPr>
            </w:pPr>
            <w:r w:rsidRPr="00E350D4">
              <w:rPr>
                <w:rFonts w:ascii="Calibri" w:hAnsi="Calibri" w:cs="Calibri"/>
                <w:color w:val="000000"/>
                <w:sz w:val="20"/>
                <w:szCs w:val="20"/>
              </w:rPr>
              <w:t>Zapobieganie zagrożeniom w środowisku, usuwanie ich skutków oraz ustalanie warunków korzystania ze środowiska.</w:t>
            </w:r>
          </w:p>
        </w:tc>
        <w:tc>
          <w:tcPr>
            <w:tcW w:w="1842" w:type="dxa"/>
            <w:tcBorders>
              <w:top w:val="single" w:sz="6" w:space="0" w:color="000000"/>
            </w:tcBorders>
            <w:shd w:val="clear" w:color="auto" w:fill="FFFFFF"/>
          </w:tcPr>
          <w:p w:rsidR="00E21A93" w:rsidRPr="00E350D4" w:rsidRDefault="00E21A93" w:rsidP="00E350D4">
            <w:pPr>
              <w:snapToGrid w:val="0"/>
              <w:ind w:left="-73" w:right="-92"/>
              <w:rPr>
                <w:rFonts w:ascii="Calibri" w:hAnsi="Calibri" w:cs="Calibri"/>
                <w:color w:val="000000"/>
                <w:sz w:val="20"/>
                <w:szCs w:val="20"/>
              </w:rPr>
            </w:pPr>
            <w:r w:rsidRPr="00E350D4">
              <w:rPr>
                <w:rFonts w:ascii="Calibri" w:hAnsi="Calibri" w:cs="Calibri"/>
                <w:color w:val="000000"/>
                <w:sz w:val="20"/>
                <w:szCs w:val="20"/>
              </w:rPr>
              <w:t>Liczba rozstrzygnięć administracyjnych dotyczących szkód w środowisku lub historycznych zanieczyszczeń powierzchni ziemi w danym roku do liczby spraw administra</w:t>
            </w:r>
            <w:r w:rsidRPr="00E350D4">
              <w:rPr>
                <w:rFonts w:ascii="Calibri" w:hAnsi="Calibri" w:cs="Calibri"/>
                <w:color w:val="000000"/>
                <w:sz w:val="20"/>
                <w:szCs w:val="20"/>
              </w:rPr>
              <w:softHyphen/>
              <w:t xml:space="preserve">cyjnych dotyczących </w:t>
            </w:r>
            <w:r w:rsidRPr="00E350D4">
              <w:rPr>
                <w:rFonts w:ascii="Calibri" w:hAnsi="Calibri" w:cs="Calibri"/>
                <w:color w:val="000000"/>
                <w:sz w:val="20"/>
                <w:szCs w:val="20"/>
              </w:rPr>
              <w:lastRenderedPageBreak/>
              <w:t>szkód w środowisku lub historycznych zanieczyszczeń powierzchni ziemi wszczętych w danym roku.</w:t>
            </w:r>
          </w:p>
        </w:tc>
        <w:tc>
          <w:tcPr>
            <w:tcW w:w="1560" w:type="dxa"/>
            <w:tcBorders>
              <w:top w:val="single" w:sz="6" w:space="0" w:color="000000"/>
            </w:tcBorders>
            <w:shd w:val="clear" w:color="auto" w:fill="FFFFFF"/>
          </w:tcPr>
          <w:p w:rsidR="00E21A93" w:rsidRPr="00E350D4" w:rsidRDefault="0004304D" w:rsidP="00E350D4">
            <w:pPr>
              <w:snapToGrid w:val="0"/>
              <w:rPr>
                <w:rFonts w:ascii="Calibri" w:hAnsi="Calibri" w:cs="Calibri"/>
                <w:color w:val="000000"/>
                <w:sz w:val="20"/>
                <w:szCs w:val="20"/>
              </w:rPr>
            </w:pPr>
            <w:r w:rsidRPr="00E350D4">
              <w:rPr>
                <w:rFonts w:ascii="Calibri" w:hAnsi="Calibri" w:cs="Calibri"/>
                <w:color w:val="000000"/>
                <w:sz w:val="20"/>
                <w:szCs w:val="20"/>
              </w:rPr>
              <w:lastRenderedPageBreak/>
              <w:t>83/85</w:t>
            </w:r>
          </w:p>
        </w:tc>
        <w:tc>
          <w:tcPr>
            <w:tcW w:w="1559" w:type="dxa"/>
            <w:tcBorders>
              <w:top w:val="single" w:sz="6" w:space="0" w:color="000000"/>
            </w:tcBorders>
            <w:shd w:val="clear" w:color="auto" w:fill="FFFFFF"/>
          </w:tcPr>
          <w:p w:rsidR="00E21A93" w:rsidRPr="00E350D4" w:rsidRDefault="0004304D" w:rsidP="00E350D4">
            <w:pPr>
              <w:snapToGrid w:val="0"/>
              <w:rPr>
                <w:rFonts w:ascii="Calibri" w:hAnsi="Calibri" w:cs="Calibri"/>
                <w:color w:val="000000"/>
                <w:sz w:val="20"/>
                <w:szCs w:val="20"/>
              </w:rPr>
            </w:pPr>
            <w:r w:rsidRPr="00E350D4">
              <w:rPr>
                <w:rFonts w:ascii="Calibri" w:hAnsi="Calibri" w:cs="Calibri"/>
                <w:color w:val="000000"/>
                <w:sz w:val="20"/>
                <w:szCs w:val="20"/>
              </w:rPr>
              <w:t>75/68</w:t>
            </w:r>
          </w:p>
        </w:tc>
        <w:tc>
          <w:tcPr>
            <w:tcW w:w="2126" w:type="dxa"/>
            <w:tcBorders>
              <w:top w:val="single" w:sz="6" w:space="0" w:color="000000"/>
              <w:bottom w:val="single" w:sz="6" w:space="0" w:color="000000"/>
            </w:tcBorders>
            <w:shd w:val="clear" w:color="auto" w:fill="FFFFFF"/>
          </w:tcPr>
          <w:p w:rsidR="00E21A93" w:rsidRPr="00E350D4" w:rsidRDefault="00E21A93" w:rsidP="00E350D4">
            <w:pPr>
              <w:ind w:left="-54" w:right="-88" w:firstLine="14"/>
              <w:rPr>
                <w:rFonts w:ascii="Calibri" w:hAnsi="Calibri" w:cs="Calibri"/>
                <w:color w:val="000000"/>
                <w:sz w:val="20"/>
                <w:szCs w:val="20"/>
              </w:rPr>
            </w:pPr>
            <w:r w:rsidRPr="00E350D4">
              <w:rPr>
                <w:rFonts w:ascii="Calibri" w:hAnsi="Calibri" w:cs="Calibri"/>
                <w:color w:val="000000"/>
                <w:sz w:val="20"/>
                <w:szCs w:val="20"/>
              </w:rPr>
              <w:t>Prowadzenie postępo</w:t>
            </w:r>
            <w:r w:rsidRPr="00E350D4">
              <w:rPr>
                <w:rFonts w:ascii="Calibri" w:hAnsi="Calibri" w:cs="Calibri"/>
                <w:color w:val="000000"/>
                <w:sz w:val="20"/>
                <w:szCs w:val="20"/>
              </w:rPr>
              <w:softHyphen/>
              <w:t>wań administracyjnych w sprawie uzgodnienia bądź nałożenia obowiąz</w:t>
            </w:r>
            <w:r w:rsidRPr="00E350D4">
              <w:rPr>
                <w:rFonts w:ascii="Calibri" w:hAnsi="Calibri" w:cs="Calibri"/>
                <w:color w:val="000000"/>
                <w:sz w:val="20"/>
                <w:szCs w:val="20"/>
              </w:rPr>
              <w:softHyphen/>
              <w:t>ku przeprowadzenia działań zapobiegawczych lub naprawczych szkody w środowisku.</w:t>
            </w:r>
          </w:p>
          <w:p w:rsidR="00E21A93" w:rsidRPr="00E350D4" w:rsidRDefault="00E21A93" w:rsidP="00E350D4">
            <w:pPr>
              <w:ind w:left="-54" w:right="-88" w:firstLine="14"/>
              <w:rPr>
                <w:rFonts w:ascii="Calibri" w:hAnsi="Calibri" w:cs="Calibri"/>
                <w:sz w:val="20"/>
                <w:szCs w:val="20"/>
              </w:rPr>
            </w:pPr>
            <w:r w:rsidRPr="00E350D4">
              <w:rPr>
                <w:rFonts w:ascii="Calibri" w:hAnsi="Calibri" w:cs="Calibri"/>
                <w:sz w:val="20"/>
                <w:szCs w:val="20"/>
              </w:rPr>
              <w:t xml:space="preserve">Prowadzenie postępowań </w:t>
            </w:r>
            <w:r w:rsidRPr="00E350D4">
              <w:rPr>
                <w:rFonts w:ascii="Calibri" w:hAnsi="Calibri" w:cs="Calibri"/>
                <w:sz w:val="20"/>
                <w:szCs w:val="20"/>
              </w:rPr>
              <w:lastRenderedPageBreak/>
              <w:t xml:space="preserve">administracyjnych w sprawie ustalenia planu </w:t>
            </w:r>
            <w:proofErr w:type="spellStart"/>
            <w:r w:rsidRPr="00E350D4">
              <w:rPr>
                <w:rFonts w:ascii="Calibri" w:hAnsi="Calibri" w:cs="Calibri"/>
                <w:sz w:val="20"/>
                <w:szCs w:val="20"/>
              </w:rPr>
              <w:t>remediacji</w:t>
            </w:r>
            <w:proofErr w:type="spellEnd"/>
            <w:r w:rsidRPr="00E350D4">
              <w:rPr>
                <w:rFonts w:ascii="Calibri" w:hAnsi="Calibri" w:cs="Calibri"/>
                <w:sz w:val="20"/>
                <w:szCs w:val="20"/>
              </w:rPr>
              <w:t xml:space="preserve"> historycznego zanieczyszczenia powierzchni ziemi lub nałożenia obowiązku przeprowadzenia </w:t>
            </w:r>
            <w:proofErr w:type="spellStart"/>
            <w:r w:rsidRPr="00E350D4">
              <w:rPr>
                <w:rFonts w:ascii="Calibri" w:hAnsi="Calibri" w:cs="Calibri"/>
                <w:sz w:val="20"/>
                <w:szCs w:val="20"/>
              </w:rPr>
              <w:t>remediacji</w:t>
            </w:r>
            <w:proofErr w:type="spellEnd"/>
            <w:r w:rsidR="004E6802" w:rsidRPr="00E350D4">
              <w:rPr>
                <w:rFonts w:ascii="Calibri" w:hAnsi="Calibri" w:cs="Calibri"/>
                <w:sz w:val="20"/>
                <w:szCs w:val="20"/>
              </w:rPr>
              <w:t>.</w:t>
            </w:r>
          </w:p>
          <w:p w:rsidR="004E6802" w:rsidRPr="00E350D4" w:rsidRDefault="004E6802" w:rsidP="00E350D4">
            <w:pPr>
              <w:ind w:left="-54" w:right="-88" w:firstLine="14"/>
              <w:rPr>
                <w:rFonts w:ascii="Calibri" w:hAnsi="Calibri" w:cs="Calibri"/>
                <w:strike/>
                <w:color w:val="000000"/>
                <w:sz w:val="20"/>
                <w:szCs w:val="20"/>
              </w:rPr>
            </w:pPr>
            <w:r w:rsidRPr="00E350D4">
              <w:rPr>
                <w:rFonts w:ascii="Calibri" w:hAnsi="Calibri" w:cs="Calibri"/>
                <w:sz w:val="20"/>
                <w:szCs w:val="20"/>
              </w:rPr>
              <w:t>Prowadzenie postępowań w sprawie wpisu do rejestru informacji o potencjalnym historycznym zanieczyszczeniu powierzchni ziemi oraz w sprawie wykreślenia wpisu z rejestru, jeżeli nie potwierdzono historycznego zanieczyszczenia powierzchni ziemi.</w:t>
            </w:r>
          </w:p>
        </w:tc>
        <w:tc>
          <w:tcPr>
            <w:tcW w:w="6237" w:type="dxa"/>
            <w:tcBorders>
              <w:top w:val="single" w:sz="6" w:space="0" w:color="000000"/>
            </w:tcBorders>
            <w:shd w:val="clear" w:color="auto" w:fill="FFFFFF"/>
          </w:tcPr>
          <w:p w:rsidR="00E21A93" w:rsidRPr="00E350D4" w:rsidRDefault="00E21A93" w:rsidP="00E350D4">
            <w:pPr>
              <w:suppressAutoHyphens w:val="0"/>
              <w:rPr>
                <w:rFonts w:ascii="Calibri" w:hAnsi="Calibri" w:cs="Calibri"/>
                <w:sz w:val="20"/>
                <w:szCs w:val="20"/>
                <w:lang w:eastAsia="pl-PL"/>
              </w:rPr>
            </w:pPr>
          </w:p>
          <w:p w:rsidR="00335ED4" w:rsidRPr="00E350D4" w:rsidRDefault="00335ED4" w:rsidP="00E350D4">
            <w:pPr>
              <w:suppressAutoHyphens w:val="0"/>
              <w:rPr>
                <w:rFonts w:ascii="Calibri" w:hAnsi="Calibri" w:cs="Calibri"/>
                <w:sz w:val="20"/>
                <w:szCs w:val="20"/>
                <w:lang w:eastAsia="pl-PL"/>
              </w:rPr>
            </w:pPr>
            <w:r w:rsidRPr="00E350D4">
              <w:rPr>
                <w:rFonts w:ascii="Calibri" w:hAnsi="Calibri" w:cs="Calibri"/>
                <w:sz w:val="20"/>
                <w:szCs w:val="20"/>
                <w:lang w:eastAsia="pl-PL"/>
              </w:rPr>
              <w:t xml:space="preserve">Wszystkie zgłoszenia dotyczące zagrożeń w środowisku były szczegółowo analizowane przez pracowników merytorycznych. Cześć zgłoszeń, w uzasadnionych przypadkach była przekazywana innym właściwym w sprawie organom. Część zaś, spełniająca warunki do zastosowania ustawy </w:t>
            </w:r>
            <w:r w:rsidRPr="00E350D4">
              <w:rPr>
                <w:rFonts w:ascii="Calibri" w:hAnsi="Calibri" w:cs="Calibri"/>
                <w:i/>
                <w:sz w:val="20"/>
                <w:szCs w:val="20"/>
                <w:lang w:eastAsia="pl-PL"/>
              </w:rPr>
              <w:t>o zapobieganiu szkodom w środowisku i ich naprawie</w:t>
            </w:r>
            <w:r w:rsidRPr="00E350D4">
              <w:rPr>
                <w:rFonts w:ascii="Calibri" w:hAnsi="Calibri" w:cs="Calibri"/>
                <w:sz w:val="20"/>
                <w:szCs w:val="20"/>
                <w:lang w:eastAsia="pl-PL"/>
              </w:rPr>
              <w:t xml:space="preserve">, podlegała rozpatrzeniu w trybie wszczętego postępowania administracyjnego. Postępowania te kończyły się wydaniem decyzji  w sprawie uzgodnienia/nałożenia obowiązku przeprowadzenia działań zapobiegawczych/naprawczych. </w:t>
            </w:r>
            <w:r w:rsidRPr="00E350D4">
              <w:rPr>
                <w:rFonts w:ascii="Calibri" w:hAnsi="Calibri" w:cs="Calibri"/>
                <w:sz w:val="20"/>
                <w:szCs w:val="20"/>
                <w:lang w:eastAsia="pl-PL"/>
              </w:rPr>
              <w:br/>
            </w:r>
            <w:r w:rsidRPr="00E350D4">
              <w:rPr>
                <w:rFonts w:ascii="Calibri" w:hAnsi="Calibri" w:cs="Calibri"/>
                <w:sz w:val="20"/>
                <w:szCs w:val="20"/>
                <w:lang w:eastAsia="pl-PL"/>
              </w:rPr>
              <w:lastRenderedPageBreak/>
              <w:t>W decyzjach określano szczegółowe warunki prowadzenia tych działań tak, aby  w ich następstwie zapobiec wystąpieniu szkody w środowisku lub ją naprawić.</w:t>
            </w:r>
          </w:p>
          <w:p w:rsidR="00335ED4" w:rsidRPr="00E350D4" w:rsidRDefault="00335ED4" w:rsidP="00E350D4">
            <w:pPr>
              <w:suppressAutoHyphens w:val="0"/>
              <w:rPr>
                <w:rFonts w:ascii="Calibri" w:hAnsi="Calibri" w:cs="Calibri"/>
                <w:sz w:val="20"/>
                <w:szCs w:val="20"/>
                <w:lang w:eastAsia="pl-PL"/>
              </w:rPr>
            </w:pPr>
            <w:r w:rsidRPr="00E350D4">
              <w:rPr>
                <w:rFonts w:ascii="Calibri" w:hAnsi="Calibri" w:cs="Calibri"/>
                <w:sz w:val="20"/>
                <w:szCs w:val="20"/>
                <w:lang w:eastAsia="pl-PL"/>
              </w:rPr>
              <w:t xml:space="preserve">Podobnie było w przypadku historycznych zanieczyszczeń powierzchni ziemi. Wydane decyzje określały szczegółowy sposób prowadzenia </w:t>
            </w:r>
            <w:proofErr w:type="spellStart"/>
            <w:r w:rsidRPr="00E350D4">
              <w:rPr>
                <w:rFonts w:ascii="Calibri" w:hAnsi="Calibri" w:cs="Calibri"/>
                <w:sz w:val="20"/>
                <w:szCs w:val="20"/>
                <w:lang w:eastAsia="pl-PL"/>
              </w:rPr>
              <w:t>remediacji</w:t>
            </w:r>
            <w:proofErr w:type="spellEnd"/>
            <w:r w:rsidRPr="00E350D4">
              <w:rPr>
                <w:rFonts w:ascii="Calibri" w:hAnsi="Calibri" w:cs="Calibri"/>
                <w:sz w:val="20"/>
                <w:szCs w:val="20"/>
                <w:lang w:eastAsia="pl-PL"/>
              </w:rPr>
              <w:t>, tak aby w jej następstwie doprowadzić do usunięcia lub zmniejszenia ilości substancji powodujących ryzyko zanieczyszczenia w glebie i ziemi. Wydane decyzje dotyczyły także obowiązku przeprowadzenia badań powierzchni ziemi w celu potwierdzenia lub wykluczenia występowania historycznego zanieczyszczenia. Na podstawie wykonanych badań możliwe było podjęcie decyzji co do konieczności zanieczyszczenia ze środowiska gruntowego.</w:t>
            </w:r>
          </w:p>
          <w:p w:rsidR="00E21A93" w:rsidRPr="00E350D4" w:rsidRDefault="00335ED4" w:rsidP="00E350D4">
            <w:pPr>
              <w:suppressAutoHyphens w:val="0"/>
              <w:rPr>
                <w:rFonts w:ascii="Calibri" w:hAnsi="Calibri" w:cs="Calibri"/>
                <w:color w:val="000000"/>
                <w:sz w:val="20"/>
                <w:szCs w:val="20"/>
              </w:rPr>
            </w:pPr>
            <w:r w:rsidRPr="00E350D4">
              <w:rPr>
                <w:rFonts w:ascii="Calibri" w:hAnsi="Calibri" w:cs="Calibri"/>
                <w:sz w:val="20"/>
                <w:szCs w:val="20"/>
                <w:lang w:eastAsia="pl-PL"/>
              </w:rPr>
              <w:t xml:space="preserve">Realizacja celu polegała również na prowadzeniu postępowań w sprawie wpisu do rejestru historycznych zanieczyszczeń powierzchni ziemi informacji o potencjalnym historycznym zanieczyszczeniu na działkach wskazanych w wykazach starostów. Umieszczenie takiej działki w rejestrze (wpis do rejestru dokonywany jest decyzją administracyjną) skutkuje obowiązkiem wykonanie badań, a w przypadku stwierdzenia zanieczyszczenia – obowiązkiem podjęcia </w:t>
            </w:r>
            <w:proofErr w:type="spellStart"/>
            <w:r w:rsidRPr="00E350D4">
              <w:rPr>
                <w:rFonts w:ascii="Calibri" w:hAnsi="Calibri" w:cs="Calibri"/>
                <w:sz w:val="20"/>
                <w:szCs w:val="20"/>
                <w:lang w:eastAsia="pl-PL"/>
              </w:rPr>
              <w:t>remediacji</w:t>
            </w:r>
            <w:proofErr w:type="spellEnd"/>
            <w:r w:rsidRPr="00E350D4">
              <w:rPr>
                <w:rFonts w:ascii="Calibri" w:hAnsi="Calibri" w:cs="Calibri"/>
                <w:sz w:val="20"/>
                <w:szCs w:val="20"/>
                <w:lang w:eastAsia="pl-PL"/>
              </w:rPr>
              <w:t>. Wszystkie zatem zadania służą realizacji celu.</w:t>
            </w:r>
          </w:p>
        </w:tc>
      </w:tr>
      <w:tr w:rsidR="00E21A93" w:rsidRPr="00170B4F" w:rsidTr="00E350D4">
        <w:trPr>
          <w:trHeight w:val="1037"/>
        </w:trPr>
        <w:tc>
          <w:tcPr>
            <w:tcW w:w="532" w:type="dxa"/>
            <w:tcBorders>
              <w:top w:val="single" w:sz="6" w:space="0" w:color="000000"/>
            </w:tcBorders>
            <w:shd w:val="clear" w:color="auto" w:fill="FFFFFF"/>
          </w:tcPr>
          <w:p w:rsidR="00E21A93" w:rsidRPr="00E350D4" w:rsidRDefault="00E21A93" w:rsidP="00E350D4">
            <w:pPr>
              <w:snapToGrid w:val="0"/>
              <w:rPr>
                <w:rFonts w:ascii="Calibri" w:hAnsi="Calibri" w:cs="Calibri"/>
                <w:color w:val="000000"/>
                <w:sz w:val="20"/>
                <w:szCs w:val="20"/>
              </w:rPr>
            </w:pPr>
            <w:r w:rsidRPr="00E350D4">
              <w:rPr>
                <w:rFonts w:ascii="Calibri" w:hAnsi="Calibri" w:cs="Calibri"/>
                <w:color w:val="000000"/>
                <w:sz w:val="20"/>
                <w:szCs w:val="20"/>
              </w:rPr>
              <w:lastRenderedPageBreak/>
              <w:t>5</w:t>
            </w:r>
          </w:p>
        </w:tc>
        <w:tc>
          <w:tcPr>
            <w:tcW w:w="1728" w:type="dxa"/>
            <w:tcBorders>
              <w:top w:val="single" w:sz="6" w:space="0" w:color="000000"/>
            </w:tcBorders>
            <w:shd w:val="clear" w:color="auto" w:fill="FFFFFF"/>
          </w:tcPr>
          <w:p w:rsidR="00E21A93" w:rsidRPr="00E350D4" w:rsidRDefault="00E21A93" w:rsidP="00E350D4">
            <w:pPr>
              <w:snapToGrid w:val="0"/>
              <w:ind w:left="-73" w:right="-92"/>
              <w:rPr>
                <w:rFonts w:ascii="Calibri" w:hAnsi="Calibri" w:cs="Calibri"/>
                <w:color w:val="000000"/>
                <w:sz w:val="20"/>
                <w:szCs w:val="20"/>
              </w:rPr>
            </w:pPr>
            <w:r w:rsidRPr="00E350D4">
              <w:rPr>
                <w:rFonts w:ascii="Calibri" w:hAnsi="Calibri" w:cs="Calibri"/>
                <w:color w:val="000000"/>
                <w:sz w:val="20"/>
                <w:szCs w:val="20"/>
              </w:rPr>
              <w:t>Zapewnienie społeczeństwu dostępu do informacji o środowisku i informacji publicznej</w:t>
            </w:r>
          </w:p>
        </w:tc>
        <w:tc>
          <w:tcPr>
            <w:tcW w:w="1842" w:type="dxa"/>
            <w:tcBorders>
              <w:top w:val="single" w:sz="6" w:space="0" w:color="000000"/>
            </w:tcBorders>
            <w:shd w:val="clear" w:color="auto" w:fill="FFFFFF"/>
          </w:tcPr>
          <w:p w:rsidR="00E21A93" w:rsidRPr="00E350D4" w:rsidRDefault="00E21A93" w:rsidP="00E350D4">
            <w:pPr>
              <w:snapToGrid w:val="0"/>
              <w:ind w:left="-73" w:right="-92"/>
              <w:rPr>
                <w:rFonts w:ascii="Calibri" w:hAnsi="Calibri" w:cs="Calibri"/>
                <w:color w:val="000000"/>
                <w:sz w:val="20"/>
                <w:szCs w:val="20"/>
              </w:rPr>
            </w:pPr>
            <w:r w:rsidRPr="00E350D4">
              <w:rPr>
                <w:rFonts w:ascii="Calibri" w:hAnsi="Calibri" w:cs="Calibri"/>
                <w:color w:val="000000"/>
                <w:sz w:val="20"/>
                <w:szCs w:val="20"/>
              </w:rPr>
              <w:t>Stopień zrealizowanych w terminie wniosków o udostępnianie informacji o środowisku i jego ochronie.</w:t>
            </w:r>
          </w:p>
          <w:p w:rsidR="00E21A93" w:rsidRPr="00E350D4" w:rsidRDefault="00E21A93" w:rsidP="00E350D4">
            <w:pPr>
              <w:snapToGrid w:val="0"/>
              <w:ind w:left="-73" w:right="-92"/>
              <w:rPr>
                <w:rFonts w:ascii="Calibri" w:hAnsi="Calibri" w:cs="Calibri"/>
                <w:color w:val="000000"/>
                <w:sz w:val="20"/>
                <w:szCs w:val="20"/>
              </w:rPr>
            </w:pPr>
          </w:p>
          <w:p w:rsidR="00E21A93" w:rsidRPr="00E350D4" w:rsidRDefault="00E21A93" w:rsidP="00E350D4">
            <w:pPr>
              <w:snapToGrid w:val="0"/>
              <w:ind w:left="-73" w:right="-92"/>
              <w:rPr>
                <w:rFonts w:ascii="Calibri" w:hAnsi="Calibri" w:cs="Calibri"/>
                <w:color w:val="000000"/>
                <w:sz w:val="20"/>
                <w:szCs w:val="20"/>
              </w:rPr>
            </w:pPr>
            <w:r w:rsidRPr="00E350D4">
              <w:rPr>
                <w:rFonts w:ascii="Calibri" w:hAnsi="Calibri" w:cs="Calibri"/>
                <w:color w:val="000000"/>
                <w:sz w:val="20"/>
                <w:szCs w:val="20"/>
              </w:rPr>
              <w:t xml:space="preserve">Liczba udostępnionych w </w:t>
            </w:r>
            <w:r w:rsidRPr="00E350D4">
              <w:rPr>
                <w:rFonts w:ascii="Calibri" w:hAnsi="Calibri" w:cs="Calibri"/>
                <w:color w:val="000000"/>
                <w:sz w:val="20"/>
                <w:szCs w:val="20"/>
              </w:rPr>
              <w:lastRenderedPageBreak/>
              <w:t>danym roku informacji.</w:t>
            </w:r>
          </w:p>
        </w:tc>
        <w:tc>
          <w:tcPr>
            <w:tcW w:w="1560" w:type="dxa"/>
            <w:tcBorders>
              <w:top w:val="single" w:sz="6" w:space="0" w:color="000000"/>
            </w:tcBorders>
            <w:shd w:val="clear" w:color="auto" w:fill="FFFFFF"/>
          </w:tcPr>
          <w:p w:rsidR="00E21A93" w:rsidRPr="00E350D4" w:rsidRDefault="00E21A93" w:rsidP="00E350D4">
            <w:pPr>
              <w:snapToGrid w:val="0"/>
              <w:rPr>
                <w:rFonts w:ascii="Calibri" w:hAnsi="Calibri" w:cs="Calibri"/>
                <w:color w:val="000000"/>
                <w:sz w:val="20"/>
                <w:szCs w:val="20"/>
              </w:rPr>
            </w:pPr>
            <w:r w:rsidRPr="00E350D4">
              <w:rPr>
                <w:rFonts w:ascii="Calibri" w:hAnsi="Calibri" w:cs="Calibri"/>
                <w:color w:val="000000"/>
                <w:sz w:val="20"/>
                <w:szCs w:val="20"/>
              </w:rPr>
              <w:lastRenderedPageBreak/>
              <w:t>2870/2870</w:t>
            </w:r>
          </w:p>
        </w:tc>
        <w:tc>
          <w:tcPr>
            <w:tcW w:w="1559" w:type="dxa"/>
            <w:tcBorders>
              <w:top w:val="single" w:sz="6" w:space="0" w:color="000000"/>
            </w:tcBorders>
            <w:shd w:val="clear" w:color="auto" w:fill="FFFFFF"/>
          </w:tcPr>
          <w:p w:rsidR="00E21A93" w:rsidRPr="00E350D4" w:rsidRDefault="00E21A93" w:rsidP="00E350D4">
            <w:pPr>
              <w:snapToGrid w:val="0"/>
              <w:rPr>
                <w:rFonts w:ascii="Calibri" w:hAnsi="Calibri" w:cs="Calibri"/>
                <w:color w:val="000000"/>
                <w:sz w:val="20"/>
                <w:szCs w:val="20"/>
              </w:rPr>
            </w:pPr>
            <w:r w:rsidRPr="00E350D4">
              <w:rPr>
                <w:rFonts w:ascii="Calibri" w:hAnsi="Calibri" w:cs="Calibri"/>
                <w:color w:val="000000"/>
                <w:sz w:val="20"/>
                <w:szCs w:val="20"/>
              </w:rPr>
              <w:t>3668/3668</w:t>
            </w:r>
          </w:p>
        </w:tc>
        <w:tc>
          <w:tcPr>
            <w:tcW w:w="2126" w:type="dxa"/>
            <w:tcBorders>
              <w:top w:val="single" w:sz="6" w:space="0" w:color="000000"/>
            </w:tcBorders>
            <w:shd w:val="clear" w:color="auto" w:fill="FFFFFF"/>
          </w:tcPr>
          <w:p w:rsidR="00E21A93" w:rsidRPr="00E350D4" w:rsidRDefault="00E21A93" w:rsidP="00E350D4">
            <w:pPr>
              <w:snapToGrid w:val="0"/>
              <w:rPr>
                <w:rFonts w:ascii="Calibri" w:hAnsi="Calibri" w:cs="Calibri"/>
                <w:color w:val="000000"/>
                <w:sz w:val="20"/>
                <w:szCs w:val="20"/>
              </w:rPr>
            </w:pPr>
            <w:r w:rsidRPr="00E350D4">
              <w:rPr>
                <w:rFonts w:ascii="Calibri" w:hAnsi="Calibri" w:cs="Calibri"/>
                <w:color w:val="000000"/>
                <w:sz w:val="20"/>
                <w:szCs w:val="20"/>
              </w:rPr>
              <w:t xml:space="preserve">Udostępnianie na wniosek informacji o środowisku </w:t>
            </w:r>
            <w:r w:rsidR="004E6802" w:rsidRPr="00E350D4">
              <w:rPr>
                <w:rFonts w:ascii="Calibri" w:hAnsi="Calibri" w:cs="Calibri"/>
                <w:color w:val="000000"/>
                <w:sz w:val="20"/>
                <w:szCs w:val="20"/>
              </w:rPr>
              <w:t>i</w:t>
            </w:r>
            <w:r w:rsidRPr="00E350D4">
              <w:rPr>
                <w:rFonts w:ascii="Calibri" w:hAnsi="Calibri" w:cs="Calibri"/>
                <w:color w:val="000000"/>
                <w:sz w:val="20"/>
                <w:szCs w:val="20"/>
              </w:rPr>
              <w:t xml:space="preserve"> jego ochronie oraz informacji publicznej.  Prowadzenie publicznie dostępnego wykazu danych o dokumentach zawierających informacje o </w:t>
            </w:r>
            <w:r w:rsidRPr="00E350D4">
              <w:rPr>
                <w:rFonts w:ascii="Calibri" w:hAnsi="Calibri" w:cs="Calibri"/>
                <w:color w:val="000000"/>
                <w:sz w:val="20"/>
                <w:szCs w:val="20"/>
              </w:rPr>
              <w:lastRenderedPageBreak/>
              <w:t xml:space="preserve">środowisku i jego ochronie. </w:t>
            </w:r>
          </w:p>
        </w:tc>
        <w:tc>
          <w:tcPr>
            <w:tcW w:w="6237" w:type="dxa"/>
            <w:tcBorders>
              <w:top w:val="single" w:sz="6" w:space="0" w:color="000000"/>
            </w:tcBorders>
            <w:shd w:val="clear" w:color="auto" w:fill="FFFFFF"/>
          </w:tcPr>
          <w:p w:rsidR="00335ED4" w:rsidRPr="00E350D4" w:rsidRDefault="00335ED4" w:rsidP="00E350D4">
            <w:pPr>
              <w:snapToGrid w:val="0"/>
              <w:ind w:right="-47"/>
              <w:rPr>
                <w:rFonts w:ascii="Calibri" w:hAnsi="Calibri" w:cs="Calibri"/>
                <w:color w:val="000000"/>
                <w:sz w:val="20"/>
                <w:szCs w:val="20"/>
              </w:rPr>
            </w:pPr>
            <w:r w:rsidRPr="00E350D4">
              <w:rPr>
                <w:rFonts w:ascii="Calibri" w:hAnsi="Calibri" w:cs="Calibri"/>
                <w:color w:val="000000"/>
                <w:sz w:val="20"/>
                <w:szCs w:val="20"/>
              </w:rPr>
              <w:lastRenderedPageBreak/>
              <w:t>Wpływające do jednostki wnioski były weryfikowane przez pracowników merytorycznych bez zbędnej zwłoki. Pozwoliło to na możliwie szybkie wezwanie wnioskodawcy do uzupełnienia wniosku. Ponadto wiedza o zakresie merytorycznym wniosku</w:t>
            </w:r>
            <w:r w:rsidR="006F4EC7">
              <w:rPr>
                <w:rFonts w:ascii="Calibri" w:hAnsi="Calibri" w:cs="Calibri"/>
                <w:color w:val="000000"/>
                <w:sz w:val="20"/>
                <w:szCs w:val="20"/>
              </w:rPr>
              <w:t xml:space="preserve"> pozwoliła na podjęcie szybkiej</w:t>
            </w:r>
            <w:r w:rsidR="000B70F5" w:rsidRPr="00E350D4">
              <w:rPr>
                <w:rFonts w:ascii="Calibri" w:hAnsi="Calibri" w:cs="Calibri"/>
                <w:color w:val="000000"/>
                <w:sz w:val="20"/>
                <w:szCs w:val="20"/>
              </w:rPr>
              <w:t xml:space="preserve"> </w:t>
            </w:r>
            <w:r w:rsidRPr="00E350D4">
              <w:rPr>
                <w:rFonts w:ascii="Calibri" w:hAnsi="Calibri" w:cs="Calibri"/>
                <w:color w:val="000000"/>
                <w:sz w:val="20"/>
                <w:szCs w:val="20"/>
              </w:rPr>
              <w:t>i skutecznej komunikacji wewnętrznej z innymi komórkami merytorycznymi RDOŚ w Olsztynie. Działania te przełożyły się</w:t>
            </w:r>
            <w:r w:rsidR="000B70F5" w:rsidRPr="00E350D4">
              <w:rPr>
                <w:rFonts w:ascii="Calibri" w:hAnsi="Calibri" w:cs="Calibri"/>
                <w:color w:val="000000"/>
                <w:sz w:val="20"/>
                <w:szCs w:val="20"/>
              </w:rPr>
              <w:t xml:space="preserve"> </w:t>
            </w:r>
            <w:r w:rsidRPr="00E350D4">
              <w:rPr>
                <w:rFonts w:ascii="Calibri" w:hAnsi="Calibri" w:cs="Calibri"/>
                <w:color w:val="000000"/>
                <w:sz w:val="20"/>
                <w:szCs w:val="20"/>
              </w:rPr>
              <w:t>w większości na udostępnienie informacji w terminie miesiąca od wpłynięcia wniosku. Ponadto wprowadzano informacje</w:t>
            </w:r>
            <w:r w:rsidR="000B70F5" w:rsidRPr="00E350D4">
              <w:rPr>
                <w:rFonts w:ascii="Calibri" w:hAnsi="Calibri" w:cs="Calibri"/>
                <w:color w:val="000000"/>
                <w:sz w:val="20"/>
                <w:szCs w:val="20"/>
              </w:rPr>
              <w:t xml:space="preserve"> </w:t>
            </w:r>
            <w:r w:rsidRPr="00E350D4">
              <w:rPr>
                <w:rFonts w:ascii="Calibri" w:hAnsi="Calibri" w:cs="Calibri"/>
                <w:color w:val="000000"/>
                <w:sz w:val="20"/>
                <w:szCs w:val="20"/>
              </w:rPr>
              <w:t xml:space="preserve">o dokumentach do PDWD niezwłocznie od momentu ich otrzymania od pracownika merytorycznego innej komórki organizacyjnej. Na bieżąco aktualizowano informacje zawarte </w:t>
            </w:r>
            <w:r w:rsidRPr="00E350D4">
              <w:rPr>
                <w:rFonts w:ascii="Calibri" w:hAnsi="Calibri" w:cs="Calibri"/>
                <w:color w:val="000000"/>
                <w:sz w:val="20"/>
                <w:szCs w:val="20"/>
              </w:rPr>
              <w:br/>
              <w:t xml:space="preserve">w serwisie oraz BIP RDOŚ w Olsztynie. Wprowadzenie informacji </w:t>
            </w:r>
            <w:r w:rsidRPr="00E350D4">
              <w:rPr>
                <w:rFonts w:ascii="Calibri" w:hAnsi="Calibri" w:cs="Calibri"/>
                <w:color w:val="000000"/>
                <w:sz w:val="20"/>
                <w:szCs w:val="20"/>
              </w:rPr>
              <w:lastRenderedPageBreak/>
              <w:t xml:space="preserve">(obwieszczenia, zarządzenia) następowało niezwłocznie w stosunku do dnia otrzymania dokumentu od pracownika merytorycznego innej komórki organizacyjnej. </w:t>
            </w:r>
          </w:p>
          <w:p w:rsidR="00E21A93" w:rsidRPr="00E350D4" w:rsidRDefault="00335ED4" w:rsidP="00E350D4">
            <w:pPr>
              <w:suppressAutoHyphens w:val="0"/>
              <w:rPr>
                <w:rFonts w:ascii="Calibri" w:hAnsi="Calibri" w:cs="Calibri"/>
                <w:color w:val="000000"/>
                <w:sz w:val="20"/>
                <w:szCs w:val="20"/>
              </w:rPr>
            </w:pPr>
            <w:r w:rsidRPr="00E350D4">
              <w:rPr>
                <w:rFonts w:ascii="Calibri" w:hAnsi="Calibri" w:cs="Calibri"/>
                <w:sz w:val="20"/>
                <w:szCs w:val="20"/>
                <w:lang w:eastAsia="pl-PL"/>
              </w:rPr>
              <w:t>Wszystkie zatem zadania służą realizacji celu.</w:t>
            </w:r>
          </w:p>
        </w:tc>
      </w:tr>
    </w:tbl>
    <w:p w:rsidR="006F4EC7" w:rsidRDefault="006F4EC7" w:rsidP="00E350D4">
      <w:pPr>
        <w:rPr>
          <w:rFonts w:ascii="Arial" w:hAnsi="Arial" w:cs="Arial"/>
          <w:color w:val="000000"/>
          <w:sz w:val="18"/>
          <w:szCs w:val="18"/>
        </w:rPr>
      </w:pPr>
    </w:p>
    <w:p w:rsidR="00E350D4" w:rsidRDefault="00E350D4" w:rsidP="00E350D4">
      <w:pPr>
        <w:rPr>
          <w:rFonts w:ascii="Arial" w:hAnsi="Arial" w:cs="Arial"/>
          <w:color w:val="000000"/>
          <w:sz w:val="18"/>
          <w:szCs w:val="18"/>
        </w:rPr>
      </w:pPr>
      <w:bookmarkStart w:id="0" w:name="_GoBack"/>
      <w:bookmarkEnd w:id="0"/>
      <w:r>
        <w:rPr>
          <w:rFonts w:ascii="Arial" w:hAnsi="Arial" w:cs="Arial"/>
          <w:color w:val="000000"/>
          <w:sz w:val="18"/>
          <w:szCs w:val="18"/>
        </w:rPr>
        <w:t>Olsztyn, 23 stycznia 2020</w:t>
      </w:r>
      <w:r>
        <w:rPr>
          <w:rFonts w:ascii="Arial" w:hAnsi="Arial" w:cs="Arial"/>
          <w:color w:val="000000"/>
          <w:sz w:val="18"/>
          <w:szCs w:val="18"/>
        </w:rPr>
        <w:t xml:space="preserve"> r.</w:t>
      </w:r>
    </w:p>
    <w:p w:rsidR="00E350D4" w:rsidRDefault="00E350D4" w:rsidP="00E350D4">
      <w:pPr>
        <w:rPr>
          <w:rFonts w:ascii="Arial" w:hAnsi="Arial" w:cs="Arial"/>
          <w:color w:val="000000"/>
          <w:sz w:val="18"/>
          <w:szCs w:val="18"/>
        </w:rPr>
      </w:pPr>
    </w:p>
    <w:p w:rsidR="00E350D4" w:rsidRPr="008F1A61" w:rsidRDefault="00E350D4" w:rsidP="00E350D4">
      <w:pPr>
        <w:rPr>
          <w:rFonts w:ascii="Arial" w:hAnsi="Arial" w:cs="Arial"/>
          <w:color w:val="000000"/>
          <w:sz w:val="18"/>
          <w:szCs w:val="18"/>
        </w:rPr>
      </w:pPr>
      <w:r w:rsidRPr="008F1A61">
        <w:rPr>
          <w:rFonts w:ascii="Arial" w:hAnsi="Arial" w:cs="Arial"/>
          <w:color w:val="000000"/>
          <w:sz w:val="18"/>
          <w:szCs w:val="18"/>
        </w:rPr>
        <w:t>Sporządziła:</w:t>
      </w:r>
    </w:p>
    <w:p w:rsidR="00E350D4" w:rsidRDefault="00E350D4" w:rsidP="00E350D4">
      <w:pPr>
        <w:rPr>
          <w:rFonts w:ascii="Arial" w:hAnsi="Arial" w:cs="Arial"/>
          <w:color w:val="000000"/>
          <w:sz w:val="18"/>
          <w:szCs w:val="18"/>
        </w:rPr>
      </w:pPr>
      <w:r>
        <w:rPr>
          <w:rFonts w:ascii="Arial" w:hAnsi="Arial" w:cs="Arial"/>
          <w:color w:val="000000"/>
          <w:sz w:val="18"/>
          <w:szCs w:val="18"/>
        </w:rPr>
        <w:t>Naczelnik Wydziału</w:t>
      </w:r>
    </w:p>
    <w:p w:rsidR="00E350D4" w:rsidRDefault="00E350D4" w:rsidP="00E350D4">
      <w:pPr>
        <w:rPr>
          <w:rFonts w:ascii="Arial" w:hAnsi="Arial" w:cs="Arial"/>
          <w:color w:val="000000"/>
          <w:sz w:val="18"/>
          <w:szCs w:val="18"/>
        </w:rPr>
      </w:pPr>
      <w:r>
        <w:rPr>
          <w:rFonts w:ascii="Arial" w:hAnsi="Arial" w:cs="Arial"/>
          <w:color w:val="000000"/>
          <w:sz w:val="18"/>
          <w:szCs w:val="18"/>
        </w:rPr>
        <w:t>Organizacyjno-Administracyjnego</w:t>
      </w:r>
    </w:p>
    <w:p w:rsidR="00E350D4" w:rsidRDefault="00E350D4" w:rsidP="00E350D4">
      <w:pPr>
        <w:rPr>
          <w:rFonts w:ascii="Arial" w:hAnsi="Arial" w:cs="Arial"/>
          <w:color w:val="000000"/>
          <w:sz w:val="18"/>
          <w:szCs w:val="18"/>
        </w:rPr>
      </w:pPr>
      <w:r>
        <w:rPr>
          <w:rFonts w:ascii="Arial" w:hAnsi="Arial" w:cs="Arial"/>
          <w:color w:val="000000"/>
          <w:sz w:val="18"/>
          <w:szCs w:val="18"/>
        </w:rPr>
        <w:t xml:space="preserve">Jolanta Chełchowska </w:t>
      </w:r>
    </w:p>
    <w:p w:rsidR="00E350D4" w:rsidRDefault="00E350D4" w:rsidP="00E350D4">
      <w:pPr>
        <w:rPr>
          <w:rFonts w:ascii="Arial" w:hAnsi="Arial" w:cs="Arial"/>
          <w:color w:val="000000"/>
          <w:sz w:val="18"/>
          <w:szCs w:val="18"/>
        </w:rPr>
      </w:pPr>
    </w:p>
    <w:p w:rsidR="00E350D4" w:rsidRPr="009D173A" w:rsidRDefault="00E350D4" w:rsidP="00E350D4">
      <w:pPr>
        <w:rPr>
          <w:rFonts w:ascii="Arial" w:hAnsi="Arial" w:cs="Arial"/>
          <w:color w:val="000000"/>
          <w:sz w:val="18"/>
          <w:szCs w:val="18"/>
        </w:rPr>
      </w:pPr>
      <w:r w:rsidRPr="009D173A">
        <w:rPr>
          <w:rFonts w:ascii="Arial" w:hAnsi="Arial" w:cs="Arial"/>
          <w:color w:val="000000"/>
          <w:sz w:val="18"/>
          <w:szCs w:val="18"/>
        </w:rPr>
        <w:t>REGIONALNY DYREKTOR</w:t>
      </w:r>
    </w:p>
    <w:p w:rsidR="00E350D4" w:rsidRPr="009D173A" w:rsidRDefault="00E350D4" w:rsidP="00E350D4">
      <w:pPr>
        <w:rPr>
          <w:rFonts w:ascii="Arial" w:hAnsi="Arial" w:cs="Arial"/>
          <w:color w:val="000000"/>
          <w:sz w:val="18"/>
          <w:szCs w:val="18"/>
        </w:rPr>
      </w:pPr>
      <w:r w:rsidRPr="009D173A">
        <w:rPr>
          <w:rFonts w:ascii="Arial" w:hAnsi="Arial" w:cs="Arial"/>
          <w:color w:val="000000"/>
          <w:sz w:val="18"/>
          <w:szCs w:val="18"/>
        </w:rPr>
        <w:t>OCHRONY ŚRODOWISKA</w:t>
      </w:r>
    </w:p>
    <w:p w:rsidR="00E350D4" w:rsidRPr="009D173A" w:rsidRDefault="00E350D4" w:rsidP="00E350D4">
      <w:pPr>
        <w:rPr>
          <w:rFonts w:ascii="Arial" w:hAnsi="Arial" w:cs="Arial"/>
          <w:color w:val="000000"/>
          <w:sz w:val="18"/>
          <w:szCs w:val="18"/>
        </w:rPr>
      </w:pPr>
      <w:r w:rsidRPr="009D173A">
        <w:rPr>
          <w:rFonts w:ascii="Arial" w:hAnsi="Arial" w:cs="Arial"/>
          <w:color w:val="000000"/>
          <w:sz w:val="18"/>
          <w:szCs w:val="18"/>
        </w:rPr>
        <w:t>w Olsztynie</w:t>
      </w:r>
    </w:p>
    <w:p w:rsidR="00E350D4" w:rsidRPr="009D173A" w:rsidRDefault="00E350D4" w:rsidP="00E350D4">
      <w:pPr>
        <w:rPr>
          <w:rFonts w:ascii="Arial" w:hAnsi="Arial" w:cs="Arial"/>
          <w:sz w:val="20"/>
          <w:szCs w:val="20"/>
          <w:lang w:val="es-ES_tradnl"/>
        </w:rPr>
      </w:pPr>
      <w:r w:rsidRPr="009D173A">
        <w:rPr>
          <w:rFonts w:ascii="Arial" w:hAnsi="Arial" w:cs="Arial"/>
          <w:color w:val="000000"/>
          <w:sz w:val="18"/>
          <w:szCs w:val="18"/>
        </w:rPr>
        <w:t>Agata Moździerz</w:t>
      </w:r>
    </w:p>
    <w:p w:rsidR="00E350D4" w:rsidRPr="00170B4F" w:rsidRDefault="00E350D4" w:rsidP="00E350D4">
      <w:pPr>
        <w:rPr>
          <w:rFonts w:ascii="Arial" w:hAnsi="Arial" w:cs="Arial"/>
          <w:color w:val="000000"/>
          <w:sz w:val="18"/>
          <w:szCs w:val="18"/>
        </w:rPr>
      </w:pPr>
    </w:p>
    <w:p w:rsidR="00F40960" w:rsidRPr="00170B4F" w:rsidRDefault="00F40960" w:rsidP="00E350D4">
      <w:pPr>
        <w:rPr>
          <w:rFonts w:ascii="Arial" w:hAnsi="Arial" w:cs="Arial"/>
          <w:color w:val="000000"/>
          <w:sz w:val="18"/>
          <w:szCs w:val="18"/>
        </w:rPr>
      </w:pPr>
    </w:p>
    <w:sectPr w:rsidR="00F40960" w:rsidRPr="00170B4F" w:rsidSect="005F2E8E">
      <w:headerReference w:type="even" r:id="rId6"/>
      <w:headerReference w:type="default" r:id="rId7"/>
      <w:footerReference w:type="even" r:id="rId8"/>
      <w:footerReference w:type="default" r:id="rId9"/>
      <w:headerReference w:type="first" r:id="rId10"/>
      <w:footerReference w:type="first" r:id="rId11"/>
      <w:pgSz w:w="16838" w:h="11906" w:orient="landscape"/>
      <w:pgMar w:top="993" w:right="678" w:bottom="568" w:left="709" w:header="708" w:footer="1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FFF" w:rsidRDefault="00A36FFF">
      <w:r>
        <w:separator/>
      </w:r>
    </w:p>
  </w:endnote>
  <w:endnote w:type="continuationSeparator" w:id="0">
    <w:p w:rsidR="00A36FFF" w:rsidRDefault="00A3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8E" w:rsidRDefault="005F2E8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8E" w:rsidRDefault="005F2E8E">
    <w:pPr>
      <w:pStyle w:val="Stopka"/>
      <w:jc w:val="right"/>
    </w:pPr>
    <w:r>
      <w:fldChar w:fldCharType="begin"/>
    </w:r>
    <w:r>
      <w:instrText xml:space="preserve"> PAGE </w:instrText>
    </w:r>
    <w:r>
      <w:fldChar w:fldCharType="separate"/>
    </w:r>
    <w:r w:rsidR="006F4EC7">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8E" w:rsidRDefault="005F2E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FFF" w:rsidRDefault="00A36FFF">
      <w:r>
        <w:separator/>
      </w:r>
    </w:p>
  </w:footnote>
  <w:footnote w:type="continuationSeparator" w:id="0">
    <w:p w:rsidR="00A36FFF" w:rsidRDefault="00A36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8E" w:rsidRDefault="005F2E8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8E" w:rsidRDefault="005F2E8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8E" w:rsidRDefault="005F2E8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60"/>
    <w:rsid w:val="0004304D"/>
    <w:rsid w:val="000B70F5"/>
    <w:rsid w:val="001227F2"/>
    <w:rsid w:val="001A0F16"/>
    <w:rsid w:val="001B6215"/>
    <w:rsid w:val="001F7332"/>
    <w:rsid w:val="002802EA"/>
    <w:rsid w:val="002D7769"/>
    <w:rsid w:val="002F177C"/>
    <w:rsid w:val="00335ED4"/>
    <w:rsid w:val="004565D6"/>
    <w:rsid w:val="004E6802"/>
    <w:rsid w:val="00590FEC"/>
    <w:rsid w:val="005B0C81"/>
    <w:rsid w:val="005B2337"/>
    <w:rsid w:val="005F2E8E"/>
    <w:rsid w:val="006F4EC7"/>
    <w:rsid w:val="007E4480"/>
    <w:rsid w:val="007E5D26"/>
    <w:rsid w:val="00874A35"/>
    <w:rsid w:val="00962A19"/>
    <w:rsid w:val="009841C6"/>
    <w:rsid w:val="00A30B19"/>
    <w:rsid w:val="00A36FFF"/>
    <w:rsid w:val="00AA4344"/>
    <w:rsid w:val="00AD0898"/>
    <w:rsid w:val="00B571D1"/>
    <w:rsid w:val="00BF6338"/>
    <w:rsid w:val="00CA3242"/>
    <w:rsid w:val="00DA1DD9"/>
    <w:rsid w:val="00E21A93"/>
    <w:rsid w:val="00E350D4"/>
    <w:rsid w:val="00EB3C91"/>
    <w:rsid w:val="00F40960"/>
    <w:rsid w:val="00F80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79071-5E9F-404F-9D52-4B51BE55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0960"/>
    <w:pPr>
      <w:suppressAutoHyphens/>
    </w:pPr>
    <w:rPr>
      <w:rFonts w:ascii="Times New Roman" w:eastAsia="Times New Roman" w:hAnsi="Times New Roman"/>
      <w:sz w:val="24"/>
      <w:szCs w:val="24"/>
      <w:lang w:eastAsia="zh-CN"/>
    </w:rPr>
  </w:style>
  <w:style w:type="paragraph" w:styleId="Nagwek1">
    <w:name w:val="heading 1"/>
    <w:basedOn w:val="Normalny"/>
    <w:next w:val="Normalny"/>
    <w:link w:val="Nagwek1Znak"/>
    <w:uiPriority w:val="9"/>
    <w:qFormat/>
    <w:rsid w:val="002802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802E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40960"/>
    <w:pPr>
      <w:tabs>
        <w:tab w:val="center" w:pos="4536"/>
        <w:tab w:val="right" w:pos="9072"/>
      </w:tabs>
    </w:pPr>
    <w:rPr>
      <w:lang w:val="x-none"/>
    </w:rPr>
  </w:style>
  <w:style w:type="character" w:customStyle="1" w:styleId="StopkaZnak">
    <w:name w:val="Stopka Znak"/>
    <w:link w:val="Stopka"/>
    <w:rsid w:val="00F40960"/>
    <w:rPr>
      <w:rFonts w:ascii="Times New Roman" w:eastAsia="Times New Roman" w:hAnsi="Times New Roman" w:cs="Times New Roman"/>
      <w:sz w:val="24"/>
      <w:szCs w:val="24"/>
      <w:lang w:val="x-none" w:eastAsia="zh-CN"/>
    </w:rPr>
  </w:style>
  <w:style w:type="paragraph" w:styleId="Nagwek">
    <w:name w:val="header"/>
    <w:basedOn w:val="Normalny"/>
    <w:link w:val="NagwekZnak"/>
    <w:uiPriority w:val="99"/>
    <w:unhideWhenUsed/>
    <w:rsid w:val="00F40960"/>
    <w:pPr>
      <w:tabs>
        <w:tab w:val="center" w:pos="4536"/>
        <w:tab w:val="right" w:pos="9072"/>
      </w:tabs>
    </w:pPr>
  </w:style>
  <w:style w:type="character" w:customStyle="1" w:styleId="NagwekZnak">
    <w:name w:val="Nagłówek Znak"/>
    <w:link w:val="Nagwek"/>
    <w:uiPriority w:val="99"/>
    <w:rsid w:val="00F40960"/>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1B6215"/>
    <w:rPr>
      <w:rFonts w:ascii="Tahoma" w:hAnsi="Tahoma" w:cs="Tahoma"/>
      <w:sz w:val="16"/>
      <w:szCs w:val="16"/>
    </w:rPr>
  </w:style>
  <w:style w:type="character" w:customStyle="1" w:styleId="TekstdymkaZnak">
    <w:name w:val="Tekst dymka Znak"/>
    <w:link w:val="Tekstdymka"/>
    <w:uiPriority w:val="99"/>
    <w:semiHidden/>
    <w:rsid w:val="001B6215"/>
    <w:rPr>
      <w:rFonts w:ascii="Tahoma" w:eastAsia="Times New Roman" w:hAnsi="Tahoma" w:cs="Tahoma"/>
      <w:sz w:val="16"/>
      <w:szCs w:val="16"/>
      <w:lang w:eastAsia="zh-CN"/>
    </w:rPr>
  </w:style>
  <w:style w:type="character" w:customStyle="1" w:styleId="Nagwek1Znak">
    <w:name w:val="Nagłówek 1 Znak"/>
    <w:basedOn w:val="Domylnaczcionkaakapitu"/>
    <w:link w:val="Nagwek1"/>
    <w:uiPriority w:val="9"/>
    <w:rsid w:val="002802EA"/>
    <w:rPr>
      <w:rFonts w:asciiTheme="majorHAnsi" w:eastAsiaTheme="majorEastAsia" w:hAnsiTheme="majorHAnsi" w:cstheme="majorBidi"/>
      <w:color w:val="2E74B5" w:themeColor="accent1" w:themeShade="BF"/>
      <w:sz w:val="32"/>
      <w:szCs w:val="32"/>
      <w:lang w:eastAsia="zh-CN"/>
    </w:rPr>
  </w:style>
  <w:style w:type="character" w:customStyle="1" w:styleId="Nagwek2Znak">
    <w:name w:val="Nagłówek 2 Znak"/>
    <w:basedOn w:val="Domylnaczcionkaakapitu"/>
    <w:link w:val="Nagwek2"/>
    <w:uiPriority w:val="9"/>
    <w:rsid w:val="002802EA"/>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1570</Words>
  <Characters>9424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Chelchowska</dc:creator>
  <cp:keywords/>
  <cp:lastModifiedBy>Iwona Bobek</cp:lastModifiedBy>
  <cp:revision>3</cp:revision>
  <cp:lastPrinted>2020-01-29T11:28:00Z</cp:lastPrinted>
  <dcterms:created xsi:type="dcterms:W3CDTF">2021-02-05T11:33:00Z</dcterms:created>
  <dcterms:modified xsi:type="dcterms:W3CDTF">2021-02-05T11:56:00Z</dcterms:modified>
</cp:coreProperties>
</file>