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72062" w14:textId="0CC20869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Formularz szacowania zamówienia </w:t>
      </w:r>
    </w:p>
    <w:p w14:paraId="4BE5A09B" w14:textId="0CC3F4F7" w:rsidR="00693C7C" w:rsidRDefault="00F300DF" w:rsidP="00F300DF">
      <w:pPr>
        <w:spacing w:after="21"/>
        <w:ind w:left="15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47F367" wp14:editId="3F98FFC6">
            <wp:simplePos x="0" y="0"/>
            <wp:positionH relativeFrom="column">
              <wp:posOffset>473075</wp:posOffset>
            </wp:positionH>
            <wp:positionV relativeFrom="paragraph">
              <wp:posOffset>32385</wp:posOffset>
            </wp:positionV>
            <wp:extent cx="2019300" cy="495300"/>
            <wp:effectExtent l="0" t="0" r="0" b="0"/>
            <wp:wrapSquare wrapText="bothSides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8A7">
        <w:rPr>
          <w:sz w:val="20"/>
        </w:rPr>
        <w:t xml:space="preserve"> </w:t>
      </w:r>
    </w:p>
    <w:p w14:paraId="20F616D5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16180F08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4DA4665E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51793D00" w14:textId="36F7F55F" w:rsidR="00693C7C" w:rsidRDefault="00DA08A7" w:rsidP="00F300DF">
      <w:pPr>
        <w:spacing w:after="0"/>
        <w:ind w:left="750" w:right="315"/>
        <w:jc w:val="center"/>
      </w:pPr>
      <w:r>
        <w:rPr>
          <w:b/>
          <w:color w:val="365F91"/>
          <w:sz w:val="24"/>
        </w:rPr>
        <w:t>FORMULARZ SZACOWANIA WARTOŚCI ZAMÓWIENIA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1D5E8865" w:rsidR="00693C7C" w:rsidRDefault="00892B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</w:pPr>
      <w:r>
        <w:rPr>
          <w:b/>
          <w:sz w:val="20"/>
        </w:rPr>
        <w:t>Zakupu Systemu obejmującego funkcjonalność ochrony użytkowników przed zagrożeniami na bazie protokołu DNS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 w:rsidTr="005E57EF">
        <w:trPr>
          <w:trHeight w:val="39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5EC" w14:textId="693AF996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 w:rsidTr="005E57EF">
        <w:trPr>
          <w:trHeight w:val="3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B5E" w14:textId="3BF9656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 w:rsidTr="005E57EF">
        <w:trPr>
          <w:trHeight w:val="34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080" w14:textId="364D01E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>
        <w:trPr>
          <w:trHeight w:val="4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FF5" w14:textId="411715BA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>
        <w:trPr>
          <w:trHeight w:val="5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A79" w14:textId="56880E19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>
        <w:trPr>
          <w:trHeight w:val="4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161D" w14:textId="3D7FF36E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33801283" w14:textId="26311649" w:rsidR="00231FC5" w:rsidRDefault="00231FC5">
      <w:pPr>
        <w:spacing w:after="0"/>
        <w:ind w:left="154"/>
        <w:rPr>
          <w:b/>
          <w:sz w:val="20"/>
        </w:rPr>
      </w:pPr>
      <w:r>
        <w:rPr>
          <w:b/>
          <w:sz w:val="20"/>
        </w:rPr>
        <w:t>DANE DOTYCZĄCE OFEROWANEGO ROZWIAZANIA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892B97" w14:paraId="08968125" w14:textId="77777777" w:rsidTr="00A46EF1">
        <w:trPr>
          <w:trHeight w:val="806"/>
        </w:trPr>
        <w:tc>
          <w:tcPr>
            <w:tcW w:w="3352" w:type="dxa"/>
            <w:shd w:val="clear" w:color="auto" w:fill="D0CECE" w:themeFill="background2" w:themeFillShade="E6"/>
          </w:tcPr>
          <w:p w14:paraId="546C9894" w14:textId="11D3B99E" w:rsidR="00892B97" w:rsidRPr="009368F8" w:rsidRDefault="00892B97" w:rsidP="00AD251E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Nazwa producenta/ nazwa Systemu*</w:t>
            </w:r>
          </w:p>
        </w:tc>
        <w:tc>
          <w:tcPr>
            <w:tcW w:w="5730" w:type="dxa"/>
          </w:tcPr>
          <w:p w14:paraId="6526479F" w14:textId="77777777" w:rsidR="00892B97" w:rsidRPr="009368F8" w:rsidRDefault="00892B97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1F10FC9E" w14:textId="15BF0C2A" w:rsidR="009878F5" w:rsidRPr="00692D43" w:rsidRDefault="00692D43" w:rsidP="00692D43">
      <w:pPr>
        <w:spacing w:after="0"/>
        <w:ind w:left="284"/>
        <w:rPr>
          <w:i/>
          <w:iCs/>
          <w:sz w:val="20"/>
          <w:szCs w:val="20"/>
        </w:rPr>
      </w:pPr>
      <w:r w:rsidRPr="00692D43">
        <w:rPr>
          <w:i/>
          <w:iCs/>
          <w:sz w:val="20"/>
          <w:szCs w:val="20"/>
        </w:rPr>
        <w:t>*</w:t>
      </w:r>
      <w:r w:rsidR="00892B97" w:rsidRPr="00692D43">
        <w:rPr>
          <w:i/>
          <w:iCs/>
          <w:sz w:val="20"/>
          <w:szCs w:val="20"/>
        </w:rPr>
        <w:t xml:space="preserve">Prosimy o </w:t>
      </w:r>
      <w:r w:rsidRPr="00692D43">
        <w:rPr>
          <w:i/>
          <w:iCs/>
          <w:sz w:val="20"/>
          <w:szCs w:val="20"/>
        </w:rPr>
        <w:t>krótki</w:t>
      </w:r>
      <w:r w:rsidR="00892B97" w:rsidRPr="00692D43">
        <w:rPr>
          <w:i/>
          <w:iCs/>
          <w:sz w:val="20"/>
          <w:szCs w:val="20"/>
        </w:rPr>
        <w:t xml:space="preserve"> opis proponowanego rozwiązania jednoznacznie </w:t>
      </w:r>
      <w:r w:rsidRPr="00692D43">
        <w:rPr>
          <w:i/>
          <w:iCs/>
          <w:sz w:val="20"/>
          <w:szCs w:val="20"/>
        </w:rPr>
        <w:t>identyfikującego</w:t>
      </w:r>
      <w:r w:rsidR="00892B97" w:rsidRPr="00692D43">
        <w:rPr>
          <w:i/>
          <w:iCs/>
          <w:sz w:val="20"/>
          <w:szCs w:val="20"/>
        </w:rPr>
        <w:t xml:space="preserve"> proponowane rozwiązanie (producent, nazwa, wersja, itp.)</w:t>
      </w:r>
    </w:p>
    <w:p w14:paraId="39EA4726" w14:textId="6BB84987" w:rsidR="009368F8" w:rsidRDefault="009368F8" w:rsidP="00692D43">
      <w:pPr>
        <w:spacing w:after="15"/>
        <w:rPr>
          <w:b/>
          <w:sz w:val="20"/>
        </w:rPr>
      </w:pPr>
    </w:p>
    <w:p w14:paraId="17E9C040" w14:textId="77777777" w:rsidR="009368F8" w:rsidRDefault="009368F8">
      <w:pPr>
        <w:spacing w:after="15"/>
        <w:ind w:left="154"/>
      </w:pPr>
    </w:p>
    <w:p w14:paraId="75C15BCE" w14:textId="58A518A4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CAŁKOWITA SZACOWANA 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77777777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77777777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0ED582BF" w14:textId="51756AD4" w:rsidR="00693C7C" w:rsidRPr="0035633D" w:rsidRDefault="00693C7C" w:rsidP="008E2444">
      <w:pPr>
        <w:spacing w:after="0"/>
        <w:ind w:left="154"/>
        <w:rPr>
          <w:b/>
          <w:sz w:val="20"/>
        </w:rPr>
      </w:pPr>
    </w:p>
    <w:p w14:paraId="3D10A19D" w14:textId="0C261005" w:rsidR="0035633D" w:rsidRPr="0035633D" w:rsidRDefault="0035633D" w:rsidP="0035633D">
      <w:pPr>
        <w:pStyle w:val="Akapitzlist"/>
        <w:numPr>
          <w:ilvl w:val="0"/>
          <w:numId w:val="1"/>
        </w:numPr>
        <w:tabs>
          <w:tab w:val="center" w:pos="869"/>
          <w:tab w:val="center" w:pos="2994"/>
          <w:tab w:val="center" w:pos="3702"/>
          <w:tab w:val="center" w:pos="5653"/>
        </w:tabs>
        <w:spacing w:after="0"/>
        <w:ind w:hanging="728"/>
      </w:pPr>
      <w:r w:rsidRPr="0035633D">
        <w:rPr>
          <w:b/>
          <w:sz w:val="20"/>
        </w:rPr>
        <w:t>SYSTEM BĘDZIE REALIZOWAŁ NASTĘPUJĄCE FUNKCJONALNOŚCI</w:t>
      </w:r>
      <w:r w:rsidRPr="0035633D">
        <w:rPr>
          <w:sz w:val="20"/>
        </w:rPr>
        <w:t xml:space="preserve"> </w:t>
      </w:r>
      <w:r>
        <w:rPr>
          <w:sz w:val="20"/>
        </w:rPr>
        <w:t>:</w:t>
      </w:r>
    </w:p>
    <w:p w14:paraId="21A9D895" w14:textId="3F40927A" w:rsidR="0035633D" w:rsidRPr="0035633D" w:rsidRDefault="0035633D" w:rsidP="0035633D">
      <w:pPr>
        <w:pStyle w:val="Akapitzlist"/>
        <w:tabs>
          <w:tab w:val="center" w:pos="869"/>
          <w:tab w:val="center" w:pos="2994"/>
          <w:tab w:val="center" w:pos="3702"/>
          <w:tab w:val="center" w:pos="5653"/>
        </w:tabs>
        <w:spacing w:after="120"/>
        <w:ind w:left="726"/>
        <w:contextualSpacing w:val="0"/>
      </w:pPr>
      <w:r>
        <w:rPr>
          <w:sz w:val="20"/>
        </w:rPr>
        <w:t>(</w:t>
      </w:r>
      <w:r w:rsidRPr="008C0401">
        <w:rPr>
          <w:rFonts w:asciiTheme="minorHAnsi" w:hAnsiTheme="minorHAnsi" w:cstheme="minorHAnsi"/>
          <w:i/>
        </w:rPr>
        <w:t>zaznaczyć właściwe</w:t>
      </w:r>
      <w:r w:rsidR="00A34729">
        <w:rPr>
          <w:rFonts w:asciiTheme="minorHAnsi" w:hAnsiTheme="minorHAnsi" w:cstheme="minorHAnsi"/>
          <w:i/>
        </w:rPr>
        <w:t xml:space="preserve"> od pkt. a-d</w:t>
      </w:r>
      <w:r>
        <w:rPr>
          <w:rFonts w:asciiTheme="minorHAnsi" w:hAnsiTheme="minorHAnsi" w:cstheme="minorHAnsi"/>
          <w:i/>
        </w:rPr>
        <w:t>)</w:t>
      </w:r>
    </w:p>
    <w:p w14:paraId="3A21212E" w14:textId="42EABC69" w:rsidR="0035633D" w:rsidRPr="0035633D" w:rsidRDefault="0035633D" w:rsidP="0035633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35633D">
        <w:rPr>
          <w:rFonts w:asciiTheme="minorHAnsi" w:hAnsiTheme="minorHAnsi" w:cstheme="minorHAnsi"/>
          <w:b/>
          <w:bCs/>
        </w:rPr>
        <w:t>Funkcjonalność rozbudowy Systemu:</w:t>
      </w:r>
    </w:p>
    <w:p w14:paraId="2402B0B0" w14:textId="77777777" w:rsidR="0035633D" w:rsidRPr="008C0401" w:rsidRDefault="0035633D" w:rsidP="0035633D">
      <w:pPr>
        <w:jc w:val="both"/>
        <w:rPr>
          <w:rFonts w:asciiTheme="minorHAnsi" w:hAnsiTheme="minorHAnsi" w:cstheme="minorHAnsi"/>
          <w:i/>
        </w:rPr>
      </w:pPr>
      <w:r w:rsidRPr="008C0401">
        <w:rPr>
          <w:rFonts w:asciiTheme="minorHAnsi" w:hAnsiTheme="minorHAnsi" w:cstheme="minorHAnsi"/>
        </w:rPr>
        <w:t>W ramach oferowanego Systemu element służący do zarządzania usługami DNS, DHCP oraz adresacją IP</w:t>
      </w:r>
      <w:r w:rsidRPr="008C0401">
        <w:rPr>
          <w:rFonts w:asciiTheme="minorHAnsi" w:hAnsiTheme="minorHAnsi" w:cstheme="minorHAnsi"/>
          <w:i/>
        </w:rPr>
        <w:t>:</w:t>
      </w:r>
    </w:p>
    <w:p w14:paraId="164114A6" w14:textId="5E676FAD" w:rsidR="0035633D" w:rsidRPr="008C0401" w:rsidRDefault="0035633D" w:rsidP="0035633D">
      <w:pPr>
        <w:ind w:hanging="6"/>
        <w:jc w:val="both"/>
        <w:rPr>
          <w:rFonts w:asciiTheme="minorHAnsi" w:hAnsiTheme="minorHAnsi" w:cstheme="minorHAnsi"/>
        </w:rPr>
      </w:pPr>
      <w:r w:rsidRPr="008C0401">
        <w:rPr>
          <w:rFonts w:asciiTheme="minorHAnsi" w:hAnsiTheme="minorHAnsi" w:cstheme="minorHAnsi"/>
        </w:rPr>
        <w:lastRenderedPageBreak/>
        <w:sym w:font="Wingdings" w:char="F0A8"/>
      </w:r>
      <w:r w:rsidRPr="008C0401">
        <w:rPr>
          <w:rFonts w:asciiTheme="minorHAnsi" w:hAnsiTheme="minorHAnsi" w:cstheme="minorHAnsi"/>
        </w:rPr>
        <w:t xml:space="preserve">  posiada możliwość rozbudowy Usługi Chmurowej o dodatkowe funkcjonalności polegające na zarządzaniu usługą DNS (funkcjonalność serwera autorytatywnego, </w:t>
      </w:r>
      <w:proofErr w:type="spellStart"/>
      <w:r w:rsidRPr="008C0401">
        <w:rPr>
          <w:rFonts w:asciiTheme="minorHAnsi" w:hAnsiTheme="minorHAnsi" w:cstheme="minorHAnsi"/>
        </w:rPr>
        <w:t>forward</w:t>
      </w:r>
      <w:proofErr w:type="spellEnd"/>
      <w:r w:rsidRPr="008C0401">
        <w:rPr>
          <w:rFonts w:asciiTheme="minorHAnsi" w:hAnsiTheme="minorHAnsi" w:cstheme="minorHAnsi"/>
        </w:rPr>
        <w:t>, delegacja), usługą DHCP oraz pełnym zarządzaniu przestrzenią adresową, pozwalającą na uzyskan</w:t>
      </w:r>
      <w:r>
        <w:rPr>
          <w:rFonts w:asciiTheme="minorHAnsi" w:hAnsiTheme="minorHAnsi" w:cstheme="minorHAnsi"/>
        </w:rPr>
        <w:t>ie</w:t>
      </w:r>
      <w:r w:rsidRPr="008C0401">
        <w:rPr>
          <w:rFonts w:asciiTheme="minorHAnsi" w:hAnsiTheme="minorHAnsi" w:cstheme="minorHAnsi"/>
        </w:rPr>
        <w:t xml:space="preserve"> widoczności </w:t>
      </w:r>
      <w:r>
        <w:rPr>
          <w:rFonts w:asciiTheme="minorHAnsi" w:hAnsiTheme="minorHAnsi" w:cstheme="minorHAnsi"/>
        </w:rPr>
        <w:t>komputerów</w:t>
      </w:r>
      <w:r w:rsidRPr="008C0401">
        <w:rPr>
          <w:rFonts w:asciiTheme="minorHAnsi" w:hAnsiTheme="minorHAnsi" w:cstheme="minorHAnsi"/>
        </w:rPr>
        <w:t xml:space="preserve"> w ramach uruchomionych funkcjonalności bezpieczeństwa oferowanego Systemu, przy czym funkc</w:t>
      </w:r>
      <w:r>
        <w:rPr>
          <w:rFonts w:asciiTheme="minorHAnsi" w:hAnsiTheme="minorHAnsi" w:cstheme="minorHAnsi"/>
        </w:rPr>
        <w:t>j</w:t>
      </w:r>
      <w:r w:rsidRPr="008C0401">
        <w:rPr>
          <w:rFonts w:asciiTheme="minorHAnsi" w:hAnsiTheme="minorHAnsi" w:cstheme="minorHAnsi"/>
        </w:rPr>
        <w:t xml:space="preserve">onalności te muszą pochodzić od tego </w:t>
      </w:r>
      <w:r>
        <w:rPr>
          <w:rFonts w:asciiTheme="minorHAnsi" w:hAnsiTheme="minorHAnsi" w:cstheme="minorHAnsi"/>
        </w:rPr>
        <w:t>s</w:t>
      </w:r>
      <w:r w:rsidRPr="008C0401">
        <w:rPr>
          <w:rFonts w:asciiTheme="minorHAnsi" w:hAnsiTheme="minorHAnsi" w:cstheme="minorHAnsi"/>
        </w:rPr>
        <w:t xml:space="preserve">amego Producenta co oferowany System. </w:t>
      </w:r>
    </w:p>
    <w:p w14:paraId="35125635" w14:textId="1B81F670" w:rsidR="0035633D" w:rsidRPr="0035633D" w:rsidRDefault="0035633D" w:rsidP="0035633D">
      <w:pPr>
        <w:rPr>
          <w:rFonts w:asciiTheme="minorHAnsi" w:hAnsiTheme="minorHAnsi" w:cstheme="minorHAnsi"/>
          <w:i/>
        </w:rPr>
      </w:pPr>
      <w:r w:rsidRPr="008C0401">
        <w:rPr>
          <w:rFonts w:asciiTheme="minorHAnsi" w:hAnsiTheme="minorHAnsi" w:cstheme="minorHAnsi"/>
        </w:rPr>
        <w:sym w:font="Wingdings" w:char="F0A8"/>
      </w:r>
      <w:r w:rsidRPr="008C0401">
        <w:rPr>
          <w:rFonts w:asciiTheme="minorHAnsi" w:hAnsiTheme="minorHAnsi" w:cstheme="minorHAnsi"/>
        </w:rPr>
        <w:t xml:space="preserve">  nie posiada ww. funkcjonalności</w:t>
      </w:r>
    </w:p>
    <w:p w14:paraId="7A893D41" w14:textId="6145EEC9" w:rsidR="0035633D" w:rsidRPr="0035633D" w:rsidRDefault="0035633D" w:rsidP="0035633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35633D">
        <w:rPr>
          <w:rFonts w:asciiTheme="minorHAnsi" w:hAnsiTheme="minorHAnsi" w:cstheme="minorHAnsi"/>
          <w:b/>
          <w:bCs/>
        </w:rPr>
        <w:t xml:space="preserve">Funkcjonalność wykrywania domen podobnych </w:t>
      </w:r>
    </w:p>
    <w:p w14:paraId="7DFFD25B" w14:textId="77777777" w:rsidR="0035633D" w:rsidRPr="008C0401" w:rsidRDefault="0035633D" w:rsidP="0035633D">
      <w:pPr>
        <w:spacing w:line="256" w:lineRule="auto"/>
        <w:jc w:val="both"/>
      </w:pPr>
      <w:r w:rsidRPr="008C0401">
        <w:t xml:space="preserve">W ramach oferowanego Systemu element </w:t>
      </w:r>
      <w:proofErr w:type="spellStart"/>
      <w:r w:rsidRPr="008C0401">
        <w:t>służacy</w:t>
      </w:r>
      <w:proofErr w:type="spellEnd"/>
      <w:r w:rsidRPr="008C0401">
        <w:t xml:space="preserve"> do poprawy bezpieczeństwa:</w:t>
      </w:r>
    </w:p>
    <w:p w14:paraId="5A35F50D" w14:textId="77777777" w:rsidR="0035633D" w:rsidRPr="008C0401" w:rsidRDefault="0035633D" w:rsidP="0035633D">
      <w:pPr>
        <w:spacing w:line="256" w:lineRule="auto"/>
        <w:jc w:val="both"/>
        <w:rPr>
          <w:rFonts w:asciiTheme="minorHAnsi" w:hAnsiTheme="minorHAnsi" w:cstheme="minorHAnsi"/>
        </w:rPr>
      </w:pPr>
      <w:r w:rsidRPr="008C0401">
        <w:rPr>
          <w:rFonts w:asciiTheme="minorHAnsi" w:hAnsiTheme="minorHAnsi" w:cstheme="minorHAnsi"/>
        </w:rPr>
        <w:sym w:font="Wingdings" w:char="F0A8"/>
      </w:r>
      <w:r w:rsidRPr="008C0401">
        <w:rPr>
          <w:rFonts w:asciiTheme="minorHAnsi" w:hAnsiTheme="minorHAnsi" w:cstheme="minorHAnsi"/>
        </w:rPr>
        <w:t xml:space="preserve">  posiada </w:t>
      </w:r>
      <w:proofErr w:type="spellStart"/>
      <w:r w:rsidRPr="008C0401">
        <w:rPr>
          <w:rFonts w:asciiTheme="minorHAnsi" w:hAnsiTheme="minorHAnsi" w:cstheme="minorHAnsi"/>
        </w:rPr>
        <w:t>liste</w:t>
      </w:r>
      <w:proofErr w:type="spellEnd"/>
      <w:r w:rsidRPr="008C0401">
        <w:rPr>
          <w:rFonts w:asciiTheme="minorHAnsi" w:hAnsiTheme="minorHAnsi" w:cstheme="minorHAnsi"/>
        </w:rPr>
        <w:t xml:space="preserve"> domen podobnych tzw. </w:t>
      </w:r>
      <w:proofErr w:type="spellStart"/>
      <w:r w:rsidRPr="008C0401">
        <w:rPr>
          <w:rFonts w:asciiTheme="minorHAnsi" w:hAnsiTheme="minorHAnsi" w:cstheme="minorHAnsi"/>
        </w:rPr>
        <w:t>Lookalike</w:t>
      </w:r>
      <w:proofErr w:type="spellEnd"/>
      <w:r w:rsidRPr="008C0401">
        <w:rPr>
          <w:rFonts w:asciiTheme="minorHAnsi" w:hAnsiTheme="minorHAnsi" w:cstheme="minorHAnsi"/>
        </w:rPr>
        <w:t xml:space="preserve">, czyli domen, które wyglądają podobnie do najpopularniejszych domen w Internecie (np. Google.com &gt; g00gle.com). Lista musi również obejmować domeny, które używają znaków specjalnych podobnych do znaków łacińskich (tak zwane </w:t>
      </w:r>
      <w:proofErr w:type="spellStart"/>
      <w:r w:rsidRPr="008C0401">
        <w:rPr>
          <w:rFonts w:asciiTheme="minorHAnsi" w:hAnsiTheme="minorHAnsi" w:cstheme="minorHAnsi"/>
        </w:rPr>
        <w:t>homografy</w:t>
      </w:r>
      <w:proofErr w:type="spellEnd"/>
      <w:r w:rsidRPr="008C0401">
        <w:rPr>
          <w:rFonts w:asciiTheme="minorHAnsi" w:hAnsiTheme="minorHAnsi" w:cstheme="minorHAnsi"/>
        </w:rPr>
        <w:t xml:space="preserve"> IDN). Zamawiający musi mieć mo</w:t>
      </w:r>
      <w:r>
        <w:rPr>
          <w:rFonts w:asciiTheme="minorHAnsi" w:hAnsiTheme="minorHAnsi" w:cstheme="minorHAnsi"/>
        </w:rPr>
        <w:t>ż</w:t>
      </w:r>
      <w:r w:rsidRPr="008C0401">
        <w:rPr>
          <w:rFonts w:asciiTheme="minorHAnsi" w:hAnsiTheme="minorHAnsi" w:cstheme="minorHAnsi"/>
        </w:rPr>
        <w:t>liwość zdefiniowania w Usłudze Chmurowej co najmniej 10 domen, dla których algorytm będzie wyszukiwał domen podobnych,</w:t>
      </w:r>
    </w:p>
    <w:p w14:paraId="6306E7A3" w14:textId="77777777" w:rsidR="0035633D" w:rsidRPr="008C0401" w:rsidRDefault="0035633D" w:rsidP="0035633D">
      <w:pPr>
        <w:rPr>
          <w:rFonts w:asciiTheme="minorHAnsi" w:hAnsiTheme="minorHAnsi" w:cstheme="minorHAnsi"/>
          <w:i/>
        </w:rPr>
      </w:pPr>
      <w:r w:rsidRPr="008C0401">
        <w:rPr>
          <w:rFonts w:asciiTheme="minorHAnsi" w:hAnsiTheme="minorHAnsi" w:cstheme="minorHAnsi"/>
        </w:rPr>
        <w:t xml:space="preserve"> </w:t>
      </w:r>
      <w:r w:rsidRPr="008C0401">
        <w:rPr>
          <w:rFonts w:asciiTheme="minorHAnsi" w:hAnsiTheme="minorHAnsi" w:cstheme="minorHAnsi"/>
        </w:rPr>
        <w:sym w:font="Wingdings" w:char="F0A8"/>
      </w:r>
      <w:r w:rsidRPr="008C0401">
        <w:rPr>
          <w:rFonts w:asciiTheme="minorHAnsi" w:hAnsiTheme="minorHAnsi" w:cstheme="minorHAnsi"/>
        </w:rPr>
        <w:t xml:space="preserve">  nie posiada ww. funkcjonalności</w:t>
      </w:r>
    </w:p>
    <w:p w14:paraId="321734E3" w14:textId="77777777" w:rsidR="0035633D" w:rsidRPr="008C0401" w:rsidRDefault="0035633D" w:rsidP="0035633D">
      <w:pPr>
        <w:spacing w:line="256" w:lineRule="auto"/>
        <w:ind w:hanging="425"/>
        <w:jc w:val="both"/>
      </w:pPr>
    </w:p>
    <w:p w14:paraId="3F54C5FA" w14:textId="3DBEE825" w:rsidR="0035633D" w:rsidRPr="0035633D" w:rsidRDefault="0035633D" w:rsidP="0035633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35633D">
        <w:rPr>
          <w:rFonts w:asciiTheme="minorHAnsi" w:hAnsiTheme="minorHAnsi" w:cstheme="minorHAnsi"/>
          <w:b/>
          <w:bCs/>
        </w:rPr>
        <w:t xml:space="preserve">Funkcjonalność dostarczania kontekstowej informacji o zagrożeniach </w:t>
      </w:r>
    </w:p>
    <w:p w14:paraId="323BD5AC" w14:textId="77777777" w:rsidR="0035633D" w:rsidRPr="008C0401" w:rsidRDefault="0035633D" w:rsidP="0035633D">
      <w:pPr>
        <w:spacing w:line="256" w:lineRule="auto"/>
        <w:jc w:val="both"/>
        <w:rPr>
          <w:rFonts w:asciiTheme="minorHAnsi" w:hAnsiTheme="minorHAnsi" w:cstheme="minorHAnsi"/>
        </w:rPr>
      </w:pPr>
      <w:r w:rsidRPr="008C0401">
        <w:rPr>
          <w:rFonts w:asciiTheme="minorHAnsi" w:hAnsiTheme="minorHAnsi" w:cstheme="minorHAnsi"/>
        </w:rPr>
        <w:sym w:font="Wingdings" w:char="F0A8"/>
      </w:r>
      <w:r w:rsidRPr="008C0401">
        <w:rPr>
          <w:rFonts w:asciiTheme="minorHAnsi" w:hAnsiTheme="minorHAnsi" w:cstheme="minorHAnsi"/>
        </w:rPr>
        <w:t xml:space="preserve">  dane o zagrożeniach dostarczane przez oferowany System muszą posiadać kontekstową informację</w:t>
      </w:r>
      <w:r>
        <w:rPr>
          <w:rFonts w:asciiTheme="minorHAnsi" w:hAnsiTheme="minorHAnsi" w:cstheme="minorHAnsi"/>
        </w:rPr>
        <w:t>,</w:t>
      </w:r>
      <w:r w:rsidRPr="008C04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dostępną poprzez API, </w:t>
      </w:r>
      <w:r w:rsidRPr="008C0401">
        <w:rPr>
          <w:rFonts w:asciiTheme="minorHAnsi" w:hAnsiTheme="minorHAnsi" w:cstheme="minorHAnsi"/>
        </w:rPr>
        <w:t xml:space="preserve">o domenie / adresie IP, takie jak: czy zagrożenia jest związane z </w:t>
      </w:r>
      <w:proofErr w:type="spellStart"/>
      <w:r w:rsidRPr="008C0401">
        <w:rPr>
          <w:rFonts w:asciiTheme="minorHAnsi" w:hAnsiTheme="minorHAnsi" w:cstheme="minorHAnsi"/>
        </w:rPr>
        <w:t>eksfiltracją</w:t>
      </w:r>
      <w:proofErr w:type="spellEnd"/>
      <w:r w:rsidRPr="008C0401">
        <w:rPr>
          <w:rFonts w:asciiTheme="minorHAnsi" w:hAnsiTheme="minorHAnsi" w:cstheme="minorHAnsi"/>
        </w:rPr>
        <w:t xml:space="preserve"> danych, czy wpływa na dostępność systemów, czy do aktywacji zagrożenia wymagana jest interakcja użytkownika, czy wymagane są wyższe uprawnienia systemowe, czy zagrożenie samoczynni</w:t>
      </w:r>
      <w:r>
        <w:rPr>
          <w:rFonts w:asciiTheme="minorHAnsi" w:hAnsiTheme="minorHAnsi" w:cstheme="minorHAnsi"/>
        </w:rPr>
        <w:t>e</w:t>
      </w:r>
      <w:r w:rsidRPr="008C0401">
        <w:rPr>
          <w:rFonts w:asciiTheme="minorHAnsi" w:hAnsiTheme="minorHAnsi" w:cstheme="minorHAnsi"/>
        </w:rPr>
        <w:t xml:space="preserve"> propaguje się po sieci, jakie są używane techniki MITRE ATT&amp;CK.</w:t>
      </w:r>
    </w:p>
    <w:p w14:paraId="3C80F6C2" w14:textId="77777777" w:rsidR="0035633D" w:rsidRPr="008C0401" w:rsidRDefault="0035633D" w:rsidP="0035633D">
      <w:pPr>
        <w:rPr>
          <w:rFonts w:asciiTheme="minorHAnsi" w:hAnsiTheme="minorHAnsi" w:cstheme="minorHAnsi"/>
          <w:i/>
        </w:rPr>
      </w:pPr>
      <w:r w:rsidRPr="008C0401">
        <w:rPr>
          <w:rFonts w:asciiTheme="minorHAnsi" w:hAnsiTheme="minorHAnsi" w:cstheme="minorHAnsi"/>
        </w:rPr>
        <w:sym w:font="Wingdings" w:char="F0A8"/>
      </w:r>
      <w:r w:rsidRPr="008C0401">
        <w:rPr>
          <w:rFonts w:asciiTheme="minorHAnsi" w:hAnsiTheme="minorHAnsi" w:cstheme="minorHAnsi"/>
        </w:rPr>
        <w:t xml:space="preserve">  nie posiada ww. funkcjonalności</w:t>
      </w:r>
    </w:p>
    <w:p w14:paraId="743D8B75" w14:textId="77777777" w:rsidR="0035633D" w:rsidRDefault="0035633D" w:rsidP="0035633D">
      <w:pPr>
        <w:spacing w:line="256" w:lineRule="auto"/>
        <w:ind w:hanging="425"/>
        <w:jc w:val="both"/>
      </w:pPr>
    </w:p>
    <w:p w14:paraId="781BEDA1" w14:textId="53CA57C9" w:rsidR="0035633D" w:rsidRPr="0035633D" w:rsidRDefault="0035633D" w:rsidP="0035633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35633D">
        <w:rPr>
          <w:rFonts w:asciiTheme="minorHAnsi" w:hAnsiTheme="minorHAnsi" w:cstheme="minorHAnsi"/>
          <w:b/>
          <w:bCs/>
        </w:rPr>
        <w:t>Funkcjonalność separacji / granulacji uprawnień użytkowników</w:t>
      </w:r>
    </w:p>
    <w:p w14:paraId="62782981" w14:textId="77777777" w:rsidR="0035633D" w:rsidRPr="008C0401" w:rsidRDefault="0035633D" w:rsidP="0035633D">
      <w:pPr>
        <w:spacing w:line="256" w:lineRule="auto"/>
        <w:jc w:val="both"/>
        <w:rPr>
          <w:rFonts w:asciiTheme="minorHAnsi" w:hAnsiTheme="minorHAnsi" w:cstheme="minorHAnsi"/>
        </w:rPr>
      </w:pPr>
      <w:r w:rsidRPr="008C0401">
        <w:rPr>
          <w:rFonts w:asciiTheme="minorHAnsi" w:hAnsiTheme="minorHAnsi" w:cstheme="minorHAnsi"/>
        </w:rPr>
        <w:sym w:font="Wingdings" w:char="F0A8"/>
      </w:r>
      <w:r w:rsidRPr="008C040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W ramach oferowanego Systemu możliwość zarządzania uprawnieniami w sposób pozwalający tworzyć role użytkowników uniemożliwiające wzajemną widoczność zarządzanych urządzeń (np. użytkownik z rolą uprawniającą do zarządzania urządzeniami z jednej instancji, nie będzie widzieć / mieć dostępu do zarządzania urządzeniami z innej instancji).</w:t>
      </w:r>
    </w:p>
    <w:p w14:paraId="36DD28FC" w14:textId="77777777" w:rsidR="0035633D" w:rsidRPr="008C0401" w:rsidRDefault="0035633D" w:rsidP="0035633D">
      <w:pPr>
        <w:rPr>
          <w:rFonts w:asciiTheme="minorHAnsi" w:hAnsiTheme="minorHAnsi" w:cstheme="minorHAnsi"/>
          <w:i/>
        </w:rPr>
      </w:pPr>
      <w:r w:rsidRPr="008C0401">
        <w:rPr>
          <w:rFonts w:asciiTheme="minorHAnsi" w:hAnsiTheme="minorHAnsi" w:cstheme="minorHAnsi"/>
        </w:rPr>
        <w:sym w:font="Wingdings" w:char="F0A8"/>
      </w:r>
      <w:r w:rsidRPr="008C0401">
        <w:rPr>
          <w:rFonts w:asciiTheme="minorHAnsi" w:hAnsiTheme="minorHAnsi" w:cstheme="minorHAnsi"/>
        </w:rPr>
        <w:t xml:space="preserve">  nie posiada ww. funkcjonalności</w:t>
      </w:r>
    </w:p>
    <w:p w14:paraId="295A79B3" w14:textId="77777777" w:rsidR="0035633D" w:rsidRDefault="0035633D" w:rsidP="0035633D">
      <w:pPr>
        <w:pStyle w:val="Akapitzlist"/>
        <w:tabs>
          <w:tab w:val="center" w:pos="869"/>
          <w:tab w:val="center" w:pos="2994"/>
          <w:tab w:val="center" w:pos="3702"/>
          <w:tab w:val="center" w:pos="5653"/>
        </w:tabs>
        <w:spacing w:after="0"/>
        <w:ind w:left="728"/>
        <w:rPr>
          <w:sz w:val="20"/>
        </w:rPr>
      </w:pPr>
    </w:p>
    <w:p w14:paraId="64F0E52A" w14:textId="77777777" w:rsidR="0035633D" w:rsidRDefault="0035633D" w:rsidP="0035633D">
      <w:pPr>
        <w:pStyle w:val="Akapitzlist"/>
        <w:tabs>
          <w:tab w:val="center" w:pos="869"/>
          <w:tab w:val="center" w:pos="2994"/>
          <w:tab w:val="center" w:pos="3702"/>
          <w:tab w:val="center" w:pos="5653"/>
        </w:tabs>
        <w:spacing w:after="0"/>
        <w:ind w:left="728"/>
        <w:rPr>
          <w:sz w:val="20"/>
        </w:rPr>
      </w:pPr>
    </w:p>
    <w:p w14:paraId="3C69D9A5" w14:textId="0952F52E" w:rsidR="00693C7C" w:rsidRDefault="00DA08A7" w:rsidP="0035633D">
      <w:pPr>
        <w:pStyle w:val="Akapitzlist"/>
        <w:tabs>
          <w:tab w:val="center" w:pos="869"/>
          <w:tab w:val="center" w:pos="2994"/>
          <w:tab w:val="center" w:pos="3702"/>
          <w:tab w:val="center" w:pos="5653"/>
        </w:tabs>
        <w:spacing w:after="0"/>
        <w:ind w:left="728"/>
      </w:pPr>
      <w:r w:rsidRPr="0035633D">
        <w:rPr>
          <w:sz w:val="20"/>
        </w:rPr>
        <w:t xml:space="preserve">     </w:t>
      </w:r>
      <w:r w:rsidRPr="0035633D">
        <w:rPr>
          <w:sz w:val="20"/>
        </w:rPr>
        <w:tab/>
        <w:t xml:space="preserve">                                         </w:t>
      </w:r>
      <w:r w:rsidRPr="0035633D">
        <w:rPr>
          <w:sz w:val="20"/>
        </w:rPr>
        <w:tab/>
        <w:t xml:space="preserve"> </w:t>
      </w:r>
      <w:r w:rsidRPr="0035633D">
        <w:rPr>
          <w:sz w:val="20"/>
        </w:rPr>
        <w:tab/>
        <w:t xml:space="preserve"> </w:t>
      </w:r>
      <w:r w:rsidRPr="0035633D">
        <w:rPr>
          <w:sz w:val="20"/>
        </w:rPr>
        <w:tab/>
      </w:r>
      <w:r w:rsidR="0035633D">
        <w:rPr>
          <w:sz w:val="20"/>
        </w:rPr>
        <w:tab/>
      </w:r>
      <w:r w:rsidR="0035633D">
        <w:rPr>
          <w:sz w:val="20"/>
        </w:rPr>
        <w:tab/>
      </w:r>
      <w:r w:rsidR="0035633D">
        <w:rPr>
          <w:sz w:val="20"/>
        </w:rPr>
        <w:tab/>
      </w:r>
      <w:r w:rsidR="0035633D">
        <w:rPr>
          <w:sz w:val="20"/>
        </w:rPr>
        <w:tab/>
      </w:r>
      <w:r w:rsidR="0035633D">
        <w:rPr>
          <w:sz w:val="20"/>
        </w:rPr>
        <w:tab/>
      </w:r>
      <w:r w:rsidR="0035633D">
        <w:rPr>
          <w:sz w:val="20"/>
        </w:rPr>
        <w:tab/>
      </w:r>
      <w:r w:rsidR="0035633D">
        <w:rPr>
          <w:sz w:val="20"/>
        </w:rPr>
        <w:tab/>
        <w:t xml:space="preserve">                    </w:t>
      </w:r>
      <w:r w:rsidRPr="0035633D">
        <w:rPr>
          <w:sz w:val="20"/>
        </w:rPr>
        <w:t xml:space="preserve">_________________________ </w:t>
      </w:r>
    </w:p>
    <w:p w14:paraId="2F78C5C5" w14:textId="40233678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Podpis osoby upoważnionej </w:t>
      </w:r>
    </w:p>
    <w:sectPr w:rsidR="00693C7C">
      <w:footerReference w:type="default" r:id="rId8"/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13B90" w14:textId="77777777" w:rsidR="002464A1" w:rsidRDefault="002464A1" w:rsidP="00EA365F">
      <w:pPr>
        <w:spacing w:after="0" w:line="240" w:lineRule="auto"/>
      </w:pPr>
      <w:r>
        <w:separator/>
      </w:r>
    </w:p>
  </w:endnote>
  <w:endnote w:type="continuationSeparator" w:id="0">
    <w:p w14:paraId="560AAE63" w14:textId="77777777" w:rsidR="002464A1" w:rsidRDefault="002464A1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0400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229D3DD" w14:textId="5588D963" w:rsidR="00F7301E" w:rsidRDefault="00F7301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BA4542" w14:textId="77777777" w:rsidR="00F7301E" w:rsidRDefault="00F730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414DC" w14:textId="77777777" w:rsidR="002464A1" w:rsidRDefault="002464A1" w:rsidP="00EA365F">
      <w:pPr>
        <w:spacing w:after="0" w:line="240" w:lineRule="auto"/>
      </w:pPr>
      <w:r>
        <w:separator/>
      </w:r>
    </w:p>
  </w:footnote>
  <w:footnote w:type="continuationSeparator" w:id="0">
    <w:p w14:paraId="4E7AC466" w14:textId="77777777" w:rsidR="002464A1" w:rsidRDefault="002464A1" w:rsidP="00E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E57"/>
    <w:multiLevelType w:val="hybridMultilevel"/>
    <w:tmpl w:val="86364E28"/>
    <w:lvl w:ilvl="0" w:tplc="E8104E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09C"/>
    <w:multiLevelType w:val="hybridMultilevel"/>
    <w:tmpl w:val="42D42B34"/>
    <w:lvl w:ilvl="0" w:tplc="1250DE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81A84"/>
    <w:multiLevelType w:val="hybridMultilevel"/>
    <w:tmpl w:val="C91E3A82"/>
    <w:lvl w:ilvl="0" w:tplc="A412C958">
      <w:start w:val="1"/>
      <w:numFmt w:val="lowerLetter"/>
      <w:lvlText w:val="%1)"/>
      <w:lvlJc w:val="left"/>
      <w:pPr>
        <w:ind w:left="354" w:hanging="360"/>
      </w:pPr>
      <w:rPr>
        <w:rFonts w:asciiTheme="majorHAnsi" w:eastAsiaTheme="majorEastAsia" w:hAnsiTheme="majorHAnsi" w:cstheme="majorBid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39413465"/>
    <w:multiLevelType w:val="hybridMultilevel"/>
    <w:tmpl w:val="CBF033BC"/>
    <w:lvl w:ilvl="0" w:tplc="D00E4CD4">
      <w:numFmt w:val="bullet"/>
      <w:lvlText w:val=""/>
      <w:lvlJc w:val="left"/>
      <w:pPr>
        <w:ind w:left="87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5" w15:restartNumberingAfterBreak="0">
    <w:nsid w:val="424A4DF9"/>
    <w:multiLevelType w:val="hybridMultilevel"/>
    <w:tmpl w:val="4FE0A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7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5311946">
    <w:abstractNumId w:val="7"/>
  </w:num>
  <w:num w:numId="2" w16cid:durableId="677736487">
    <w:abstractNumId w:val="6"/>
  </w:num>
  <w:num w:numId="3" w16cid:durableId="829560640">
    <w:abstractNumId w:val="4"/>
  </w:num>
  <w:num w:numId="4" w16cid:durableId="1349257469">
    <w:abstractNumId w:val="1"/>
  </w:num>
  <w:num w:numId="5" w16cid:durableId="1028603531">
    <w:abstractNumId w:val="0"/>
  </w:num>
  <w:num w:numId="6" w16cid:durableId="1204707028">
    <w:abstractNumId w:val="3"/>
  </w:num>
  <w:num w:numId="7" w16cid:durableId="910844414">
    <w:abstractNumId w:val="2"/>
  </w:num>
  <w:num w:numId="8" w16cid:durableId="44720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075B78"/>
    <w:rsid w:val="00231331"/>
    <w:rsid w:val="00231FC5"/>
    <w:rsid w:val="002464A1"/>
    <w:rsid w:val="002844ED"/>
    <w:rsid w:val="002D3101"/>
    <w:rsid w:val="0035633D"/>
    <w:rsid w:val="003772AA"/>
    <w:rsid w:val="003C692D"/>
    <w:rsid w:val="0047100F"/>
    <w:rsid w:val="005E57EF"/>
    <w:rsid w:val="00692D43"/>
    <w:rsid w:val="00693C7C"/>
    <w:rsid w:val="006B743E"/>
    <w:rsid w:val="00892B97"/>
    <w:rsid w:val="008E2444"/>
    <w:rsid w:val="009368F8"/>
    <w:rsid w:val="0095610E"/>
    <w:rsid w:val="009878F5"/>
    <w:rsid w:val="009E0DBE"/>
    <w:rsid w:val="00A34729"/>
    <w:rsid w:val="00A601A5"/>
    <w:rsid w:val="00AF6A53"/>
    <w:rsid w:val="00B37C37"/>
    <w:rsid w:val="00B636C3"/>
    <w:rsid w:val="00C003C6"/>
    <w:rsid w:val="00CF3097"/>
    <w:rsid w:val="00DA08A7"/>
    <w:rsid w:val="00EA365F"/>
    <w:rsid w:val="00EC390C"/>
    <w:rsid w:val="00ED3186"/>
    <w:rsid w:val="00F15DD8"/>
    <w:rsid w:val="00F300DF"/>
    <w:rsid w:val="00F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8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2024-06-13T07:56:00Z</dcterms:created>
  <dcterms:modified xsi:type="dcterms:W3CDTF">2024-06-14T09:28:00Z</dcterms:modified>
</cp:coreProperties>
</file>