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cs="Calibri"/>
          <w:b/>
          <w:bCs/>
          <w:i/>
          <w:i/>
          <w:color w:val="2C2C2C"/>
          <w:sz w:val="26"/>
          <w:szCs w:val="26"/>
        </w:rPr>
      </w:pPr>
      <w:r>
        <w:rPr>
          <w:rStyle w:val="Strong"/>
          <w:rFonts w:cs="Calibri"/>
          <w:i/>
          <w:sz w:val="26"/>
          <w:szCs w:val="26"/>
        </w:rPr>
        <w:t>Szanowni Państwo</w:t>
      </w:r>
      <w:r>
        <w:rPr>
          <w:rStyle w:val="Strong"/>
          <w:rFonts w:cs="Calibri"/>
          <w:i/>
          <w:color w:val="2C2C2C"/>
          <w:sz w:val="26"/>
          <w:szCs w:val="26"/>
        </w:rPr>
        <w:t>,</w:t>
      </w:r>
    </w:p>
    <w:p>
      <w:pPr>
        <w:pStyle w:val="Normal"/>
        <w:spacing w:before="0" w:after="0"/>
        <w:jc w:val="both"/>
        <w:rPr>
          <w:rFonts w:cs="Calibri"/>
          <w:i/>
          <w:i/>
          <w:sz w:val="24"/>
          <w:szCs w:val="24"/>
          <w:lang w:eastAsia="pl-PL"/>
        </w:rPr>
      </w:pPr>
      <w:r>
        <w:rPr>
          <w:rFonts w:cs="Calibri"/>
          <w:iCs/>
          <w:sz w:val="24"/>
          <w:szCs w:val="24"/>
          <w:lang w:eastAsia="pl-PL"/>
        </w:rPr>
        <w:t>uprzejmie przypominamy</w:t>
      </w:r>
      <w:r>
        <w:rPr>
          <w:rFonts w:cs="Calibri"/>
          <w:sz w:val="24"/>
          <w:szCs w:val="24"/>
          <w:shd w:fill="FFFFFF" w:val="clear"/>
        </w:rPr>
        <w:t xml:space="preserve"> o </w:t>
      </w:r>
      <w:r>
        <w:rPr>
          <w:rFonts w:cs="Calibri"/>
          <w:b/>
          <w:i/>
          <w:sz w:val="24"/>
          <w:szCs w:val="24"/>
          <w:shd w:fill="FFFFFF" w:val="clear"/>
        </w:rPr>
        <w:t>corocznym</w:t>
      </w:r>
      <w:r>
        <w:rPr>
          <w:rFonts w:cs="Calibri"/>
          <w:i/>
          <w:sz w:val="24"/>
          <w:szCs w:val="24"/>
          <w:shd w:fill="FFFFFF" w:val="clear"/>
        </w:rPr>
        <w:t xml:space="preserve"> </w:t>
      </w:r>
      <w:r>
        <w:rPr>
          <w:rStyle w:val="Strong"/>
          <w:rFonts w:cs="Calibri"/>
          <w:i/>
          <w:sz w:val="24"/>
          <w:szCs w:val="24"/>
          <w:shd w:fill="FFFFFF" w:val="clear"/>
        </w:rPr>
        <w:t>obowiązku statystycznym</w:t>
      </w:r>
      <w:r>
        <w:rPr>
          <w:rFonts w:cs="Calibri"/>
          <w:sz w:val="24"/>
          <w:szCs w:val="24"/>
          <w:shd w:fill="FFFFFF" w:val="clear"/>
        </w:rPr>
        <w:t xml:space="preserve"> wynikającym</w:t>
        <w:br/>
        <w:t xml:space="preserve">z art. 30 ust. 1 pkt 3 </w:t>
      </w:r>
      <w:hyperlink r:id="rId2">
        <w:r>
          <w:rPr>
            <w:rFonts w:cs="Calibri"/>
            <w:b/>
            <w:color w:val="0000FF"/>
            <w:sz w:val="24"/>
            <w:szCs w:val="24"/>
            <w:u w:val="single"/>
            <w:shd w:fill="FFFFFF" w:val="clear"/>
          </w:rPr>
          <w:t xml:space="preserve">ustawy z dnia 29 czerwca 1995 r. </w:t>
        </w:r>
        <w:r>
          <w:rPr>
            <w:rFonts w:cs="Calibri"/>
            <w:b/>
            <w:i/>
            <w:color w:val="0000FF"/>
            <w:sz w:val="24"/>
            <w:szCs w:val="24"/>
            <w:u w:val="single"/>
            <w:shd w:fill="FFFFFF" w:val="clear"/>
          </w:rPr>
          <w:t>o statystyce publicznej</w:t>
        </w:r>
      </w:hyperlink>
      <w:r>
        <w:rPr>
          <w:rFonts w:cs="Calibri"/>
          <w:sz w:val="24"/>
          <w:szCs w:val="24"/>
          <w:shd w:fill="FFFFFF" w:val="clear"/>
        </w:rPr>
        <w:t xml:space="preserve"> </w:t>
      </w:r>
      <w:r>
        <w:rPr>
          <w:rFonts w:cs="Calibri"/>
          <w:sz w:val="24"/>
          <w:szCs w:val="24"/>
          <w:lang w:eastAsia="pl-PL"/>
        </w:rPr>
        <w:t xml:space="preserve">oraz </w:t>
      </w:r>
      <w:hyperlink r:id="rId3">
        <w:r>
          <w:rPr>
            <w:rFonts w:cs="Calibri"/>
            <w:b/>
            <w:color w:val="0000FF"/>
            <w:sz w:val="24"/>
            <w:szCs w:val="24"/>
            <w:u w:val="single"/>
            <w:lang w:eastAsia="pl-PL"/>
          </w:rPr>
          <w:t>Rozporządzenia Rady Ministrów z dnia 7 grudnia 2023 r.</w:t>
        </w:r>
        <w:r>
          <w:rPr>
            <w:rFonts w:cs="Calibri"/>
            <w:b/>
            <w:i/>
            <w:color w:val="0000FF"/>
            <w:sz w:val="24"/>
            <w:szCs w:val="24"/>
            <w:u w:val="single"/>
            <w:lang w:eastAsia="pl-PL"/>
          </w:rPr>
          <w:br/>
          <w:t>w sprawie programu badań statystycznych statystyki publicznej na rok 202</w:t>
        </w:r>
      </w:hyperlink>
      <w:r>
        <w:rPr>
          <w:rFonts w:cs="Calibri"/>
          <w:b/>
          <w:i/>
          <w:color w:val="0000FF"/>
          <w:sz w:val="24"/>
          <w:szCs w:val="24"/>
          <w:u w:val="single"/>
          <w:lang w:eastAsia="pl-PL"/>
        </w:rPr>
        <w:t>4</w:t>
      </w:r>
      <w:r>
        <w:rPr>
          <w:rFonts w:cs="Calibri"/>
          <w:i/>
          <w:sz w:val="24"/>
          <w:szCs w:val="24"/>
          <w:lang w:eastAsia="pl-PL"/>
        </w:rPr>
        <w:t>.</w:t>
      </w:r>
    </w:p>
    <w:p>
      <w:pPr>
        <w:pStyle w:val="Normal"/>
        <w:spacing w:before="0" w:after="0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</w:r>
    </w:p>
    <w:p>
      <w:pPr>
        <w:pStyle w:val="Normal"/>
        <w:spacing w:before="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Podmioty określone w Programie badań statystycznych są obowiązane do udzielenia</w:t>
        <w:br/>
        <w:t>i przekazania prowadzącemu badanie pełnych, zgodnych ze stanem faktycznym, rzetelnych</w:t>
        <w:br/>
        <w:t>i wyczerpujących danych, zgodnie ze szczegółowym zakresem, w formie, postaci i terminach określonych w ww. Programie.</w:t>
      </w:r>
    </w:p>
    <w:p>
      <w:pPr>
        <w:pStyle w:val="Normal"/>
        <w:spacing w:before="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Ustawodawca w art. 56 - 58 ustawy o statystyce publicznej przewiduje karę grzywny za: odmowę wykonania obowiązku statystycznego oraz przekazanie danych niezgodnych ze stanem faktycznym i po upływie oznaczonego terminu</w:t>
      </w:r>
      <w:r>
        <w:rPr/>
        <w:t>.</w:t>
      </w:r>
    </w:p>
    <w:p>
      <w:pPr>
        <w:pStyle w:val="Normal"/>
        <w:spacing w:before="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 xml:space="preserve">Sprawozdania </w:t>
      </w:r>
      <w:r>
        <w:rPr>
          <w:rFonts w:cs="Calibri"/>
          <w:bCs/>
          <w:sz w:val="24"/>
          <w:szCs w:val="24"/>
        </w:rPr>
        <w:t>MZ-88 i MZ-89</w:t>
      </w:r>
      <w:r>
        <w:rPr>
          <w:rFonts w:cs="Calibri"/>
          <w:sz w:val="24"/>
          <w:szCs w:val="24"/>
        </w:rPr>
        <w:t xml:space="preserve"> dotyczą wszystkich podmiotów wykonujących działalność leczniczą oraz praktyk zawodowych </w:t>
      </w:r>
      <w:r>
        <w:rPr>
          <w:rFonts w:cs="Calibri"/>
          <w:bCs/>
          <w:sz w:val="24"/>
          <w:szCs w:val="24"/>
          <w:lang w:eastAsia="pl-PL"/>
        </w:rPr>
        <w:t xml:space="preserve">bez względu na kod praktyki </w:t>
      </w:r>
      <w:r>
        <w:rPr>
          <w:rFonts w:cs="Calibri"/>
          <w:sz w:val="24"/>
          <w:szCs w:val="24"/>
          <w:lang w:eastAsia="pl-PL"/>
        </w:rPr>
        <w:t>wpisany w Rejestrze Podmiotów Wykonujących Działalność Leczniczą.</w:t>
      </w:r>
    </w:p>
    <w:p>
      <w:pPr>
        <w:pStyle w:val="Normal"/>
        <w:spacing w:before="0" w:after="0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</w:r>
    </w:p>
    <w:p>
      <w:pPr>
        <w:pStyle w:val="Normal"/>
        <w:spacing w:before="0" w:after="0"/>
        <w:jc w:val="both"/>
        <w:rPr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Forma przekazywania danych:</w:t>
      </w:r>
    </w:p>
    <w:p>
      <w:pPr>
        <w:pStyle w:val="NoSpacing"/>
        <w:numPr>
          <w:ilvl w:val="0"/>
          <w:numId w:val="2"/>
        </w:numPr>
        <w:spacing w:lineRule="auto" w:line="276"/>
        <w:ind w:hanging="360" w:left="720" w:right="-283"/>
        <w:rPr>
          <w:color w:val="000000"/>
        </w:rPr>
      </w:pPr>
      <w:r>
        <w:rPr>
          <w:color w:val="000000"/>
          <w:sz w:val="24"/>
          <w:szCs w:val="24"/>
        </w:rPr>
        <w:t xml:space="preserve">obowiązującą formą przekazywania danych jest </w:t>
      </w:r>
      <w:r>
        <w:rPr>
          <w:b/>
          <w:color w:val="000000"/>
          <w:sz w:val="24"/>
          <w:szCs w:val="24"/>
        </w:rPr>
        <w:t>forma elektroniczna</w:t>
      </w:r>
      <w:r>
        <w:rPr>
          <w:color w:val="000000"/>
          <w:sz w:val="24"/>
          <w:szCs w:val="24"/>
        </w:rPr>
        <w:t xml:space="preserve"> realizowana przez System Statystyki w Ochronie Zdrowia (SSOZ) </w:t>
      </w:r>
      <w:r>
        <w:rPr>
          <w:color w:val="000000"/>
          <w:sz w:val="24"/>
          <w:szCs w:val="24"/>
          <w:u w:val="single"/>
        </w:rPr>
        <w:t>https://ssoz.ezdrowie.gov.pl/info.html</w:t>
      </w:r>
    </w:p>
    <w:p>
      <w:pPr>
        <w:pStyle w:val="NoSpacing"/>
        <w:numPr>
          <w:ilvl w:val="0"/>
          <w:numId w:val="2"/>
        </w:numPr>
        <w:spacing w:lineRule="auto" w:line="276"/>
        <w:rPr>
          <w:color w:val="000000"/>
        </w:rPr>
      </w:pPr>
      <w:r>
        <w:rPr>
          <w:color w:val="000000"/>
          <w:sz w:val="24"/>
          <w:szCs w:val="24"/>
        </w:rPr>
        <w:t>wypełnienie sprawozdań wymaga zalogowania się w Systemie za pomocą aplikacji mObywatel (forma zalecana) czy za pomocą innych aplikacji takich jak: Profil Zaufany, Bankowość elektroniczna czy e-Dowód</w:t>
      </w:r>
    </w:p>
    <w:p>
      <w:pPr>
        <w:pStyle w:val="NoSpacing"/>
        <w:numPr>
          <w:ilvl w:val="0"/>
          <w:numId w:val="2"/>
        </w:numPr>
        <w:spacing w:lineRule="auto" w:line="276"/>
        <w:rPr>
          <w:color w:val="000000"/>
        </w:rPr>
      </w:pPr>
      <w:r>
        <w:rPr>
          <w:color w:val="000000"/>
          <w:sz w:val="24"/>
          <w:szCs w:val="24"/>
        </w:rPr>
        <w:t>konta użytkowników, którzy wypełniali sprawozdania w latach ubiegłych nie uległy zmianie i pozostają aktywne</w:t>
      </w:r>
    </w:p>
    <w:p>
      <w:pPr>
        <w:pStyle w:val="NoSpacing"/>
        <w:numPr>
          <w:ilvl w:val="0"/>
          <w:numId w:val="2"/>
        </w:numPr>
        <w:spacing w:lineRule="auto" w:line="276"/>
        <w:ind w:hanging="360" w:left="720" w:right="-284"/>
        <w:rPr/>
      </w:pPr>
      <w:r>
        <w:rPr>
          <w:color w:val="000000"/>
          <w:sz w:val="24"/>
          <w:szCs w:val="24"/>
        </w:rPr>
        <w:t>osoby, korzystające po raz pierwszy z systemu muszą się zarejestrować zgodnie</w:t>
        <w:br/>
        <w:t xml:space="preserve">z wytycznymi, znajdującymi się pod adresem: </w:t>
      </w:r>
      <w:hyperlink r:id="rId4">
        <w:r>
          <w:rPr>
            <w:rStyle w:val="Hyperlink"/>
            <w:rFonts w:cs="Calibri"/>
            <w:color w:val="000000"/>
            <w:sz w:val="24"/>
            <w:szCs w:val="24"/>
          </w:rPr>
          <w:t>https://ssoz.ezdrowie.gov.pl/auth/default/register.html</w:t>
        </w:r>
      </w:hyperlink>
    </w:p>
    <w:p>
      <w:pPr>
        <w:pStyle w:val="Annotationtext"/>
        <w:rPr>
          <w:rFonts w:eastAsia="Segoe UI Emoji" w:cs="Calibri"/>
          <w:bCs/>
          <w:color w:val="0000FF"/>
          <w:sz w:val="24"/>
          <w:szCs w:val="24"/>
        </w:rPr>
      </w:pPr>
      <w:r>
        <w:rPr>
          <w:rFonts w:eastAsia="Segoe UI Emoji" w:cs="Calibri"/>
          <w:bCs/>
          <w:color w:val="0000FF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color w:val="000000"/>
          <w:sz w:val="24"/>
          <w:szCs w:val="24"/>
          <w:lang w:eastAsia="pl-PL"/>
        </w:rPr>
      </w:pPr>
      <w:r>
        <w:rPr>
          <w:b/>
          <w:i/>
          <w:sz w:val="24"/>
          <w:szCs w:val="24"/>
        </w:rPr>
        <w:t>Pomoc merytoryczną</w:t>
      </w:r>
      <w:r>
        <w:rPr>
          <w:sz w:val="24"/>
          <w:szCs w:val="24"/>
        </w:rPr>
        <w:t xml:space="preserve"> w zakresie obowiązku statystycznego oraz wypełniania formularzy statystycznych można uzyskać pod wskazanymi niżej numerami telefonów </w:t>
      </w:r>
      <w:r>
        <w:rPr>
          <w:color w:val="000000"/>
          <w:sz w:val="24"/>
          <w:szCs w:val="24"/>
          <w:lang w:eastAsia="pl-PL"/>
        </w:rPr>
        <w:t>Lubelskiego Urzędu Wojewódzkiego w Lublinie Wydziału Zdrowia:</w:t>
      </w:r>
    </w:p>
    <w:p>
      <w:pPr>
        <w:pStyle w:val="NoSpacing"/>
        <w:numPr>
          <w:ilvl w:val="0"/>
          <w:numId w:val="3"/>
        </w:numPr>
        <w:jc w:val="both"/>
        <w:rPr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tel. 81-532-87-09 - </w:t>
      </w:r>
      <w:r>
        <w:rPr>
          <w:sz w:val="24"/>
          <w:szCs w:val="24"/>
          <w:lang w:eastAsia="pl-PL"/>
        </w:rPr>
        <w:t xml:space="preserve">dla powiatów:  hrubieszowskiego, lubartowskiego, łęczyńskiego, ryckiego, świdnickiego, tomaszowskiego, włodawskiego, zamojskiego oraz </w:t>
        <w:br/>
        <w:t xml:space="preserve"> m. Zamość </w:t>
      </w:r>
    </w:p>
    <w:p>
      <w:pPr>
        <w:pStyle w:val="NoSpacing"/>
        <w:ind w:left="72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</w:r>
    </w:p>
    <w:p>
      <w:pPr>
        <w:pStyle w:val="NoSpacing"/>
        <w:numPr>
          <w:ilvl w:val="0"/>
          <w:numId w:val="3"/>
        </w:numPr>
        <w:jc w:val="both"/>
        <w:rPr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tel. 81-532-38-34 – </w:t>
      </w:r>
      <w:r>
        <w:rPr>
          <w:sz w:val="24"/>
          <w:szCs w:val="24"/>
          <w:lang w:eastAsia="pl-PL"/>
        </w:rPr>
        <w:t>dla powiatów: chełmskiego, janowskiego, krasnostawskiego,  lubelskiego, łukowskiego, opolskiego, parczewskiego, puławskiego oraz m. Chełm</w:t>
        <w:br/>
        <w:t xml:space="preserve"> i m. Lublin</w:t>
      </w:r>
    </w:p>
    <w:p>
      <w:pPr>
        <w:pStyle w:val="NoSpacing"/>
        <w:numPr>
          <w:ilvl w:val="0"/>
          <w:numId w:val="3"/>
        </w:numPr>
        <w:jc w:val="both"/>
        <w:rPr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tel. 81-307-99-62 -</w:t>
      </w:r>
      <w:r>
        <w:rPr>
          <w:sz w:val="24"/>
          <w:szCs w:val="24"/>
          <w:lang w:eastAsia="pl-PL"/>
        </w:rPr>
        <w:t xml:space="preserve"> dla powiatów: bialskiego, biłgorajskiego, kraśnickiego, radzyńskiego oraz  m. Biała Podlaska</w:t>
      </w:r>
    </w:p>
    <w:p>
      <w:pPr>
        <w:pStyle w:val="NoSpacing"/>
        <w:jc w:val="both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</w:r>
    </w:p>
    <w:p>
      <w:pPr>
        <w:pStyle w:val="NormalWeb"/>
        <w:spacing w:lineRule="auto" w:line="276" w:before="280" w:after="28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i/>
        </w:rPr>
        <w:t>Pomoc techniczną w zakresie SSOZ</w:t>
      </w:r>
      <w:r>
        <w:rPr>
          <w:rFonts w:cs="Calibri" w:ascii="Calibri" w:hAnsi="Calibri"/>
        </w:rPr>
        <w:t>, bądź pomoc w zakresie logowania do SSOZ można uzyskać na infolinii Centrum e-Zdrowia dostępnej całodobowo, 7 dni w tygodniu, 365 dni w roku:</w:t>
      </w:r>
    </w:p>
    <w:p>
      <w:pPr>
        <w:pStyle w:val="NormalWeb"/>
        <w:numPr>
          <w:ilvl w:val="0"/>
          <w:numId w:val="1"/>
        </w:numPr>
        <w:spacing w:before="280" w:after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pod telefonem </w:t>
      </w:r>
      <w:r>
        <w:rPr>
          <w:rFonts w:cs="Calibri" w:ascii="Calibri" w:hAnsi="Calibri"/>
          <w:b/>
        </w:rPr>
        <w:t>19 239</w:t>
      </w:r>
    </w:p>
    <w:p>
      <w:pPr>
        <w:pStyle w:val="NormalWeb"/>
        <w:numPr>
          <w:ilvl w:val="0"/>
          <w:numId w:val="1"/>
        </w:numPr>
        <w:spacing w:before="0" w:after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mailem: </w:t>
      </w:r>
      <w:hyperlink r:id="rId5">
        <w:r>
          <w:rPr>
            <w:rStyle w:val="Hyperlink"/>
            <w:rFonts w:cs="Calibri" w:ascii="Calibri" w:hAnsi="Calibri"/>
          </w:rPr>
          <w:t>ssoz@cez.gov.pl</w:t>
        </w:r>
      </w:hyperlink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300" w:before="120" w:after="0"/>
        <w:contextualSpacing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dla dzwoniących z zagranicy +48 515 239 239</w:t>
      </w:r>
    </w:p>
    <w:p>
      <w:pPr>
        <w:pStyle w:val="Normal"/>
        <w:spacing w:before="0" w:after="200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1417" w:right="1417" w:gutter="0" w:header="0" w:top="851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52d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unhideWhenUsed/>
    <w:rsid w:val="00d052dd"/>
    <w:rPr>
      <w:color w:val="0000FF"/>
      <w:u w:val="single"/>
    </w:rPr>
  </w:style>
  <w:style w:type="character" w:styleId="Strong">
    <w:name w:val="Strong"/>
    <w:uiPriority w:val="22"/>
    <w:qFormat/>
    <w:rsid w:val="00d052dd"/>
    <w:rPr>
      <w:b/>
      <w:bCs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d052dd"/>
    <w:rPr>
      <w:rFonts w:ascii="Calibri" w:hAnsi="Calibri" w:eastAsia="Calibri" w:cs="Times New Roman"/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93b63"/>
    <w:rPr>
      <w:sz w:val="16"/>
      <w:szCs w:val="16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c93b63"/>
    <w:rPr>
      <w:rFonts w:ascii="Calibri" w:hAnsi="Calibri" w:eastAsia="Calibri" w:cs="Times New Roman"/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93b63"/>
    <w:rPr>
      <w:rFonts w:ascii="Segoe UI" w:hAnsi="Segoe UI" w:eastAsia="Calibr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911da9"/>
    <w:rPr>
      <w:color w:val="80808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d4164a"/>
    <w:pPr>
      <w:spacing w:before="0" w:after="140"/>
    </w:pPr>
    <w:rPr/>
  </w:style>
  <w:style w:type="paragraph" w:styleId="List">
    <w:name w:val="List"/>
    <w:basedOn w:val="BodyText"/>
    <w:rsid w:val="00d4164a"/>
    <w:pPr/>
    <w:rPr>
      <w:rFonts w:cs="Arial"/>
    </w:rPr>
  </w:style>
  <w:style w:type="paragraph" w:styleId="Caption" w:customStyle="1">
    <w:name w:val="Caption"/>
    <w:basedOn w:val="Normal"/>
    <w:qFormat/>
    <w:rsid w:val="00d4164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d4164a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rsid w:val="00d4164a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d052dd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d052d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d052dd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735ba"/>
    <w:pPr>
      <w:spacing w:before="0" w:after="200"/>
      <w:ind w:left="720"/>
      <w:contextualSpacing/>
    </w:pPr>
    <w:rPr/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93b63"/>
    <w:pPr>
      <w:spacing w:lineRule="auto" w:line="240"/>
    </w:pPr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93b6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sap.sejm.gov.pl/isap.nsf/DocDetails.xsp?id=WDU20230000773" TargetMode="External"/><Relationship Id="rId3" Type="http://schemas.openxmlformats.org/officeDocument/2006/relationships/hyperlink" Target="https://isap.sejm.gov.pl/isap.nsf/DocDetails.xsp?id=WDU20220002453" TargetMode="External"/><Relationship Id="rId4" Type="http://schemas.openxmlformats.org/officeDocument/2006/relationships/hyperlink" Target="https://ssoz.ezdrowie.gov.pl/auth/default/register.html" TargetMode="External"/><Relationship Id="rId5" Type="http://schemas.openxmlformats.org/officeDocument/2006/relationships/hyperlink" Target="mailto:ssoz@cez.gov.pl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Application>LibreOffice/24.2.2.2$Windows_X86_64 LibreOffice_project/d56cc158d8a96260b836f100ef4b4ef25d6f1a01</Application>
  <AppVersion>15.0000</AppVersion>
  <Pages>2</Pages>
  <Words>337</Words>
  <Characters>2300</Characters>
  <CharactersWithSpaces>2617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2024-01-03T10:31:00Z</dcterms:created>
  <dc:creator>Nowomiejska Joanna</dc:creator>
  <dc:description/>
  <dc:language>pl-PL</dc:language>
  <cp:lastModifiedBy/>
  <dcterms:modified xsi:type="dcterms:W3CDTF">2025-01-08T11:41:31Z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