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84B5" w14:textId="77777777" w:rsidR="00D1198A" w:rsidRDefault="00D1198A"/>
    <w:p w14:paraId="42971A8D" w14:textId="77777777" w:rsidR="00D1198A" w:rsidRDefault="00D1198A">
      <w:pPr>
        <w:rPr>
          <w:color w:val="000000"/>
          <w:sz w:val="20"/>
          <w:szCs w:val="20"/>
        </w:rPr>
      </w:pPr>
    </w:p>
    <w:p w14:paraId="6FB0EF56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6B7CA8DA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05F4ADB4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404203D4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0763BE6A" w14:textId="40D7F0AE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37392AD6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50706907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7DBCED21" w14:textId="77777777" w:rsidR="00B705B2" w:rsidRDefault="00B705B2" w:rsidP="00B705B2">
      <w:pPr>
        <w:pStyle w:val="NormalnyWeb"/>
        <w:rPr>
          <w:rFonts w:ascii="Arial" w:hAnsi="Arial" w:cs="Arial"/>
          <w:b/>
          <w:bCs/>
        </w:rPr>
      </w:pPr>
    </w:p>
    <w:p w14:paraId="662BFA00" w14:textId="6B165F43" w:rsidR="00B705B2" w:rsidRDefault="00B705B2" w:rsidP="00B705B2">
      <w:pPr>
        <w:pStyle w:val="Normalny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ZAŁĄCZNIK nr 1</w:t>
      </w:r>
      <w:r w:rsidR="0009075D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 do </w:t>
      </w:r>
      <w:r w:rsidR="00A31E19">
        <w:rPr>
          <w:rFonts w:ascii="Arial" w:hAnsi="Arial" w:cs="Arial"/>
          <w:b/>
          <w:bCs/>
        </w:rPr>
        <w:t>Wstępnego opisu przedmiotu zamówienia</w:t>
      </w:r>
    </w:p>
    <w:p w14:paraId="7F40F207" w14:textId="050C3849" w:rsidR="00B705B2" w:rsidRDefault="00B705B2" w:rsidP="00B705B2">
      <w:pPr>
        <w:pStyle w:val="NormalnyWeb"/>
      </w:pPr>
      <w:r>
        <w:rPr>
          <w:rFonts w:ascii="Arial" w:hAnsi="Arial" w:cs="Arial"/>
          <w:b/>
          <w:bCs/>
        </w:rPr>
        <w:t xml:space="preserve">Proces dla DDD </w:t>
      </w:r>
    </w:p>
    <w:p w14:paraId="39E2645F" w14:textId="2ABC287E" w:rsidR="00D1198A" w:rsidRDefault="00921D0C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 w:type="page"/>
      </w:r>
    </w:p>
    <w:p w14:paraId="0F6A2BDD" w14:textId="28FAE564" w:rsidR="00B705B2" w:rsidRDefault="00B705B2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E9C5BAD" w14:textId="77777777" w:rsidR="00D1198A" w:rsidRDefault="00921D0C">
      <w:pPr>
        <w:pStyle w:val="Nagwek3"/>
        <w:rPr>
          <w:color w:val="000000"/>
        </w:rPr>
      </w:pPr>
      <w:bookmarkStart w:id="0" w:name="_Toc79068848"/>
      <w:bookmarkStart w:id="1" w:name="BKM_BFB8E632_A04D_49EB_813D_67E049FC7ED5"/>
      <w:r>
        <w:rPr>
          <w:color w:val="000000"/>
        </w:rPr>
        <w:t>02 DDD</w:t>
      </w:r>
      <w:bookmarkEnd w:id="0"/>
      <w:r>
        <w:rPr>
          <w:color w:val="000000"/>
        </w:rPr>
        <w:t xml:space="preserve"> </w:t>
      </w:r>
    </w:p>
    <w:p w14:paraId="6F75B3E4" w14:textId="77777777" w:rsidR="00D1198A" w:rsidRDefault="00D1198A">
      <w:pPr>
        <w:pStyle w:val="Notes"/>
        <w:rPr>
          <w:color w:val="000000"/>
        </w:rPr>
      </w:pPr>
    </w:p>
    <w:p w14:paraId="11832CF0" w14:textId="77777777" w:rsidR="00D1198A" w:rsidRDefault="00921D0C">
      <w:pPr>
        <w:pStyle w:val="Notes"/>
        <w:rPr>
          <w:color w:val="000000"/>
        </w:rPr>
      </w:pPr>
      <w:r>
        <w:rPr>
          <w:rFonts w:ascii="Calibri" w:eastAsia="Calibri" w:hAnsi="Calibri" w:cs="Calibri"/>
          <w:color w:val="000000"/>
        </w:rPr>
        <w:t>Główny proces w wersji dla DDD, zawierającej elementy dla proponowanych Programów.</w:t>
      </w:r>
    </w:p>
    <w:p w14:paraId="705FB772" w14:textId="5F293178" w:rsidR="00D1198A" w:rsidRDefault="00921D0C">
      <w:pPr>
        <w:pStyle w:val="Notes"/>
        <w:rPr>
          <w:color w:val="000000"/>
        </w:rPr>
      </w:pPr>
      <w:r>
        <w:rPr>
          <w:rFonts w:ascii="Calibri" w:eastAsia="Calibri" w:hAnsi="Calibri" w:cs="Calibri"/>
          <w:color w:val="000000"/>
        </w:rPr>
        <w:t>Założono, że komunikacja z Beneficjentem jest możliwa za pomocą PUE lub przy pomocy pracowników pośredniczących w komunikacji pomięd</w:t>
      </w:r>
      <w:r w:rsidR="00707994"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 xml:space="preserve">y Wnioskodawcą, a ARiMR i </w:t>
      </w:r>
      <w:r>
        <w:rPr>
          <w:rFonts w:ascii="Calibri" w:eastAsia="Calibri" w:hAnsi="Calibri" w:cs="Calibri"/>
          <w:b/>
          <w:color w:val="000000"/>
        </w:rPr>
        <w:t xml:space="preserve">wszystkie dokumenty w procesie są w postaci elektronicznej </w:t>
      </w:r>
      <w:r>
        <w:rPr>
          <w:rFonts w:ascii="Calibri" w:eastAsia="Calibri" w:hAnsi="Calibri" w:cs="Calibri"/>
          <w:color w:val="000000"/>
        </w:rPr>
        <w:t>(z możliwością wydruku, ale wydruki nie biorą udziału w procesie).</w:t>
      </w:r>
    </w:p>
    <w:p w14:paraId="230D7C76" w14:textId="77777777" w:rsidR="00D1198A" w:rsidRDefault="00D1198A">
      <w:pPr>
        <w:rPr>
          <w:color w:val="000000"/>
          <w:sz w:val="20"/>
          <w:szCs w:val="20"/>
        </w:rPr>
      </w:pPr>
    </w:p>
    <w:p w14:paraId="576C9202" w14:textId="77777777" w:rsidR="00D1198A" w:rsidRDefault="00921D0C">
      <w:pPr>
        <w:pStyle w:val="DiagramImage"/>
        <w:rPr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 wp14:anchorId="55B7A327" wp14:editId="00FAE291">
            <wp:extent cx="6141085" cy="414274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A3A14" w14:textId="77777777" w:rsidR="00D1198A" w:rsidRDefault="00D1198A">
      <w:pPr>
        <w:pStyle w:val="DiagramImage"/>
        <w:rPr>
          <w:color w:val="000000"/>
          <w:sz w:val="20"/>
          <w:szCs w:val="20"/>
        </w:rPr>
      </w:pPr>
    </w:p>
    <w:p w14:paraId="1E030BED" w14:textId="77777777" w:rsidR="00D1198A" w:rsidRDefault="00921D0C">
      <w:pPr>
        <w:jc w:val="center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Diagram: 02 DDD </w:t>
      </w:r>
      <w:bookmarkEnd w:id="1"/>
    </w:p>
    <w:p w14:paraId="75ED43E8" w14:textId="77777777" w:rsidR="00D1198A" w:rsidRDefault="00D1198A">
      <w:pPr>
        <w:jc w:val="center"/>
        <w:rPr>
          <w:color w:val="000000"/>
          <w:sz w:val="20"/>
          <w:szCs w:val="20"/>
        </w:rPr>
      </w:pPr>
    </w:p>
    <w:tbl>
      <w:tblPr>
        <w:tblW w:w="972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2700"/>
        <w:gridCol w:w="4860"/>
      </w:tblGrid>
      <w:tr w:rsidR="00D1198A" w14:paraId="57A8C164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A53200E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52018DD4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0AAE891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74F8F4AC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00FF47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ARiMR / jednostki współpracujące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F216817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FA340C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Agencja Restrukturyzacji i Modernizacji Rolnictwa oraz jednostki współpracujące, posiadające dostęp do CSOB.</w:t>
            </w:r>
          </w:p>
        </w:tc>
      </w:tr>
      <w:tr w:rsidR="00D1198A" w14:paraId="7F6EAC85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0DCF5749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654351A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47861F61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15044AE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3DD53D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CSOB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CE5492C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3350B6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Centralny System Obsługi Beneficjenta.</w:t>
            </w:r>
          </w:p>
        </w:tc>
      </w:tr>
      <w:tr w:rsidR="00D1198A" w14:paraId="542CF85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0BA9F37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27AE143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F20B0D6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0EFBE43E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C40833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A.001 Obsługa WoP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1F6ABC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00.30.01 Obsługa WoP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F27A54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i ocena zawartości Wniosku o Płatność.</w:t>
            </w:r>
          </w:p>
        </w:tc>
      </w:tr>
      <w:tr w:rsidR="00D1198A" w14:paraId="254EE34B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06FDD6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A.002 Odbiór pisma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E8D0805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3794E6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CSOB odbiera pismo z PUE lub od Przedstawiciela Wnioskodawcy. Pismo zostaje skierowane do odpowiedniego podprocesu CSOB na podstawie: </w:t>
            </w:r>
          </w:p>
          <w:p w14:paraId="6FC1B42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Jednostki Organizacyjnej, do której pismo zostało przesłane,</w:t>
            </w:r>
          </w:p>
          <w:p w14:paraId="7529749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Programu, którego pismo dotyczy,</w:t>
            </w:r>
          </w:p>
          <w:p w14:paraId="5269B94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numeru Sprawy,</w:t>
            </w:r>
          </w:p>
          <w:p w14:paraId="3CF5306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- rodzaju pisma [WoPP/ WoD, ZZP, Wyprzedzające finansowanie, WoA, WozU, Odwołanie, Odpowiedź na pismo].</w:t>
            </w:r>
          </w:p>
        </w:tc>
      </w:tr>
      <w:tr w:rsidR="00D1198A" w14:paraId="41DB1196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E72821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A.003 Zatwierdzenie LR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9F5C85B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00.15 Zatwierdzenie LR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5142BA5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Zatwierdzenie List Rankingowych i ewentualne ich opublikowanie.</w:t>
            </w:r>
          </w:p>
        </w:tc>
      </w:tr>
      <w:tr w:rsidR="00D1198A" w14:paraId="1A628B84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C3E8D9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A.004 Obsługa WoPP/ WoD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6CBD65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00.20 Obsługa Wniosku WoPP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4EAAFA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i ocena zawartości Wniosku o przyznanie pomocy (WoPP) lub Wniosku o dofinansowanie (WoD) wraz z załącznikami.</w:t>
            </w:r>
          </w:p>
        </w:tc>
      </w:tr>
      <w:tr w:rsidR="00D1198A" w14:paraId="0284CBD9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18F109B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A.005 Wprowadzenie danych pisma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87CF959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D76D2E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Pracownik ARiMR wprowadza dane pisma w imieniu Wnioskodawcy/ Beneficjenta.</w:t>
            </w:r>
          </w:p>
        </w:tc>
      </w:tr>
      <w:tr w:rsidR="00D1198A" w14:paraId="56723B89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B8CE9A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A.006 Zakwalifikowanie WoPP/ WoD do przyznania pomocy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7ED3AE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02.35 Wskazanie zwycięzcy przetargu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2F9DBC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Wskazanie WoPP/ WoD zakwalifikowanych do sporządzenia Umowy.</w:t>
            </w:r>
          </w:p>
        </w:tc>
      </w:tr>
      <w:tr w:rsidR="00D1198A" w14:paraId="47A3E6ED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762DE7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A.008 Obsługa rozwiązania Umowy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6FD8A6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00.76 Obsługa rozwiązania Umowy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7B40934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Obsługa rozwiązania Umowy sprowadza się do:</w:t>
            </w:r>
          </w:p>
          <w:p w14:paraId="00D2040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przygotowania i akceptacji pisma o rozwiązaniu Umowy,</w:t>
            </w:r>
          </w:p>
          <w:p w14:paraId="13F16F3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wysłania pisma do Beneficjenta,</w:t>
            </w:r>
          </w:p>
          <w:p w14:paraId="30444F5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rozwiązania Umowy.</w:t>
            </w:r>
          </w:p>
        </w:tc>
      </w:tr>
      <w:tr w:rsidR="00D1198A" w14:paraId="2F9AD4B2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5DEE40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A.009 Obsługa Wniosku o rozwiązanie Umowy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2DEE57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00.32 Obsługa Wniosku o rozwiązanie Umowy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C15E91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i weryfikacja Wniosku o rozwiązanie Umowy</w:t>
            </w:r>
          </w:p>
        </w:tc>
      </w:tr>
      <w:tr w:rsidR="00D1198A" w14:paraId="50D928B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1DE7EE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A.010 Wygenerowanie WoA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FB6BC95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06D6C1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Wygenerowanie Wniosku o Aneks zaliczkowy.</w:t>
            </w:r>
          </w:p>
        </w:tc>
      </w:tr>
      <w:tr w:rsidR="00D1198A" w14:paraId="04F1A610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5FAE2D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A.011 Obsługa środków zaskarżenia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4DC67E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00.24 Obsługa środka zaskarżenia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68C06E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środka zaskarżenia i podjęcie decyzji co do dalszego postępowania.</w:t>
            </w:r>
          </w:p>
        </w:tc>
      </w:tr>
      <w:tr w:rsidR="00D1198A" w14:paraId="2039B8AF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57C54A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A.013 Realizacja płatności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DC793C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00.42 Realizacja płatności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C7C493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przesłanie przelewu do EBS,</w:t>
            </w:r>
          </w:p>
          <w:p w14:paraId="47110D8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odebranie potwierdzenia realizacji operacji płatniczej,</w:t>
            </w:r>
          </w:p>
          <w:p w14:paraId="7441ED4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zarejestrowanie w Teczce Sprawy realizacji płatności.</w:t>
            </w:r>
          </w:p>
        </w:tc>
      </w:tr>
      <w:tr w:rsidR="00D1198A" w14:paraId="4913B4D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16EC20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A.014 Windykacja należności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1175A91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7FA5175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Aplikacja obsługuje windykację należności.</w:t>
            </w:r>
          </w:p>
        </w:tc>
      </w:tr>
      <w:tr w:rsidR="00D1198A" w14:paraId="0D40112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40CA26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A.015 Przygotowanie do realizacji płatności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3BFE3A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00.40 Przygotowanie do realizacji płatności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38E208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ustalenie i korekta wypłacanej kwoty,</w:t>
            </w:r>
          </w:p>
          <w:p w14:paraId="6E832CE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sporządzenie i weryfikacja przelewu,</w:t>
            </w:r>
          </w:p>
          <w:p w14:paraId="395F049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zatwierdzenie przelewu albo odrzucenie wypłaty.</w:t>
            </w:r>
          </w:p>
        </w:tc>
      </w:tr>
      <w:tr w:rsidR="00D1198A" w14:paraId="79F1FB5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DDF38D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A.016 Obsługa Umowy 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794A65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00.70 Obsługa Umowy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CBE126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Obsługa Umowy obejmuje:</w:t>
            </w:r>
          </w:p>
          <w:p w14:paraId="72D5A9A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sporządzenie Projektu Umowy, </w:t>
            </w:r>
          </w:p>
          <w:p w14:paraId="09D94AA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zatwierdzenie treści pól w Umowie, </w:t>
            </w:r>
          </w:p>
          <w:p w14:paraId="70118EF4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wygenerowanie i weryfikacja oraz zatwierdzenie tekstu Umowy w PDF,</w:t>
            </w:r>
          </w:p>
          <w:p w14:paraId="6CA61FD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nadanie numeru Umowie,</w:t>
            </w:r>
          </w:p>
          <w:p w14:paraId="3C21AA5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udostępnienie Umowy na PUE lub Przedstawicielowi Beneficjenta,</w:t>
            </w:r>
          </w:p>
          <w:p w14:paraId="728FCC7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podpisanie Umowy przez Beneficjenta (Beneficjentów) na PUE lub odebranie podpisanej Umowy i przekazanie jej do Teczki sprawy przez Przedstawiciela Beneficjenta, </w:t>
            </w:r>
          </w:p>
          <w:p w14:paraId="11A34E9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podpisanie Umowy przez reprezentanta ARiMR.</w:t>
            </w:r>
          </w:p>
          <w:p w14:paraId="410BBA2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 braku podpisu ze strony Wnioskodawcy - korekta listy rankingowej.</w:t>
            </w:r>
          </w:p>
        </w:tc>
      </w:tr>
      <w:tr w:rsidR="00D1198A" w14:paraId="7F82C1A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344B5F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A.017 Obsługa Aneksu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E0496F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00.75 Obsługa Aneksu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1209FA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sporządzenie i zaakceptowanie projektu Aneksu,</w:t>
            </w:r>
          </w:p>
          <w:p w14:paraId="3B9AAC2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sporządzenie dokumentu Aneksu w PDF,</w:t>
            </w:r>
          </w:p>
          <w:p w14:paraId="37CB3B1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wysłanie Aneksu do Beneficjenta w PUE lub do Przedstawiciela Beneficjenta,</w:t>
            </w:r>
          </w:p>
          <w:p w14:paraId="0AA7DDC5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podpisanie Aneksu przez Beneficjenta,</w:t>
            </w:r>
          </w:p>
          <w:p w14:paraId="64F3894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podpisanie przez reprezentanta ARiMR,</w:t>
            </w:r>
          </w:p>
          <w:p w14:paraId="6DE7851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wysłanie podpisanej Umowy do Beneficjenta,</w:t>
            </w:r>
          </w:p>
          <w:p w14:paraId="65EAE5E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korekta blokady na środki.</w:t>
            </w:r>
          </w:p>
        </w:tc>
      </w:tr>
      <w:tr w:rsidR="00D1198A" w14:paraId="6A4A455E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64B4136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A.018 Obsługa WoA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0119B0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00.23 Obsługa WoA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E75DA7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i weryfikacja Wniosku o Aneks.</w:t>
            </w:r>
          </w:p>
        </w:tc>
      </w:tr>
      <w:tr w:rsidR="00D1198A" w14:paraId="20207329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E540DF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A.019 Uzupełnienie brakujących dokumentów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9A80536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00.36 Uzupełnienie brakujących dokumentów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DDCAB9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przypadku konieczności uzupełnienia dokumentacji niezbędnej do zawarcia Umowy wysyłana jest do Beneficjenta prośba o dostarczenie brakujących dokumentów.</w:t>
            </w:r>
          </w:p>
          <w:p w14:paraId="15B01BA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Jeśli Beneficjent nie dostarczy ich w części lub w całości w oznaczonym terminie, to do Beneficjenta zostanie wysłana informacja odstąpieniu od zawarcia Umowy o dofinansowanie.</w:t>
            </w:r>
          </w:p>
        </w:tc>
      </w:tr>
      <w:tr w:rsidR="00D1198A" w14:paraId="7A11FDED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7EEC1E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A.020 Kontrola zadań niematerialnych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D91F59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00.20.35 Kontrola zadań niematerialnych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386811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Kontrola zadań niematerialnych po podpisaniu Umowy i przed złożeniem WoP.</w:t>
            </w:r>
          </w:p>
        </w:tc>
      </w:tr>
      <w:tr w:rsidR="00D1198A" w14:paraId="19E5F7F9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F47795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A.021 Obsługa odpowiedzi na pismo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407BFD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00.26 Odpowiedź na pismo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856CFBB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pisma nadesłanego przez Beneficjenta jako odpowiedź na pismo z zapytaniem wysłane przez ARiMR.</w:t>
            </w:r>
          </w:p>
          <w:p w14:paraId="056BF6C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Numer referencyjny pisma z zapytaniem powróci na początek procesu, w którym wystąpiło.</w:t>
            </w:r>
          </w:p>
        </w:tc>
      </w:tr>
      <w:tr w:rsidR="00D1198A" w14:paraId="3B2F03D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666C53B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A.022 Przekierowanie do innego Kroku lub zmiana pracownika weryfikującego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FA91DA2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5E2A85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 każdym etapie Procesu Użytkownik, zgodnie ze swoimi uprawnieniami i na bazie dopuszczalnych ścieżek powrotów, może cofnąć Wniosek do zadań poprzednich.</w:t>
            </w:r>
          </w:p>
          <w:p w14:paraId="0360FF4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Wywołanie następuje poprzez dostępny na ekranach przycisk przekierowania.</w:t>
            </w:r>
          </w:p>
        </w:tc>
      </w:tr>
      <w:tr w:rsidR="00D1198A" w14:paraId="1654E7C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5B2306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A.023 Obsługa ZZP/ Wyprzedzające finansowanie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FF7EA8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00.30 Obsługa ZZP / Wyprzedzające finansowanie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4EE558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i ocena Wniosków o wypłaty zaliczkowe lub wyprzedzające finansowanie.</w:t>
            </w:r>
          </w:p>
        </w:tc>
      </w:tr>
      <w:tr w:rsidR="00D1198A" w14:paraId="1429A554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24B8F4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D.003 Czy Aneks wynika z ZZP?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7C5AC61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572E78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Jeżeli podpisany Aneks dotyczył wypłaty zaliczki, której nie było w Umowie, to po podpisaniu Aneksu następuje przejście do Przygotowania do realizacji płatności.</w:t>
            </w:r>
          </w:p>
        </w:tc>
      </w:tr>
      <w:tr w:rsidR="00D1198A" w14:paraId="5D42B2F2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CB8353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D.004 Czy płatność zaliczkowa była w Umowie?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1DE9DE7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45C8AB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Jeżeli płatność zaliczkowa była ujęta w Umowie, to następuje bezpośrednie przejście do Przygotowania do realizacji płatności. W przeciwnym przypadku najpierw musi być sporządzony Aneks, a po jego podpisaniu następuje przejście do Przygotowania do realizacji płatności.</w:t>
            </w:r>
          </w:p>
        </w:tc>
      </w:tr>
      <w:tr w:rsidR="00D1198A" w14:paraId="600B0FBB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2D7E2A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D.005 Automat kierujący Wnioskiem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F1EFA5C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2775F2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Zadanie Odbiór pisma przekierowuje pismo do kolejnego kroku Obsługi pisma w JO i wyznacza kolejne zadanie.</w:t>
            </w:r>
          </w:p>
          <w:p w14:paraId="288A632A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</w:tr>
      <w:tr w:rsidR="00D1198A" w14:paraId="23A97E3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3677218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E.007 Obsługa pism z PZ przez ARiMR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290D18B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8C39EA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Wprowadzenie danych przez pracownika Platformy Zakupowej.</w:t>
            </w:r>
          </w:p>
        </w:tc>
      </w:tr>
      <w:tr w:rsidR="00D1198A" w14:paraId="4C8D6B8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85C3496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E.011 Komunikat przekazujący pismo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45A3D34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4EABE25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PUE poprzez kancelarię przekazuje pismo wysłane przez Beneficjenta do CSOB.</w:t>
            </w:r>
          </w:p>
        </w:tc>
      </w:tr>
      <w:tr w:rsidR="00D1198A" w14:paraId="66D56296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8621A70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E.013 Podpisany Aneks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69D2E14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6FD849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Aneks jest podpisany przez strony i wraz z poprzednimi Aneksami i Umową oczekuje na Wnioski o płatność, Wnioski o kolejne Aneksy lub Wniosek o rozwiązanie Umowy.</w:t>
            </w:r>
          </w:p>
        </w:tc>
      </w:tr>
      <w:tr w:rsidR="00D1198A" w14:paraId="329EAE1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333EF62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PUE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A7342BE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2D43915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Platforma Usług Elektronicznych służy do komunikacji pomiędzy Beneficjentami a ARiMR.</w:t>
            </w:r>
          </w:p>
        </w:tc>
      </w:tr>
      <w:tr w:rsidR="00D1198A" w14:paraId="261A6A4E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0C89DC43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1FD3AE63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16D5E0B6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5AFF3714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E6CF10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A.025 Wysłanie UPO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4685AD7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27198C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 dostarczenie do Beneficjenta potwierdzenia przyjęcia pisma (UPO) odpowiada PUE.</w:t>
            </w:r>
          </w:p>
        </w:tc>
      </w:tr>
      <w:tr w:rsidR="00D1198A" w14:paraId="02B1A02A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BF0CEDE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A.026 Przyjęcie pisma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03CC18A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5D9890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Wnioskodawca składa pismo (w tym Wnioski i załączniki) w postaci elektronicznej wg wzoru dostarczonego przez CSOB. </w:t>
            </w:r>
          </w:p>
          <w:p w14:paraId="256A865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Pismo przechodzi przez kancelarię RED/ EZD RP, gdzie zostaje zarejestrowane poprzez nadanie mu unikalnego numeru pisma (UNP).</w:t>
            </w:r>
          </w:p>
        </w:tc>
      </w:tr>
      <w:tr w:rsidR="00D1198A" w14:paraId="03B4D31F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35A20D4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D.006 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3AA6059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A3F268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Przyjęcie pisma i wysłanie Urzędowego Potwierdzenia Odbioru (UPO).</w:t>
            </w:r>
          </w:p>
        </w:tc>
      </w:tr>
    </w:tbl>
    <w:p w14:paraId="4B13FED7" w14:textId="77777777" w:rsidR="00D1198A" w:rsidRDefault="00D1198A">
      <w:pPr>
        <w:rPr>
          <w:color w:val="000000"/>
          <w:sz w:val="20"/>
          <w:szCs w:val="20"/>
        </w:rPr>
      </w:pPr>
    </w:p>
    <w:p w14:paraId="592448E2" w14:textId="1281DA5D" w:rsidR="00D1198A" w:rsidRDefault="00D1198A"/>
    <w:p w14:paraId="600CEA94" w14:textId="77777777" w:rsidR="00D1198A" w:rsidRDefault="00D1198A">
      <w:pPr>
        <w:rPr>
          <w:color w:val="000000"/>
          <w:sz w:val="20"/>
          <w:szCs w:val="20"/>
        </w:rPr>
      </w:pPr>
    </w:p>
    <w:p w14:paraId="6A901FDB" w14:textId="77777777" w:rsidR="00D1198A" w:rsidRDefault="00921D0C">
      <w:pPr>
        <w:pStyle w:val="Nagwek3"/>
        <w:rPr>
          <w:color w:val="000000"/>
        </w:rPr>
      </w:pPr>
      <w:bookmarkStart w:id="2" w:name="_Toc79068849"/>
      <w:bookmarkStart w:id="3" w:name="BKM_EDA91E95_60FF_4AD2_AA03_5D79BE3B3341"/>
      <w:r>
        <w:rPr>
          <w:color w:val="000000"/>
        </w:rPr>
        <w:t>02.35 Wskazanie zwycięzcy przetargu</w:t>
      </w:r>
      <w:bookmarkEnd w:id="2"/>
      <w:r>
        <w:rPr>
          <w:color w:val="000000"/>
        </w:rPr>
        <w:t xml:space="preserve"> </w:t>
      </w:r>
    </w:p>
    <w:p w14:paraId="36230A92" w14:textId="77777777" w:rsidR="00D1198A" w:rsidRDefault="00D1198A">
      <w:pPr>
        <w:pStyle w:val="Notes"/>
        <w:rPr>
          <w:color w:val="000000"/>
        </w:rPr>
      </w:pPr>
    </w:p>
    <w:p w14:paraId="79596019" w14:textId="77777777" w:rsidR="00D1198A" w:rsidRDefault="00921D0C">
      <w:pPr>
        <w:pStyle w:val="Notes"/>
        <w:rPr>
          <w:color w:val="000000"/>
        </w:rPr>
      </w:pPr>
      <w:r>
        <w:rPr>
          <w:rFonts w:ascii="Calibri" w:eastAsia="Calibri" w:hAnsi="Calibri" w:cs="Calibri"/>
          <w:color w:val="000000"/>
        </w:rPr>
        <w:t>Podproces tworzy Listę WoPP i na jej podstawie wskazuje zwycięzcę postępowania.</w:t>
      </w:r>
    </w:p>
    <w:p w14:paraId="74C88FD9" w14:textId="77777777" w:rsidR="00D1198A" w:rsidRDefault="00D1198A">
      <w:pPr>
        <w:rPr>
          <w:color w:val="000000"/>
          <w:sz w:val="20"/>
          <w:szCs w:val="20"/>
        </w:rPr>
      </w:pPr>
    </w:p>
    <w:p w14:paraId="4D435FE8" w14:textId="77777777" w:rsidR="00D1198A" w:rsidRDefault="00921D0C">
      <w:pPr>
        <w:pStyle w:val="DiagramImage"/>
        <w:rPr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 wp14:anchorId="33D28E86" wp14:editId="2FB266D9">
            <wp:extent cx="3968750" cy="338455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2CA9" w14:textId="77777777" w:rsidR="00D1198A" w:rsidRDefault="00D1198A">
      <w:pPr>
        <w:pStyle w:val="DiagramImage"/>
        <w:rPr>
          <w:color w:val="000000"/>
          <w:sz w:val="20"/>
          <w:szCs w:val="20"/>
        </w:rPr>
      </w:pPr>
    </w:p>
    <w:p w14:paraId="56952004" w14:textId="77777777" w:rsidR="00D1198A" w:rsidRDefault="00921D0C">
      <w:pPr>
        <w:jc w:val="center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Diagram: 02.35 Wskazanie zwycięzcy przetargu </w:t>
      </w:r>
      <w:bookmarkEnd w:id="3"/>
    </w:p>
    <w:p w14:paraId="31FA2461" w14:textId="77777777" w:rsidR="00D1198A" w:rsidRDefault="00D1198A">
      <w:pPr>
        <w:jc w:val="center"/>
        <w:rPr>
          <w:color w:val="000000"/>
          <w:sz w:val="20"/>
          <w:szCs w:val="20"/>
        </w:rPr>
      </w:pPr>
    </w:p>
    <w:tbl>
      <w:tblPr>
        <w:tblW w:w="972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2700"/>
        <w:gridCol w:w="4860"/>
      </w:tblGrid>
      <w:tr w:rsidR="00D1198A" w14:paraId="09610C10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452586E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461760D5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09EAA24D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596AB85E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B187C1B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CSOB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55DFDCA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1DDEA1A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Centralny System Obsługi Beneficjenta.</w:t>
            </w:r>
          </w:p>
        </w:tc>
      </w:tr>
      <w:tr w:rsidR="00D1198A" w14:paraId="25221D21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E2FCE94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3B14FB34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EF5C20C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04429F36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8C43B81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Automat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B2B8667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FCFDC49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System automatycznie realizuje zadania.</w:t>
            </w:r>
          </w:p>
        </w:tc>
      </w:tr>
      <w:tr w:rsidR="00D1198A" w14:paraId="0B863ECB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0AE2810F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E7DD6E5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Podproces</w:t>
            </w: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CA9DCBE" w14:textId="77777777" w:rsidR="00D1198A" w:rsidRDefault="00921D0C">
            <w:pPr>
              <w:pStyle w:val="TableHeadingLight"/>
              <w:jc w:val="center"/>
            </w:pPr>
            <w:r>
              <w:rPr>
                <w:rFonts w:ascii="Calibri" w:eastAsia="Calibri" w:hAnsi="Calibri" w:cs="Calibri"/>
              </w:rPr>
              <w:t>Opis</w:t>
            </w:r>
          </w:p>
        </w:tc>
      </w:tr>
      <w:tr w:rsidR="00D1198A" w14:paraId="07B7B4C2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8239616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A.150 Utworzenie listy Wniosków do przyznania pomocy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841A781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9C3CDB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Uwzględnienie na Liście kolejki warunków przetargu i uporządkowanie Listy wg tych kryteriów.</w:t>
            </w:r>
          </w:p>
        </w:tc>
      </w:tr>
      <w:tr w:rsidR="00D1198A" w14:paraId="77FADF9D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D9E30B3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A.247 Wybór zwycięzcy przetargu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8BEFBAD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1C9DB9D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System kwalifikuje WoPP zajmujący na liście kolejki, uporządkowanej wg liczby otrzymanych punktów, pierwsze miejsce jako WoPP do podpisania Umowy.</w:t>
            </w:r>
          </w:p>
        </w:tc>
      </w:tr>
      <w:tr w:rsidR="00D1198A" w14:paraId="46A7FF43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E61721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Lista kolejki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B63818D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36DCEEC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Lista kolejki z Wnioskami.</w:t>
            </w:r>
          </w:p>
        </w:tc>
      </w:tr>
      <w:tr w:rsidR="00D1198A" w14:paraId="3EDCD93B" w14:textId="77777777">
        <w:tc>
          <w:tcPr>
            <w:tcW w:w="21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5F88AC7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Warunki przetargu</w:t>
            </w:r>
          </w:p>
        </w:tc>
        <w:tc>
          <w:tcPr>
            <w:tcW w:w="270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AF0BB2D" w14:textId="77777777" w:rsidR="00D1198A" w:rsidRDefault="00D1198A">
            <w:pPr>
              <w:pStyle w:val="TableTextNormal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04980BF" w14:textId="77777777" w:rsidR="00D1198A" w:rsidRDefault="00921D0C">
            <w:pPr>
              <w:pStyle w:val="TableTextNormal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Informacje owarunkach przetargu.</w:t>
            </w:r>
          </w:p>
        </w:tc>
      </w:tr>
    </w:tbl>
    <w:p w14:paraId="39868EF7" w14:textId="77777777" w:rsidR="00D1198A" w:rsidRDefault="00D1198A">
      <w:pPr>
        <w:rPr>
          <w:sz w:val="20"/>
          <w:szCs w:val="20"/>
        </w:rPr>
      </w:pPr>
    </w:p>
    <w:p w14:paraId="7A276E19" w14:textId="77777777" w:rsidR="00D1198A" w:rsidRDefault="00D1198A"/>
    <w:sectPr w:rsidR="00D1198A">
      <w:headerReference w:type="default" r:id="rId9"/>
      <w:footerReference w:type="default" r:id="rId10"/>
      <w:pgSz w:w="11902" w:h="16835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2413" w14:textId="77777777" w:rsidR="00292D73" w:rsidRDefault="00292D73">
      <w:r>
        <w:separator/>
      </w:r>
    </w:p>
  </w:endnote>
  <w:endnote w:type="continuationSeparator" w:id="0">
    <w:p w14:paraId="16AD0B02" w14:textId="77777777" w:rsidR="00292D73" w:rsidRDefault="002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2ADE" w14:textId="77777777" w:rsidR="00D1198A" w:rsidRDefault="00D1198A">
    <w:pPr>
      <w:pStyle w:val="Nagwek"/>
      <w:pBdr>
        <w:bottom w:val="single" w:sz="0" w:space="1" w:color="auto"/>
      </w:pBdr>
      <w:tabs>
        <w:tab w:val="right" w:pos="9720"/>
      </w:tabs>
      <w:spacing w:after="20"/>
    </w:pPr>
  </w:p>
  <w:p w14:paraId="21E943DE" w14:textId="77777777" w:rsidR="00D1198A" w:rsidRDefault="00921D0C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1</w:t>
    </w:r>
    <w:r>
      <w:fldChar w:fldCharType="end"/>
    </w:r>
    <w:r>
      <w:rPr>
        <w:rFonts w:ascii="Calibri" w:eastAsia="Calibri" w:hAnsi="Calibri" w:cs="Calibri"/>
        <w:sz w:val="20"/>
        <w:szCs w:val="20"/>
      </w:rPr>
      <w:t xml:space="preserve"> z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1E506" w14:textId="77777777" w:rsidR="00292D73" w:rsidRDefault="00292D73">
      <w:r>
        <w:separator/>
      </w:r>
    </w:p>
  </w:footnote>
  <w:footnote w:type="continuationSeparator" w:id="0">
    <w:p w14:paraId="689E2D07" w14:textId="77777777" w:rsidR="00292D73" w:rsidRDefault="0029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04F5" w14:textId="0D5FAEA8" w:rsidR="00B705B2" w:rsidRDefault="00B705B2" w:rsidP="00B705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06B8A7A" wp14:editId="28AC35B3">
          <wp:extent cx="834980" cy="82504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980" cy="82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D36FD5" w14:textId="77777777" w:rsidR="00B705B2" w:rsidRDefault="00B705B2">
    <w:pPr>
      <w:pStyle w:val="Nagwek"/>
      <w:pBdr>
        <w:bottom w:val="single" w:sz="0" w:space="1" w:color="auto"/>
      </w:pBdr>
      <w:tabs>
        <w:tab w:val="right" w:pos="9720"/>
      </w:tabs>
      <w:spacing w:after="20"/>
      <w:rPr>
        <w:rFonts w:ascii="Calibri" w:eastAsia="Calibri" w:hAnsi="Calibri" w:cs="Calibri"/>
        <w:sz w:val="20"/>
        <w:szCs w:val="20"/>
      </w:rPr>
    </w:pPr>
  </w:p>
  <w:p w14:paraId="1B796537" w14:textId="37A16604" w:rsidR="00D1198A" w:rsidRDefault="00921D0C">
    <w:pPr>
      <w:pStyle w:val="Nagwek"/>
      <w:pBdr>
        <w:bottom w:val="single" w:sz="0" w:space="1" w:color="auto"/>
      </w:pBdr>
      <w:tabs>
        <w:tab w:val="right" w:pos="9720"/>
      </w:tabs>
      <w:spacing w:after="20"/>
    </w:pPr>
    <w:r>
      <w:rPr>
        <w:rFonts w:ascii="Calibri" w:eastAsia="Calibri" w:hAnsi="Calibri" w:cs="Calibri"/>
        <w:sz w:val="20"/>
        <w:szCs w:val="20"/>
      </w:rPr>
      <w:t>Proces Biznesowy CSOB</w:t>
    </w:r>
    <w:r w:rsidR="00707994">
      <w:rPr>
        <w:rFonts w:ascii="Calibri" w:eastAsia="Calibri" w:hAnsi="Calibri" w:cs="Calibri"/>
        <w:sz w:val="20"/>
        <w:szCs w:val="20"/>
      </w:rPr>
      <w:t xml:space="preserve"> dla DDD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A"/>
    <w:rsid w:val="0009075D"/>
    <w:rsid w:val="00292D73"/>
    <w:rsid w:val="00707994"/>
    <w:rsid w:val="00921D0C"/>
    <w:rsid w:val="00941159"/>
    <w:rsid w:val="00A31E19"/>
    <w:rsid w:val="00A77B2E"/>
    <w:rsid w:val="00B705B2"/>
    <w:rsid w:val="00D1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0CB"/>
  <w15:docId w15:val="{0BADB0DA-DFFA-EB48-AD9F-FC6C6F7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80"/>
      <w:outlineLvl w:val="0"/>
    </w:pPr>
    <w:rPr>
      <w:rFonts w:ascii="Calibri" w:eastAsia="Calibri" w:hAnsi="Calibri" w:cs="Calibri"/>
      <w:b/>
      <w:sz w:val="44"/>
      <w:szCs w:val="44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spacing w:after="80"/>
      <w:outlineLvl w:val="2"/>
    </w:pPr>
    <w:rPr>
      <w:rFonts w:ascii="Calibri" w:eastAsia="Calibri" w:hAnsi="Calibri" w:cs="Calibri"/>
      <w:b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</w:rPr>
  </w:style>
  <w:style w:type="paragraph" w:styleId="Nagwek7">
    <w:name w:val="heading 7"/>
    <w:basedOn w:val="Normalny"/>
    <w:next w:val="Normalny"/>
    <w:pPr>
      <w:spacing w:after="80"/>
      <w:outlineLvl w:val="6"/>
    </w:pPr>
    <w:rPr>
      <w:rFonts w:ascii="Calibri" w:eastAsia="Calibri" w:hAnsi="Calibri" w:cs="Calibri"/>
      <w:b/>
    </w:rPr>
  </w:style>
  <w:style w:type="paragraph" w:styleId="Nagwek8">
    <w:name w:val="heading 8"/>
    <w:basedOn w:val="Normalny"/>
    <w:next w:val="Normalny"/>
    <w:pPr>
      <w:spacing w:after="80"/>
      <w:outlineLvl w:val="7"/>
    </w:pPr>
    <w:rPr>
      <w:rFonts w:ascii="Calibri" w:eastAsia="Calibri" w:hAnsi="Calibri" w:cs="Calibri"/>
      <w:b/>
    </w:rPr>
  </w:style>
  <w:style w:type="paragraph" w:styleId="Nagwek9">
    <w:name w:val="heading 9"/>
    <w:basedOn w:val="Normalny"/>
    <w:next w:val="Normalny"/>
    <w:pPr>
      <w:spacing w:after="80"/>
      <w:outlineLvl w:val="8"/>
    </w:pPr>
    <w:rPr>
      <w:rFonts w:ascii="Calibri" w:eastAsia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ny"/>
    <w:next w:val="Normalny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ny"/>
    <w:next w:val="Normalny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Spistreci1">
    <w:name w:val="toc 1"/>
    <w:basedOn w:val="Normalny"/>
    <w:next w:val="Normalny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pPr>
      <w:ind w:left="1920"/>
    </w:pPr>
    <w:rPr>
      <w:rFonts w:asciiTheme="minorHAnsi" w:hAnsiTheme="minorHAnsi"/>
      <w:sz w:val="18"/>
      <w:szCs w:val="18"/>
    </w:rPr>
  </w:style>
  <w:style w:type="paragraph" w:styleId="Nagwek">
    <w:name w:val="header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ny"/>
    <w:next w:val="Normalny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ny"/>
    <w:next w:val="Normalny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ny"/>
    <w:next w:val="Normalny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ny"/>
    <w:next w:val="Normalny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ny"/>
    <w:next w:val="Normalny"/>
    <w:pPr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ny"/>
    <w:next w:val="Normalny"/>
    <w:pPr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ny"/>
    <w:next w:val="Normalny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ny"/>
    <w:next w:val="Normalny"/>
    <w:pPr>
      <w:spacing w:before="60" w:after="6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ny"/>
    <w:next w:val="Normalny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styleId="Zwykytekst">
    <w:name w:val="Plain Text"/>
    <w:basedOn w:val="Normalny"/>
    <w:next w:val="Normalny"/>
    <w:rPr>
      <w:color w:val="000000"/>
      <w:sz w:val="20"/>
      <w:szCs w:val="20"/>
    </w:rPr>
  </w:style>
  <w:style w:type="paragraph" w:customStyle="1" w:styleId="DefaultStyle">
    <w:name w:val="Default Style"/>
    <w:basedOn w:val="Normalny"/>
    <w:next w:val="Normalny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Normalny"/>
  </w:style>
  <w:style w:type="paragraph" w:customStyle="1" w:styleId="Contents9">
    <w:name w:val="Contents 9"/>
    <w:basedOn w:val="Normalny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8">
    <w:name w:val="Contents 8"/>
    <w:basedOn w:val="Normalny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7">
    <w:name w:val="Contents 7"/>
    <w:basedOn w:val="Normalny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6">
    <w:name w:val="Contents 6"/>
    <w:basedOn w:val="Normalny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5">
    <w:name w:val="Contents 5"/>
    <w:basedOn w:val="Normalny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4">
    <w:name w:val="Contents 4"/>
    <w:basedOn w:val="Normalny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3">
    <w:name w:val="Contents 3"/>
    <w:basedOn w:val="Normalny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2">
    <w:name w:val="Contents 2"/>
    <w:basedOn w:val="Normalny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1">
    <w:name w:val="Contents 1"/>
    <w:basedOn w:val="Normalny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tentsHeading">
    <w:name w:val="Contents Heading"/>
    <w:basedOn w:val="Normalny"/>
    <w:pPr>
      <w:keepNext/>
      <w:spacing w:before="240" w:after="80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alny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pPr>
      <w:spacing w:before="120" w:after="120"/>
    </w:pPr>
    <w:rPr>
      <w:rFonts w:ascii="Times New Roman" w:eastAsia="Times New Roman" w:hAnsi="Times New Roman" w:cs="Times New Roman"/>
      <w:i/>
    </w:rPr>
  </w:style>
  <w:style w:type="paragraph" w:styleId="Lista">
    <w:name w:val="List"/>
    <w:basedOn w:val="Normalny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ny"/>
    <w:pPr>
      <w:spacing w:after="120"/>
    </w:p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wek Znak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705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B70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2D506-50A5-9747-8C90-7C464E0B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Cwener Rafal</dc:creator>
  <cp:keywords/>
  <dc:description/>
  <cp:lastModifiedBy>Cwener Rafal</cp:lastModifiedBy>
  <cp:revision>3</cp:revision>
  <dcterms:created xsi:type="dcterms:W3CDTF">2021-09-30T11:50:00Z</dcterms:created>
  <dcterms:modified xsi:type="dcterms:W3CDTF">2021-09-30T11:51:00Z</dcterms:modified>
</cp:coreProperties>
</file>