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6984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B7B1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7B1F" w:rsidRDefault="000B7B1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</w:t>
      </w:r>
      <w:r w:rsidRPr="000B7B1F">
        <w:rPr>
          <w:rFonts w:asciiTheme="minorHAnsi" w:hAnsiTheme="minorHAnsi" w:cstheme="minorHAnsi"/>
          <w:bCs/>
          <w:sz w:val="24"/>
          <w:szCs w:val="24"/>
          <w:lang w:eastAsia="pl-PL"/>
        </w:rPr>
        <w:t>.420.10.2020.EW.MW.PS.mro.39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B7B1F" w:rsidRPr="000B7B1F" w:rsidRDefault="000B7B1F" w:rsidP="000B7B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dnia.... 14 czerwca 1960 r. — Kodeks postępowania administracyjnego (Dz. U. z 2021 r. poz. 735, ze zm.) w związku z art. 74 ust. 3 ustawy z dnia 3 października 2008 r. o udostępnianiu informacji o środowisku i jego ochronie, udziale społeczeństwa w ochronie środowiska oraz o ocenach oddziaływania na środowisko (Dz. U. z 2022 r. poz. 1029, ze zm.), zawiadamiam strony postępowania, że Generalny Dyrektor Ochrony Środowiska decyzją z 28 lipca 2022 r., znak: DOOŚ-WDŚZOO.420.10.2020.EW.MW.PS.mro.38, utrzymał w mocy decyzję GDOŚ z 29 ma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rca 2022 r., znak: DOOŚ-WDŚZOO.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420.10.2020.EW/MW.29, odmawiającą uchylenia decyzji ostatecznej GDOŚ z 23 sierpnia 2018 r., znak: DOOŚ-DŚI.4231.6.2017.mko.74, uchylającej decyzję Regionalnego Dyrektora Ochrony Środowiska w Białymstoku z 3 sierpnia 2017 r., znak: WOOŚ-II.4231.1.2015.DK, o środowiskowych uwarunkowa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niach dla przedsięwzięcia pn.: Budowa między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systemowego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gazociągu stanowiącego poł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ączenie systemów przesyłowych Rz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ec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zypospolitej 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Polski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ej i Republiki litewskiej wraz z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jego obsługi — gazociąg Rembelszcz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Granica RP</w:t>
      </w: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części i w tym zakresie orzekającej co do istoty sprawy albo umarzającej postępowanie pierwszej instancji, a w pozostałym zakresie utrzymującej decyzję w mocy.</w:t>
      </w:r>
    </w:p>
    <w:p w:rsidR="000B7B1F" w:rsidRPr="000B7B1F" w:rsidRDefault="000B7B1F" w:rsidP="000B7B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0B7B1F" w:rsidRPr="000B7B1F" w:rsidRDefault="000B7B1F" w:rsidP="000B7B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Białymstoku lub w sposób wskazany w art. 49b § 1 Kpa.</w:t>
      </w:r>
    </w:p>
    <w:p w:rsidR="00D15A10" w:rsidRDefault="000B7B1F" w:rsidP="000B7B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A07F0D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0B7B1F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0B7B1F" w:rsidRDefault="000B7B1F" w:rsidP="000B7B1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B7B1F" w:rsidRDefault="000B7B1F" w:rsidP="000B7B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B7B1F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</w:t>
      </w:r>
      <w:r>
        <w:rPr>
          <w:rFonts w:asciiTheme="minorHAnsi" w:hAnsiTheme="minorHAnsi" w:cstheme="minorHAnsi"/>
          <w:bCs/>
        </w:rPr>
        <w:t>ie</w:t>
      </w:r>
      <w:r w:rsidRPr="000B7B1F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0B7B1F" w:rsidRPr="000B7B1F" w:rsidRDefault="000B7B1F" w:rsidP="000B7B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B7B1F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985B8F" w:rsidRPr="00B35A7F" w:rsidRDefault="000B7B1F" w:rsidP="000B7B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B7B1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57" w:rsidRDefault="00467F57">
      <w:pPr>
        <w:spacing w:after="0" w:line="240" w:lineRule="auto"/>
      </w:pPr>
      <w:r>
        <w:separator/>
      </w:r>
    </w:p>
  </w:endnote>
  <w:endnote w:type="continuationSeparator" w:id="0">
    <w:p w:rsidR="00467F57" w:rsidRDefault="0046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3159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67F5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57" w:rsidRDefault="00467F57">
      <w:pPr>
        <w:spacing w:after="0" w:line="240" w:lineRule="auto"/>
      </w:pPr>
      <w:r>
        <w:separator/>
      </w:r>
    </w:p>
  </w:footnote>
  <w:footnote w:type="continuationSeparator" w:id="0">
    <w:p w:rsidR="00467F57" w:rsidRDefault="0046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67F5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67F5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67F5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0B7B1F"/>
    <w:rsid w:val="00155027"/>
    <w:rsid w:val="00183492"/>
    <w:rsid w:val="001D479F"/>
    <w:rsid w:val="002446E3"/>
    <w:rsid w:val="003A4832"/>
    <w:rsid w:val="00457259"/>
    <w:rsid w:val="00467F57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1598"/>
    <w:rsid w:val="00B35A7F"/>
    <w:rsid w:val="00B64572"/>
    <w:rsid w:val="00B65C6A"/>
    <w:rsid w:val="00B92515"/>
    <w:rsid w:val="00B97027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5E02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F4DA-D17B-42DC-8229-99E6AFA1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2023-07-10T12:37:00Z</dcterms:created>
  <dcterms:modified xsi:type="dcterms:W3CDTF">2023-07-11T06:38:00Z</dcterms:modified>
</cp:coreProperties>
</file>