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charts/chart8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B1779" w14:textId="77777777" w:rsidR="00084F8B" w:rsidRDefault="00084F8B" w:rsidP="0090065A">
      <w:pPr>
        <w:autoSpaceDE w:val="0"/>
        <w:autoSpaceDN w:val="0"/>
        <w:adjustRightInd w:val="0"/>
        <w:jc w:val="right"/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 xml:space="preserve">Załącznik do uchwały nr </w:t>
      </w:r>
      <w:r w:rsidR="009D57AF">
        <w:rPr>
          <w:i/>
          <w:color w:val="000000"/>
        </w:rPr>
        <w:t xml:space="preserve">    </w:t>
      </w:r>
      <w:r w:rsidR="00EC19DA">
        <w:rPr>
          <w:i/>
          <w:color w:val="000000"/>
        </w:rPr>
        <w:t xml:space="preserve"> </w:t>
      </w:r>
      <w:r>
        <w:rPr>
          <w:i/>
          <w:color w:val="000000"/>
        </w:rPr>
        <w:t xml:space="preserve"> Rady Ministrów</w:t>
      </w:r>
    </w:p>
    <w:p w14:paraId="30B039E0" w14:textId="77777777" w:rsidR="00084F8B" w:rsidRDefault="00084F8B" w:rsidP="0090065A">
      <w:pPr>
        <w:autoSpaceDE w:val="0"/>
        <w:autoSpaceDN w:val="0"/>
        <w:adjustRightInd w:val="0"/>
        <w:jc w:val="right"/>
        <w:rPr>
          <w:i/>
          <w:color w:val="000000"/>
        </w:rPr>
      </w:pPr>
      <w:r>
        <w:rPr>
          <w:i/>
          <w:color w:val="000000"/>
        </w:rPr>
        <w:t xml:space="preserve">z dnia </w:t>
      </w:r>
      <w:r w:rsidR="009D57AF">
        <w:rPr>
          <w:i/>
          <w:color w:val="000000"/>
        </w:rPr>
        <w:t xml:space="preserve">                                               </w:t>
      </w:r>
      <w:r w:rsidR="00EC19DA">
        <w:rPr>
          <w:i/>
          <w:color w:val="000000"/>
        </w:rPr>
        <w:t xml:space="preserve"> </w:t>
      </w:r>
      <w:r w:rsidR="007642DC">
        <w:rPr>
          <w:i/>
          <w:color w:val="000000"/>
        </w:rPr>
        <w:t>(Poz. ……..)</w:t>
      </w:r>
    </w:p>
    <w:p w14:paraId="3865A540" w14:textId="77777777" w:rsidR="00084F8B" w:rsidRPr="007F73FA" w:rsidRDefault="00084F8B" w:rsidP="0090065A">
      <w:pPr>
        <w:autoSpaceDE w:val="0"/>
        <w:autoSpaceDN w:val="0"/>
        <w:adjustRightInd w:val="0"/>
        <w:jc w:val="center"/>
        <w:rPr>
          <w:color w:val="000000"/>
          <w:sz w:val="28"/>
        </w:rPr>
      </w:pPr>
    </w:p>
    <w:p w14:paraId="0589734D" w14:textId="77777777" w:rsidR="005B0149" w:rsidRDefault="00407948" w:rsidP="00407948">
      <w:pPr>
        <w:autoSpaceDE w:val="0"/>
        <w:autoSpaceDN w:val="0"/>
        <w:adjustRightInd w:val="0"/>
        <w:jc w:val="center"/>
        <w:rPr>
          <w:rFonts w:cs="Times-Bold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9086777" wp14:editId="48A53906">
            <wp:extent cx="4038600" cy="3907693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363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B8C2B" w14:textId="0518F577" w:rsidR="00084F8B" w:rsidRPr="0036409B" w:rsidRDefault="00084F8B" w:rsidP="00407948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 w:rsidRPr="0036409B">
        <w:rPr>
          <w:rFonts w:cs="Times-Bold"/>
          <w:b/>
          <w:bCs/>
          <w:sz w:val="36"/>
          <w:szCs w:val="36"/>
        </w:rPr>
        <w:t>KRAJOWY PLAN</w:t>
      </w:r>
      <w:r w:rsidR="00B078E2">
        <w:rPr>
          <w:rFonts w:cs="Times-Bold"/>
          <w:b/>
          <w:bCs/>
          <w:sz w:val="36"/>
          <w:szCs w:val="36"/>
        </w:rPr>
        <w:t xml:space="preserve"> </w:t>
      </w:r>
      <w:r w:rsidRPr="0036409B">
        <w:rPr>
          <w:rFonts w:cs="Times-Bold"/>
          <w:b/>
          <w:bCs/>
          <w:sz w:val="36"/>
          <w:szCs w:val="36"/>
        </w:rPr>
        <w:t>POSTĘPOWANIA Z ODPADAMI PROMIENIOTWÓRCZYMI I WYPALONYM PALIWEM JĄDROWYM</w:t>
      </w:r>
    </w:p>
    <w:p w14:paraId="11DD20CB" w14:textId="0F4D00B5" w:rsidR="00084F8B" w:rsidRPr="00376421" w:rsidRDefault="000F7281" w:rsidP="00194C07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  <w:r>
        <w:rPr>
          <w:rFonts w:cs="Times-Bold"/>
          <w:b/>
          <w:bCs/>
          <w:sz w:val="28"/>
          <w:szCs w:val="28"/>
        </w:rPr>
        <w:t xml:space="preserve">      </w:t>
      </w:r>
      <w:r w:rsidR="00194C07">
        <w:rPr>
          <w:rFonts w:cs="Times-Bold"/>
          <w:b/>
          <w:bCs/>
          <w:sz w:val="28"/>
          <w:szCs w:val="28"/>
        </w:rPr>
        <w:t xml:space="preserve">Aktualizacja </w:t>
      </w:r>
    </w:p>
    <w:p w14:paraId="6B3FD70C" w14:textId="77777777" w:rsidR="00084F8B" w:rsidRPr="00376421" w:rsidRDefault="00084F8B" w:rsidP="0090065A">
      <w:pPr>
        <w:autoSpaceDE w:val="0"/>
        <w:autoSpaceDN w:val="0"/>
        <w:adjustRightInd w:val="0"/>
        <w:rPr>
          <w:rFonts w:cs="Times-Bold"/>
          <w:b/>
          <w:bCs/>
          <w:sz w:val="24"/>
          <w:szCs w:val="24"/>
        </w:rPr>
      </w:pPr>
    </w:p>
    <w:p w14:paraId="1C972032" w14:textId="77777777" w:rsidR="00084F8B" w:rsidRDefault="00084F8B" w:rsidP="0090065A">
      <w:pPr>
        <w:autoSpaceDE w:val="0"/>
        <w:autoSpaceDN w:val="0"/>
        <w:adjustRightInd w:val="0"/>
        <w:rPr>
          <w:rFonts w:cs="Times-Bold"/>
          <w:b/>
          <w:bCs/>
          <w:sz w:val="36"/>
          <w:szCs w:val="36"/>
        </w:rPr>
      </w:pPr>
    </w:p>
    <w:p w14:paraId="66905E1E" w14:textId="77777777" w:rsidR="00407948" w:rsidRDefault="00407948" w:rsidP="0090065A">
      <w:pPr>
        <w:autoSpaceDE w:val="0"/>
        <w:autoSpaceDN w:val="0"/>
        <w:adjustRightInd w:val="0"/>
        <w:rPr>
          <w:rFonts w:cs="Times-Bold"/>
          <w:b/>
          <w:bCs/>
          <w:sz w:val="36"/>
          <w:szCs w:val="36"/>
        </w:rPr>
      </w:pPr>
    </w:p>
    <w:p w14:paraId="6CBAE292" w14:textId="77777777" w:rsidR="00084F8B" w:rsidRDefault="00084F8B" w:rsidP="0090065A">
      <w:pPr>
        <w:autoSpaceDE w:val="0"/>
        <w:autoSpaceDN w:val="0"/>
        <w:adjustRightInd w:val="0"/>
        <w:rPr>
          <w:rFonts w:cs="Times-Bold"/>
          <w:b/>
          <w:bCs/>
          <w:sz w:val="36"/>
          <w:szCs w:val="36"/>
        </w:rPr>
      </w:pPr>
    </w:p>
    <w:p w14:paraId="18CEB5EF" w14:textId="77777777" w:rsidR="00084F8B" w:rsidRDefault="00084F8B" w:rsidP="0090065A">
      <w:pPr>
        <w:autoSpaceDE w:val="0"/>
        <w:autoSpaceDN w:val="0"/>
        <w:adjustRightInd w:val="0"/>
        <w:rPr>
          <w:rFonts w:cs="Times-Bold"/>
          <w:b/>
          <w:bCs/>
          <w:sz w:val="36"/>
          <w:szCs w:val="36"/>
        </w:rPr>
      </w:pPr>
    </w:p>
    <w:p w14:paraId="4D2641A1" w14:textId="77777777" w:rsidR="00084F8B" w:rsidRDefault="00084F8B" w:rsidP="0090065A">
      <w:pPr>
        <w:autoSpaceDE w:val="0"/>
        <w:autoSpaceDN w:val="0"/>
        <w:adjustRightInd w:val="0"/>
        <w:rPr>
          <w:rFonts w:cs="Times-Bold"/>
          <w:b/>
          <w:bCs/>
          <w:sz w:val="36"/>
          <w:szCs w:val="36"/>
        </w:rPr>
      </w:pPr>
    </w:p>
    <w:p w14:paraId="44038AB0" w14:textId="77777777" w:rsidR="00084F8B" w:rsidRPr="007F73FA" w:rsidRDefault="00084F8B" w:rsidP="0090065A">
      <w:pPr>
        <w:pBdr>
          <w:bottom w:val="single" w:sz="12" w:space="1" w:color="auto"/>
        </w:pBdr>
        <w:autoSpaceDE w:val="0"/>
        <w:autoSpaceDN w:val="0"/>
        <w:adjustRightInd w:val="0"/>
        <w:rPr>
          <w:rFonts w:cs="Times-Bold"/>
          <w:b/>
          <w:bCs/>
          <w:sz w:val="36"/>
          <w:szCs w:val="36"/>
        </w:rPr>
      </w:pPr>
    </w:p>
    <w:p w14:paraId="56EC642B" w14:textId="0BD44F1A" w:rsidR="00376421" w:rsidRPr="00376421" w:rsidRDefault="00376421" w:rsidP="00376421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  <w:r w:rsidRPr="00376421">
        <w:rPr>
          <w:rFonts w:cs="Times-Bold"/>
          <w:b/>
          <w:bCs/>
          <w:sz w:val="28"/>
          <w:szCs w:val="28"/>
        </w:rPr>
        <w:t>Warszawa,</w:t>
      </w:r>
      <w:r w:rsidR="0075114F">
        <w:rPr>
          <w:rFonts w:cs="Times-Bold"/>
          <w:b/>
          <w:bCs/>
          <w:sz w:val="28"/>
          <w:szCs w:val="28"/>
        </w:rPr>
        <w:t xml:space="preserve"> </w:t>
      </w:r>
      <w:r w:rsidR="00C20BBB">
        <w:rPr>
          <w:rFonts w:cs="Times-Bold"/>
          <w:b/>
          <w:bCs/>
          <w:sz w:val="28"/>
          <w:szCs w:val="28"/>
        </w:rPr>
        <w:t>lipiec</w:t>
      </w:r>
      <w:r w:rsidR="001D3370">
        <w:rPr>
          <w:rFonts w:cs="Times-Bold"/>
          <w:b/>
          <w:bCs/>
          <w:sz w:val="28"/>
          <w:szCs w:val="28"/>
        </w:rPr>
        <w:t xml:space="preserve"> </w:t>
      </w:r>
      <w:r w:rsidR="005761A3">
        <w:rPr>
          <w:rFonts w:cs="Times-Bold"/>
          <w:b/>
          <w:bCs/>
          <w:sz w:val="28"/>
          <w:szCs w:val="28"/>
        </w:rPr>
        <w:t xml:space="preserve"> </w:t>
      </w:r>
      <w:r w:rsidR="00486D9A">
        <w:rPr>
          <w:rFonts w:cs="Times-Bold"/>
          <w:b/>
          <w:bCs/>
          <w:sz w:val="28"/>
          <w:szCs w:val="28"/>
        </w:rPr>
        <w:t>20</w:t>
      </w:r>
      <w:r w:rsidR="00E04CB9">
        <w:rPr>
          <w:rFonts w:cs="Times-Bold"/>
          <w:b/>
          <w:bCs/>
          <w:sz w:val="28"/>
          <w:szCs w:val="28"/>
        </w:rPr>
        <w:t>20</w:t>
      </w:r>
      <w:r w:rsidR="00486D9A">
        <w:rPr>
          <w:rFonts w:cs="Times-Bold"/>
          <w:b/>
          <w:bCs/>
          <w:sz w:val="28"/>
          <w:szCs w:val="28"/>
        </w:rPr>
        <w:t xml:space="preserve"> r</w:t>
      </w:r>
      <w:r w:rsidRPr="00376421">
        <w:rPr>
          <w:rFonts w:cs="Times-Bold"/>
          <w:b/>
          <w:bCs/>
          <w:sz w:val="28"/>
          <w:szCs w:val="28"/>
        </w:rPr>
        <w:t>.</w:t>
      </w:r>
    </w:p>
    <w:p w14:paraId="45CBA47B" w14:textId="77777777" w:rsidR="00376421" w:rsidRPr="007F73FA" w:rsidRDefault="00376421" w:rsidP="0090065A">
      <w:pPr>
        <w:autoSpaceDE w:val="0"/>
        <w:autoSpaceDN w:val="0"/>
        <w:adjustRightInd w:val="0"/>
        <w:jc w:val="center"/>
        <w:rPr>
          <w:rFonts w:cs="Times-Bold"/>
          <w:b/>
          <w:bCs/>
          <w:sz w:val="36"/>
          <w:szCs w:val="36"/>
        </w:rPr>
      </w:pPr>
    </w:p>
    <w:p w14:paraId="3071DAE0" w14:textId="77777777" w:rsidR="00084F8B" w:rsidRDefault="00084F8B" w:rsidP="00331322">
      <w:pPr>
        <w:spacing w:after="120"/>
        <w:ind w:firstLine="709"/>
        <w:jc w:val="both"/>
        <w:rPr>
          <w:b/>
        </w:rPr>
      </w:pPr>
    </w:p>
    <w:p w14:paraId="1AE69533" w14:textId="77777777" w:rsidR="00084F8B" w:rsidRDefault="00084F8B" w:rsidP="00331322">
      <w:pPr>
        <w:spacing w:after="120"/>
        <w:ind w:firstLine="709"/>
        <w:jc w:val="both"/>
        <w:rPr>
          <w:b/>
        </w:rPr>
        <w:sectPr w:rsidR="00084F8B" w:rsidSect="00F57BE3"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AF6867E" w14:textId="77777777" w:rsidR="00084F8B" w:rsidRDefault="00084F8B" w:rsidP="00DE6572">
      <w:pPr>
        <w:pStyle w:val="Nagwek1"/>
      </w:pPr>
      <w:bookmarkStart w:id="1" w:name="_Toc400359564"/>
      <w:bookmarkStart w:id="2" w:name="_Toc424116676"/>
      <w:bookmarkStart w:id="3" w:name="_Toc380573785"/>
      <w:bookmarkStart w:id="4" w:name="_Toc397696991"/>
      <w:r>
        <w:lastRenderedPageBreak/>
        <w:t>Spis treści</w:t>
      </w:r>
      <w:bookmarkEnd w:id="1"/>
      <w:bookmarkEnd w:id="2"/>
    </w:p>
    <w:p w14:paraId="7E9255C1" w14:textId="191346BB" w:rsidR="005361AA" w:rsidRDefault="00084F8B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4116676" w:history="1">
        <w:r w:rsidR="005361AA" w:rsidRPr="00BA6C1F">
          <w:rPr>
            <w:rStyle w:val="Hipercze"/>
            <w:noProof/>
          </w:rPr>
          <w:t>Spis treści</w:t>
        </w:r>
        <w:r w:rsidR="005361AA">
          <w:rPr>
            <w:noProof/>
            <w:webHidden/>
          </w:rPr>
          <w:tab/>
        </w:r>
        <w:r w:rsidR="00B447AA">
          <w:rPr>
            <w:noProof/>
            <w:webHidden/>
          </w:rPr>
          <w:t>2</w:t>
        </w:r>
        <w:r w:rsidR="005361AA" w:rsidRPr="00B447AA">
          <w:rPr>
            <w:noProof/>
            <w:webHidden/>
            <w:sz w:val="2"/>
            <w:szCs w:val="2"/>
          </w:rPr>
          <w:fldChar w:fldCharType="begin"/>
        </w:r>
        <w:r w:rsidR="005361AA" w:rsidRPr="00B447AA">
          <w:rPr>
            <w:noProof/>
            <w:webHidden/>
            <w:sz w:val="2"/>
            <w:szCs w:val="2"/>
          </w:rPr>
          <w:instrText xml:space="preserve"> PAGEREF _Toc424116676 \h </w:instrText>
        </w:r>
        <w:r w:rsidR="005361AA" w:rsidRPr="00B447AA">
          <w:rPr>
            <w:noProof/>
            <w:webHidden/>
            <w:sz w:val="2"/>
            <w:szCs w:val="2"/>
          </w:rPr>
        </w:r>
        <w:r w:rsidR="005361AA" w:rsidRPr="00B447AA">
          <w:rPr>
            <w:noProof/>
            <w:webHidden/>
            <w:sz w:val="2"/>
            <w:szCs w:val="2"/>
          </w:rPr>
          <w:fldChar w:fldCharType="separate"/>
        </w:r>
        <w:r w:rsidR="00C53D83">
          <w:rPr>
            <w:noProof/>
            <w:webHidden/>
            <w:sz w:val="2"/>
            <w:szCs w:val="2"/>
          </w:rPr>
          <w:t>2</w:t>
        </w:r>
        <w:r w:rsidR="005361AA" w:rsidRPr="00B447AA">
          <w:rPr>
            <w:noProof/>
            <w:webHidden/>
            <w:sz w:val="2"/>
            <w:szCs w:val="2"/>
          </w:rPr>
          <w:fldChar w:fldCharType="end"/>
        </w:r>
      </w:hyperlink>
    </w:p>
    <w:p w14:paraId="4EF0BFFA" w14:textId="3CF69393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77" w:history="1">
        <w:r w:rsidR="005361AA" w:rsidRPr="00BA6C1F">
          <w:rPr>
            <w:rStyle w:val="Hipercze"/>
            <w:rFonts w:cs="Calibri"/>
            <w:noProof/>
          </w:rPr>
          <w:t xml:space="preserve">Wykaz skrótów i </w:t>
        </w:r>
        <w:r w:rsidR="00576C37">
          <w:rPr>
            <w:rStyle w:val="Hipercze"/>
            <w:rFonts w:cs="Calibri"/>
            <w:noProof/>
          </w:rPr>
          <w:t>o</w:t>
        </w:r>
        <w:r w:rsidR="00576C37" w:rsidRPr="00BA6C1F">
          <w:rPr>
            <w:rStyle w:val="Hipercze"/>
            <w:rFonts w:cs="Calibri"/>
            <w:noProof/>
          </w:rPr>
          <w:t>znaczeń</w:t>
        </w:r>
        <w:r w:rsidR="005361AA">
          <w:rPr>
            <w:noProof/>
            <w:webHidden/>
          </w:rPr>
          <w:tab/>
        </w:r>
        <w:r w:rsidR="00B447AA">
          <w:rPr>
            <w:noProof/>
            <w:webHidden/>
          </w:rPr>
          <w:t>6</w:t>
        </w:r>
        <w:r w:rsidR="005361AA" w:rsidRPr="00B447AA">
          <w:rPr>
            <w:noProof/>
            <w:webHidden/>
            <w:sz w:val="2"/>
            <w:szCs w:val="2"/>
          </w:rPr>
          <w:fldChar w:fldCharType="begin"/>
        </w:r>
        <w:r w:rsidR="005361AA" w:rsidRPr="00B447AA">
          <w:rPr>
            <w:noProof/>
            <w:webHidden/>
            <w:sz w:val="2"/>
            <w:szCs w:val="2"/>
          </w:rPr>
          <w:instrText xml:space="preserve"> PAGEREF _Toc424116677 \h </w:instrText>
        </w:r>
        <w:r w:rsidR="005361AA" w:rsidRPr="00B447AA">
          <w:rPr>
            <w:noProof/>
            <w:webHidden/>
            <w:sz w:val="2"/>
            <w:szCs w:val="2"/>
          </w:rPr>
        </w:r>
        <w:r w:rsidR="005361AA" w:rsidRPr="00B447AA">
          <w:rPr>
            <w:noProof/>
            <w:webHidden/>
            <w:sz w:val="2"/>
            <w:szCs w:val="2"/>
          </w:rPr>
          <w:fldChar w:fldCharType="separate"/>
        </w:r>
        <w:r w:rsidR="00C53D83">
          <w:rPr>
            <w:noProof/>
            <w:webHidden/>
            <w:sz w:val="2"/>
            <w:szCs w:val="2"/>
          </w:rPr>
          <w:t>6</w:t>
        </w:r>
        <w:r w:rsidR="005361AA" w:rsidRPr="00B447AA">
          <w:rPr>
            <w:noProof/>
            <w:webHidden/>
            <w:sz w:val="2"/>
            <w:szCs w:val="2"/>
          </w:rPr>
          <w:fldChar w:fldCharType="end"/>
        </w:r>
      </w:hyperlink>
    </w:p>
    <w:p w14:paraId="0501C532" w14:textId="7FAFDF37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78" w:history="1">
        <w:r w:rsidR="005361AA" w:rsidRPr="00BA6C1F">
          <w:rPr>
            <w:rStyle w:val="Hipercze"/>
            <w:noProof/>
          </w:rPr>
          <w:t>Wstęp</w:t>
        </w:r>
        <w:r w:rsidR="005361AA">
          <w:rPr>
            <w:noProof/>
            <w:webHidden/>
          </w:rPr>
          <w:tab/>
        </w:r>
        <w:r w:rsidR="00B447AA">
          <w:rPr>
            <w:noProof/>
            <w:webHidden/>
          </w:rPr>
          <w:t>8</w:t>
        </w:r>
        <w:r w:rsidR="005361AA" w:rsidRPr="00B447AA">
          <w:rPr>
            <w:noProof/>
            <w:webHidden/>
            <w:sz w:val="2"/>
            <w:szCs w:val="2"/>
          </w:rPr>
          <w:fldChar w:fldCharType="begin"/>
        </w:r>
        <w:r w:rsidR="005361AA" w:rsidRPr="00B447AA">
          <w:rPr>
            <w:noProof/>
            <w:webHidden/>
            <w:sz w:val="2"/>
            <w:szCs w:val="2"/>
          </w:rPr>
          <w:instrText xml:space="preserve"> PAGEREF _Toc424116678 \h </w:instrText>
        </w:r>
        <w:r w:rsidR="005361AA" w:rsidRPr="00B447AA">
          <w:rPr>
            <w:noProof/>
            <w:webHidden/>
            <w:sz w:val="2"/>
            <w:szCs w:val="2"/>
          </w:rPr>
        </w:r>
        <w:r w:rsidR="005361AA" w:rsidRPr="00B447AA">
          <w:rPr>
            <w:noProof/>
            <w:webHidden/>
            <w:sz w:val="2"/>
            <w:szCs w:val="2"/>
          </w:rPr>
          <w:fldChar w:fldCharType="separate"/>
        </w:r>
        <w:r w:rsidR="00C53D83">
          <w:rPr>
            <w:noProof/>
            <w:webHidden/>
            <w:sz w:val="2"/>
            <w:szCs w:val="2"/>
          </w:rPr>
          <w:t>8</w:t>
        </w:r>
        <w:r w:rsidR="005361AA" w:rsidRPr="00B447AA">
          <w:rPr>
            <w:noProof/>
            <w:webHidden/>
            <w:sz w:val="2"/>
            <w:szCs w:val="2"/>
          </w:rPr>
          <w:fldChar w:fldCharType="end"/>
        </w:r>
      </w:hyperlink>
    </w:p>
    <w:p w14:paraId="2FF6CDCE" w14:textId="2E8CD26A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79" w:history="1">
        <w:r w:rsidR="005361AA" w:rsidRPr="00BA6C1F">
          <w:rPr>
            <w:rStyle w:val="Hipercze"/>
            <w:noProof/>
          </w:rPr>
          <w:t>Rozdział 1. Cele, zadania i koszty w zakresie postępowania z odpadami promieniotwórczymi i wypalonym paliwem jądrowym w Rzeczypospolitej Polskiej</w:t>
        </w:r>
        <w:r w:rsidR="005361AA">
          <w:rPr>
            <w:noProof/>
            <w:webHidden/>
          </w:rPr>
          <w:tab/>
        </w:r>
      </w:hyperlink>
      <w:r w:rsidR="00B447AA">
        <w:rPr>
          <w:noProof/>
        </w:rPr>
        <w:t>10</w:t>
      </w:r>
    </w:p>
    <w:p w14:paraId="2A422BFB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680" w:history="1">
        <w:r w:rsidR="005361AA" w:rsidRPr="00BA6C1F">
          <w:rPr>
            <w:rStyle w:val="Hipercze"/>
          </w:rPr>
          <w:t>1.1. Cel Krajowego planu.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_Toc424116680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10</w:t>
        </w:r>
        <w:r w:rsidR="005361AA">
          <w:rPr>
            <w:webHidden/>
          </w:rPr>
          <w:fldChar w:fldCharType="end"/>
        </w:r>
      </w:hyperlink>
    </w:p>
    <w:p w14:paraId="479E1559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81" w:history="1">
        <w:r w:rsidR="005361AA" w:rsidRPr="00BA6C1F">
          <w:rPr>
            <w:rStyle w:val="Hipercze"/>
            <w:noProof/>
          </w:rPr>
          <w:t>1.1.1. Zakres Krajowego planu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_Toc424116681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10</w:t>
        </w:r>
        <w:r w:rsidR="005361AA">
          <w:rPr>
            <w:noProof/>
            <w:webHidden/>
          </w:rPr>
          <w:fldChar w:fldCharType="end"/>
        </w:r>
      </w:hyperlink>
    </w:p>
    <w:p w14:paraId="16A5D705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82" w:history="1">
        <w:r w:rsidR="005361AA" w:rsidRPr="00BA6C1F">
          <w:rPr>
            <w:rStyle w:val="Hipercze"/>
            <w:noProof/>
          </w:rPr>
          <w:t>1.1.2. Zadania związane z postępowaniem z odpadami promieniotwórczymi  i wypalonym paliwem jądrowym wskazane w Krajowym planie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_Toc424116682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12</w:t>
        </w:r>
        <w:r w:rsidR="005361AA">
          <w:rPr>
            <w:noProof/>
            <w:webHidden/>
          </w:rPr>
          <w:fldChar w:fldCharType="end"/>
        </w:r>
      </w:hyperlink>
    </w:p>
    <w:p w14:paraId="73368C91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83" w:history="1">
        <w:r w:rsidR="005361AA" w:rsidRPr="00BA6C1F">
          <w:rPr>
            <w:rStyle w:val="Hipercze"/>
            <w:noProof/>
          </w:rPr>
          <w:t>1.1.3. Zasady postępowania z odpadami promieniotwórczymi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_Toc424116683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12</w:t>
        </w:r>
        <w:r w:rsidR="005361AA">
          <w:rPr>
            <w:noProof/>
            <w:webHidden/>
          </w:rPr>
          <w:fldChar w:fldCharType="end"/>
        </w:r>
      </w:hyperlink>
    </w:p>
    <w:p w14:paraId="0EBB87E5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684" w:history="1">
        <w:r w:rsidR="005361AA" w:rsidRPr="00BA6C1F">
          <w:rPr>
            <w:rStyle w:val="Hipercze"/>
          </w:rPr>
          <w:t>1.2. Sposób monitorowania i oceny stopnia realizacji Krajowego planu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_Toc424116684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12</w:t>
        </w:r>
        <w:r w:rsidR="005361AA">
          <w:rPr>
            <w:webHidden/>
          </w:rPr>
          <w:fldChar w:fldCharType="end"/>
        </w:r>
      </w:hyperlink>
    </w:p>
    <w:p w14:paraId="4B59215A" w14:textId="50F4D29B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685" w:history="1">
        <w:r w:rsidR="005361AA" w:rsidRPr="00BA6C1F">
          <w:rPr>
            <w:rStyle w:val="Hipercze"/>
          </w:rPr>
          <w:t>1.3. Zadania, których realizacja jest niezbędna dla prawidłowego postępowania z odpadami promieniotwórczymi w Polsce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_Toc424116685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13</w:t>
        </w:r>
        <w:r w:rsidR="005361AA">
          <w:rPr>
            <w:webHidden/>
          </w:rPr>
          <w:fldChar w:fldCharType="end"/>
        </w:r>
      </w:hyperlink>
    </w:p>
    <w:p w14:paraId="35614646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86" w:history="1">
        <w:r w:rsidR="005361AA" w:rsidRPr="00BA6C1F">
          <w:rPr>
            <w:rStyle w:val="Hipercze"/>
            <w:noProof/>
          </w:rPr>
          <w:t>1.3.1. Zadania w zakresie postępowania z odpadami promieniotwórczymi nisko- i średnioaktywnymi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_Toc424116686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13</w:t>
        </w:r>
        <w:r w:rsidR="005361AA">
          <w:rPr>
            <w:noProof/>
            <w:webHidden/>
          </w:rPr>
          <w:fldChar w:fldCharType="end"/>
        </w:r>
      </w:hyperlink>
    </w:p>
    <w:p w14:paraId="6FD1B754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87" w:history="1">
        <w:r w:rsidR="005361AA" w:rsidRPr="00BA6C1F">
          <w:rPr>
            <w:rStyle w:val="Hipercze"/>
            <w:noProof/>
          </w:rPr>
          <w:t>1.3.2. Przygotowanie do budowy składowiska głębokiego odpadów promieniotwórczych, w tym realizacja programu Polskiego Podziemnego Laboratorium Badawczego - wytypowanie jego bezpiecznej lokalizacji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_Toc424116687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14</w:t>
        </w:r>
        <w:r w:rsidR="005361AA">
          <w:rPr>
            <w:noProof/>
            <w:webHidden/>
          </w:rPr>
          <w:fldChar w:fldCharType="end"/>
        </w:r>
      </w:hyperlink>
    </w:p>
    <w:p w14:paraId="5B7311CB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88" w:history="1">
        <w:r w:rsidR="005361AA" w:rsidRPr="00BA6C1F">
          <w:rPr>
            <w:rStyle w:val="Hipercze"/>
            <w:noProof/>
          </w:rPr>
          <w:t>1.3.3. Modyfikacja zasad postępowania z odpadami promieniotwórczymi i wypalonym paliwem jądrowym oraz likwidacji elektrowni jądrowych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_Toc424116688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15</w:t>
        </w:r>
        <w:r w:rsidR="005361AA">
          <w:rPr>
            <w:noProof/>
            <w:webHidden/>
          </w:rPr>
          <w:fldChar w:fldCharType="end"/>
        </w:r>
      </w:hyperlink>
    </w:p>
    <w:p w14:paraId="687E7162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89" w:history="1">
        <w:r w:rsidR="005361AA" w:rsidRPr="00BA6C1F">
          <w:rPr>
            <w:rStyle w:val="Hipercze"/>
            <w:noProof/>
          </w:rPr>
          <w:t>1.3.4. Stworzenie programu naukowo-badawczego dotyczącego postępowania z odpadami promieniotwórczymi i wypalonym paliwem jądrowym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_Toc424116689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16</w:t>
        </w:r>
        <w:r w:rsidR="005361AA">
          <w:rPr>
            <w:noProof/>
            <w:webHidden/>
          </w:rPr>
          <w:fldChar w:fldCharType="end"/>
        </w:r>
      </w:hyperlink>
    </w:p>
    <w:p w14:paraId="55D0B83B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90" w:history="1">
        <w:r w:rsidR="005361AA" w:rsidRPr="00BA6C1F">
          <w:rPr>
            <w:rStyle w:val="Hipercze"/>
            <w:noProof/>
          </w:rPr>
          <w:t>1.3.5. Przygotowanie kadr dla krajowych instytucji i podmiotów gospodarczych zaangażowanych w postępowanie z odpadami promieniotwórczymi oraz Nadzór nad tym postępowaniem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_Toc424116690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17</w:t>
        </w:r>
        <w:r w:rsidR="005361AA">
          <w:rPr>
            <w:noProof/>
            <w:webHidden/>
          </w:rPr>
          <w:fldChar w:fldCharType="end"/>
        </w:r>
      </w:hyperlink>
    </w:p>
    <w:p w14:paraId="4338A466" w14:textId="77777777" w:rsidR="005361AA" w:rsidRDefault="00FF23BC" w:rsidP="00862CF9">
      <w:pPr>
        <w:pStyle w:val="Spistreci2"/>
      </w:pPr>
      <w:hyperlink w:anchor="_Toc424116691" w:history="1">
        <w:r w:rsidR="005361AA" w:rsidRPr="00BA6C1F">
          <w:rPr>
            <w:rStyle w:val="Hipercze"/>
          </w:rPr>
          <w:t>1.4. Koszty realizacji i źródła finansowania Krajowego planu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_Toc424116691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17</w:t>
        </w:r>
        <w:r w:rsidR="005361AA">
          <w:rPr>
            <w:webHidden/>
          </w:rPr>
          <w:fldChar w:fldCharType="end"/>
        </w:r>
      </w:hyperlink>
    </w:p>
    <w:p w14:paraId="5E6DFA1E" w14:textId="07A34C7E" w:rsidR="00DC0977" w:rsidRPr="00DC0977" w:rsidRDefault="00FF23BC" w:rsidP="00DC0977">
      <w:pPr>
        <w:pStyle w:val="Spistreci2"/>
      </w:pPr>
      <w:hyperlink w:anchor="_Toc424116691" w:history="1"/>
      <w:hyperlink w:anchor="_Toc424116691" w:history="1">
        <w:r w:rsidR="001E30BD">
          <w:rPr>
            <w:rStyle w:val="Hipercze"/>
          </w:rPr>
          <w:t>1.5. Sprowozdanie z real</w:t>
        </w:r>
        <w:r w:rsidR="00DC0977" w:rsidRPr="00DC0977">
          <w:rPr>
            <w:rStyle w:val="Hipercze"/>
          </w:rPr>
          <w:t>i</w:t>
        </w:r>
        <w:r w:rsidR="001E30BD">
          <w:rPr>
            <w:rStyle w:val="Hipercze"/>
          </w:rPr>
          <w:t>za</w:t>
        </w:r>
        <w:r w:rsidR="00DC0977" w:rsidRPr="00DC0977">
          <w:rPr>
            <w:rStyle w:val="Hipercze"/>
          </w:rPr>
          <w:t>cji Krajowego planu</w:t>
        </w:r>
        <w:r w:rsidR="00DC0977" w:rsidRPr="00DC0977">
          <w:rPr>
            <w:rStyle w:val="Hipercze"/>
            <w:webHidden/>
          </w:rPr>
          <w:tab/>
        </w:r>
      </w:hyperlink>
      <w:r w:rsidR="00DC0977" w:rsidRPr="00DC0977">
        <w:t>1</w:t>
      </w:r>
      <w:r w:rsidR="00C53D83">
        <w:t>8</w:t>
      </w:r>
    </w:p>
    <w:p w14:paraId="6F07A548" w14:textId="77777777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92" w:history="1">
        <w:r w:rsidR="005361AA" w:rsidRPr="00BA6C1F">
          <w:rPr>
            <w:rStyle w:val="Hipercze"/>
            <w:noProof/>
          </w:rPr>
          <w:t>Rozdział 2. Etapy realizacji zadań Krajowego planu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_Toc424116692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20</w:t>
        </w:r>
        <w:r w:rsidR="005361AA">
          <w:rPr>
            <w:noProof/>
            <w:webHidden/>
          </w:rPr>
          <w:fldChar w:fldCharType="end"/>
        </w:r>
      </w:hyperlink>
    </w:p>
    <w:p w14:paraId="135CBF42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693" w:history="1">
        <w:r w:rsidR="005361AA" w:rsidRPr="00BA6C1F">
          <w:rPr>
            <w:rStyle w:val="Hipercze"/>
          </w:rPr>
          <w:t>2.1. Zadania w zakresie postępowania z odpadami promieniotwórczymi nisko- i średnioaktywnymi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_Toc424116693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20</w:t>
        </w:r>
        <w:r w:rsidR="005361AA">
          <w:rPr>
            <w:webHidden/>
          </w:rPr>
          <w:fldChar w:fldCharType="end"/>
        </w:r>
      </w:hyperlink>
    </w:p>
    <w:p w14:paraId="5D33D241" w14:textId="5B900AE6" w:rsidR="00A11BC6" w:rsidRPr="00A11BC6" w:rsidRDefault="008F1733">
      <w:pPr>
        <w:pStyle w:val="Spistreci3"/>
        <w:tabs>
          <w:tab w:val="right" w:leader="dot" w:pos="9345"/>
        </w:tabs>
        <w:rPr>
          <w:rStyle w:val="Hipercze"/>
          <w:noProof/>
        </w:rPr>
      </w:pPr>
      <w:r>
        <w:rPr>
          <w:rStyle w:val="Hipercze"/>
        </w:rPr>
        <w:fldChar w:fldCharType="begin"/>
      </w:r>
      <w:r>
        <w:rPr>
          <w:rStyle w:val="Hipercze"/>
          <w:noProof/>
        </w:rPr>
        <w:instrText xml:space="preserve"> HYPERLINK \l "_Toc424116694" </w:instrText>
      </w:r>
      <w:r>
        <w:rPr>
          <w:rStyle w:val="Hipercze"/>
        </w:rPr>
        <w:fldChar w:fldCharType="separate"/>
      </w:r>
      <w:r w:rsidR="005361AA" w:rsidRPr="00A11BC6">
        <w:rPr>
          <w:rStyle w:val="Hipercze"/>
          <w:noProof/>
        </w:rPr>
        <w:t>2.1.1.</w:t>
      </w:r>
      <w:r w:rsidR="00A11BC6" w:rsidRPr="00A11BC6">
        <w:rPr>
          <w:rStyle w:val="Hipercze"/>
          <w:noProof/>
        </w:rPr>
        <w:t xml:space="preserve"> Zapwnienie bezpiecznego funkcjonowania Krajowego Składowiska Odpadów Promieniotwórczych w Różaniedo czasu jego zamknięcia </w:t>
      </w:r>
      <w:r w:rsidR="00A11BC6" w:rsidRPr="00A11BC6">
        <w:rPr>
          <w:rStyle w:val="Hipercze"/>
          <w:noProof/>
          <w:webHidden/>
        </w:rPr>
        <w:tab/>
      </w:r>
      <w:r w:rsidR="00A11BC6" w:rsidRPr="00A11BC6">
        <w:rPr>
          <w:rStyle w:val="Hipercze"/>
          <w:noProof/>
          <w:webHidden/>
        </w:rPr>
        <w:fldChar w:fldCharType="begin"/>
      </w:r>
      <w:r w:rsidR="00A11BC6" w:rsidRPr="00A11BC6">
        <w:rPr>
          <w:rStyle w:val="Hipercze"/>
          <w:noProof/>
          <w:webHidden/>
        </w:rPr>
        <w:instrText xml:space="preserve"> PAGEREF _Toc424116694 \h </w:instrText>
      </w:r>
      <w:r w:rsidR="00A11BC6" w:rsidRPr="00A11BC6">
        <w:rPr>
          <w:rStyle w:val="Hipercze"/>
          <w:noProof/>
          <w:webHidden/>
        </w:rPr>
      </w:r>
      <w:r w:rsidR="00A11BC6" w:rsidRPr="00A11BC6">
        <w:rPr>
          <w:rStyle w:val="Hipercze"/>
          <w:noProof/>
          <w:webHidden/>
        </w:rPr>
        <w:fldChar w:fldCharType="separate"/>
      </w:r>
      <w:r w:rsidR="00C53D83">
        <w:rPr>
          <w:rStyle w:val="Hipercze"/>
          <w:noProof/>
          <w:webHidden/>
        </w:rPr>
        <w:t>20</w:t>
      </w:r>
      <w:r w:rsidR="00A11BC6" w:rsidRPr="00A11BC6">
        <w:rPr>
          <w:rStyle w:val="Hipercze"/>
          <w:noProof/>
          <w:webHidden/>
        </w:rPr>
        <w:fldChar w:fldCharType="end"/>
      </w:r>
    </w:p>
    <w:p w14:paraId="68220371" w14:textId="26ABEB18" w:rsidR="005361AA" w:rsidRDefault="00A11BC6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11BC6">
        <w:rPr>
          <w:rStyle w:val="Hipercze"/>
          <w:noProof/>
        </w:rPr>
        <w:t xml:space="preserve">2.1.2 </w:t>
      </w:r>
      <w:r w:rsidR="005361AA" w:rsidRPr="00A11BC6">
        <w:rPr>
          <w:rStyle w:val="Hipercze"/>
          <w:noProof/>
        </w:rPr>
        <w:t>Przygotowanie do zamknięcia i zamknięcie Krajowego Składowiska Odpadów Promieniotwórczych w Różanie</w:t>
      </w:r>
      <w:r w:rsidR="005361AA" w:rsidRPr="00A11BC6">
        <w:rPr>
          <w:rStyle w:val="Hipercze"/>
          <w:noProof/>
          <w:webHidden/>
        </w:rPr>
        <w:tab/>
      </w:r>
      <w:r w:rsidR="005361AA" w:rsidRPr="00A11BC6">
        <w:rPr>
          <w:rStyle w:val="Hipercze"/>
          <w:noProof/>
          <w:webHidden/>
        </w:rPr>
        <w:fldChar w:fldCharType="begin"/>
      </w:r>
      <w:r w:rsidR="005361AA" w:rsidRPr="00A11BC6">
        <w:rPr>
          <w:rStyle w:val="Hipercze"/>
          <w:noProof/>
          <w:webHidden/>
        </w:rPr>
        <w:instrText xml:space="preserve"> PAGEREF _Toc424116694 \h </w:instrText>
      </w:r>
      <w:r w:rsidR="005361AA" w:rsidRPr="00A11BC6">
        <w:rPr>
          <w:rStyle w:val="Hipercze"/>
          <w:noProof/>
          <w:webHidden/>
        </w:rPr>
      </w:r>
      <w:r w:rsidR="005361AA" w:rsidRPr="00A11BC6">
        <w:rPr>
          <w:rStyle w:val="Hipercze"/>
          <w:noProof/>
          <w:webHidden/>
        </w:rPr>
        <w:fldChar w:fldCharType="separate"/>
      </w:r>
      <w:r w:rsidR="00C53D83">
        <w:rPr>
          <w:rStyle w:val="Hipercze"/>
          <w:noProof/>
          <w:webHidden/>
        </w:rPr>
        <w:t>20</w:t>
      </w:r>
      <w:r w:rsidR="005361AA" w:rsidRPr="00A11BC6">
        <w:rPr>
          <w:rStyle w:val="Hipercze"/>
          <w:noProof/>
          <w:webHidden/>
        </w:rPr>
        <w:fldChar w:fldCharType="end"/>
      </w:r>
      <w:r w:rsidR="008F1733">
        <w:rPr>
          <w:noProof/>
        </w:rPr>
        <w:fldChar w:fldCharType="end"/>
      </w:r>
    </w:p>
    <w:p w14:paraId="7BEAF64A" w14:textId="62348413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695" w:history="1">
        <w:r w:rsidR="00A11BC6">
          <w:rPr>
            <w:rStyle w:val="Hipercze"/>
            <w:noProof/>
          </w:rPr>
          <w:t>2.1.3</w:t>
        </w:r>
        <w:r w:rsidR="005361AA" w:rsidRPr="00BA6C1F">
          <w:rPr>
            <w:rStyle w:val="Hipercze"/>
            <w:noProof/>
          </w:rPr>
          <w:t>. Wybór lokalizacji, budowa i rozpoczęcie eksploatacji nowego składowiska powierzchniowego odpadów promieniotwórczych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_Toc424116695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20</w:t>
        </w:r>
        <w:r w:rsidR="005361AA">
          <w:rPr>
            <w:noProof/>
            <w:webHidden/>
          </w:rPr>
          <w:fldChar w:fldCharType="end"/>
        </w:r>
      </w:hyperlink>
    </w:p>
    <w:p w14:paraId="7FF778D4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696" w:history="1">
        <w:r w:rsidR="005361AA" w:rsidRPr="00BA6C1F">
          <w:rPr>
            <w:rStyle w:val="Hipercze"/>
          </w:rPr>
          <w:t>2.2. Wytypowanie bezpiecznej lokalizacji składowiska głębokiego odpadów promieniotwórczych i budowa składowiska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_Toc424116696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21</w:t>
        </w:r>
        <w:r w:rsidR="005361AA">
          <w:rPr>
            <w:webHidden/>
          </w:rPr>
          <w:fldChar w:fldCharType="end"/>
        </w:r>
      </w:hyperlink>
    </w:p>
    <w:p w14:paraId="53E35846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697" w:history="1">
        <w:r w:rsidR="005361AA" w:rsidRPr="00BA6C1F">
          <w:rPr>
            <w:rStyle w:val="Hipercze"/>
          </w:rPr>
          <w:t>2.3. Modyfikacja zasad postępowania z odpadami promieniotwórczymi i wypalonym paliwem jądrowym oraz z likwidacji elektrowni jądrowych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_Toc424116697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23</w:t>
        </w:r>
        <w:r w:rsidR="005361AA">
          <w:rPr>
            <w:webHidden/>
          </w:rPr>
          <w:fldChar w:fldCharType="end"/>
        </w:r>
      </w:hyperlink>
    </w:p>
    <w:p w14:paraId="53BE47A0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698" w:history="1">
        <w:r w:rsidR="005361AA" w:rsidRPr="00BA6C1F">
          <w:rPr>
            <w:rStyle w:val="Hipercze"/>
          </w:rPr>
          <w:t>2.4. Stworzenie programu naukowo-badawczego dotyczącego postępowania z odpadami promieniotwórczymi i wypalonym paliwem jądrowym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_Toc424116698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23</w:t>
        </w:r>
        <w:r w:rsidR="005361AA">
          <w:rPr>
            <w:webHidden/>
          </w:rPr>
          <w:fldChar w:fldCharType="end"/>
        </w:r>
      </w:hyperlink>
    </w:p>
    <w:p w14:paraId="45CEA8EE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699" w:history="1">
        <w:r w:rsidR="005361AA" w:rsidRPr="00BA6C1F">
          <w:rPr>
            <w:rStyle w:val="Hipercze"/>
          </w:rPr>
          <w:t xml:space="preserve">2.5. Przygotowanie kadr dla krajowych instytucji i podmiotów gospodarczych zaangażowanych w postępowanie z odpadami promieniotwórczymi </w:t>
        </w:r>
        <w:r w:rsidR="00760401">
          <w:rPr>
            <w:rStyle w:val="Hipercze"/>
          </w:rPr>
          <w:t>oraz n</w:t>
        </w:r>
        <w:r w:rsidR="005361AA" w:rsidRPr="00BA6C1F">
          <w:rPr>
            <w:rStyle w:val="Hipercze"/>
          </w:rPr>
          <w:t>adzór nad tym postępowaniem.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_Toc424116699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24</w:t>
        </w:r>
        <w:r w:rsidR="005361AA">
          <w:rPr>
            <w:webHidden/>
          </w:rPr>
          <w:fldChar w:fldCharType="end"/>
        </w:r>
      </w:hyperlink>
    </w:p>
    <w:p w14:paraId="24338A34" w14:textId="77777777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00" w:history="1">
        <w:r w:rsidR="005361AA" w:rsidRPr="00BA6C1F">
          <w:rPr>
            <w:rStyle w:val="Hipercze"/>
            <w:noProof/>
          </w:rPr>
          <w:t xml:space="preserve">Rozdział 3. </w:t>
        </w:r>
        <w:r w:rsidR="005361AA" w:rsidRPr="00BA6C1F">
          <w:rPr>
            <w:rStyle w:val="Hipercze"/>
            <w:rFonts w:eastAsia="MS Mincho"/>
            <w:noProof/>
            <w:lang w:eastAsia="ja-JP"/>
          </w:rPr>
          <w:t>Ilość wypalonego paliwa jądrowego i odpadów promieniotwórczych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_Toc424116700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25</w:t>
        </w:r>
        <w:r w:rsidR="005361AA">
          <w:rPr>
            <w:noProof/>
            <w:webHidden/>
          </w:rPr>
          <w:fldChar w:fldCharType="end"/>
        </w:r>
      </w:hyperlink>
    </w:p>
    <w:p w14:paraId="6849BB43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01" w:history="1">
        <w:r w:rsidR="005361AA" w:rsidRPr="00BA6C1F">
          <w:rPr>
            <w:rStyle w:val="Hipercze"/>
          </w:rPr>
          <w:t xml:space="preserve">3.1. Zebrane dotychczas </w:t>
        </w:r>
        <w:r w:rsidR="00760401">
          <w:rPr>
            <w:rStyle w:val="Hipercze"/>
          </w:rPr>
          <w:t>o</w:t>
        </w:r>
        <w:r w:rsidR="005361AA" w:rsidRPr="00BA6C1F">
          <w:rPr>
            <w:rStyle w:val="Hipercze"/>
          </w:rPr>
          <w:t>dpady promieniotwórcze nisko- i średnioaktywne oraz zużyte zamknięte źródła promieniotwórcze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_Toc424116701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26</w:t>
        </w:r>
        <w:r w:rsidR="005361AA">
          <w:rPr>
            <w:webHidden/>
          </w:rPr>
          <w:fldChar w:fldCharType="end"/>
        </w:r>
      </w:hyperlink>
    </w:p>
    <w:p w14:paraId="6FA1F964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02" w:history="1">
        <w:r w:rsidR="005361AA" w:rsidRPr="00BA6C1F">
          <w:rPr>
            <w:rStyle w:val="Hipercze"/>
          </w:rPr>
          <w:t>3.2. Prognoza ilości odpadów promieniotwórczych z zastosowań medycznych, naukowych i przemysłowych (spoza sektora energetyki jądrowej)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_Toc424116702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27</w:t>
        </w:r>
        <w:r w:rsidR="005361AA">
          <w:rPr>
            <w:webHidden/>
          </w:rPr>
          <w:fldChar w:fldCharType="end"/>
        </w:r>
      </w:hyperlink>
    </w:p>
    <w:p w14:paraId="33E95B6D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03" w:history="1">
        <w:r w:rsidR="005361AA" w:rsidRPr="00BA6C1F">
          <w:rPr>
            <w:rStyle w:val="Hipercze"/>
          </w:rPr>
          <w:t>3.3. Prognoza ilości odpadów promieniotwórczych z reaktora MARIA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_Toc424116703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27</w:t>
        </w:r>
        <w:r w:rsidR="005361AA">
          <w:rPr>
            <w:webHidden/>
          </w:rPr>
          <w:fldChar w:fldCharType="end"/>
        </w:r>
      </w:hyperlink>
    </w:p>
    <w:p w14:paraId="1A65463B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04" w:history="1">
        <w:r w:rsidR="005361AA" w:rsidRPr="00BA6C1F">
          <w:rPr>
            <w:rStyle w:val="Hipercze"/>
          </w:rPr>
          <w:t>3.4. Prognozy zużycia zestawów niskowzbogaconego paliwa jądrowego typu MR w reaktorze MARIA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_Toc424116704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28</w:t>
        </w:r>
        <w:r w:rsidR="005361AA">
          <w:rPr>
            <w:webHidden/>
          </w:rPr>
          <w:fldChar w:fldCharType="end"/>
        </w:r>
      </w:hyperlink>
    </w:p>
    <w:p w14:paraId="3A4412E9" w14:textId="0980779C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05" w:history="1">
        <w:r w:rsidR="005361AA" w:rsidRPr="00BA6C1F">
          <w:rPr>
            <w:rStyle w:val="Hipercze"/>
          </w:rPr>
          <w:t xml:space="preserve">3.5. Prognoza Ilości zużytych </w:t>
        </w:r>
        <w:r w:rsidR="004B0E3C">
          <w:rPr>
            <w:rStyle w:val="Hipercze"/>
          </w:rPr>
          <w:t>z</w:t>
        </w:r>
        <w:r w:rsidR="004B0E3C" w:rsidRPr="00BA6C1F">
          <w:rPr>
            <w:rStyle w:val="Hipercze"/>
          </w:rPr>
          <w:t xml:space="preserve">amkniętych </w:t>
        </w:r>
        <w:r w:rsidR="005361AA" w:rsidRPr="00BA6C1F">
          <w:rPr>
            <w:rStyle w:val="Hipercze"/>
          </w:rPr>
          <w:t xml:space="preserve">źródeł </w:t>
        </w:r>
        <w:r w:rsidR="004B0E3C">
          <w:rPr>
            <w:rStyle w:val="Hipercze"/>
          </w:rPr>
          <w:t>p</w:t>
        </w:r>
        <w:r w:rsidR="004B0E3C" w:rsidRPr="00BA6C1F">
          <w:rPr>
            <w:rStyle w:val="Hipercze"/>
          </w:rPr>
          <w:t>romieniotwórczych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_Toc424116705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28</w:t>
        </w:r>
        <w:r w:rsidR="005361AA">
          <w:rPr>
            <w:webHidden/>
          </w:rPr>
          <w:fldChar w:fldCharType="end"/>
        </w:r>
      </w:hyperlink>
    </w:p>
    <w:p w14:paraId="60964770" w14:textId="5B405B4D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06" w:history="1">
        <w:r w:rsidR="005361AA" w:rsidRPr="00BA6C1F">
          <w:rPr>
            <w:rStyle w:val="Hipercze"/>
          </w:rPr>
          <w:t xml:space="preserve">3.6. Odpady </w:t>
        </w:r>
        <w:r w:rsidR="005361AA" w:rsidRPr="00BA6C1F">
          <w:rPr>
            <w:rStyle w:val="Hipercze"/>
            <w:rFonts w:cs="Calibri"/>
          </w:rPr>
          <w:t>promieniotwórcze</w:t>
        </w:r>
        <w:r w:rsidR="005361AA" w:rsidRPr="00BA6C1F">
          <w:rPr>
            <w:rStyle w:val="Hipercze"/>
          </w:rPr>
          <w:t xml:space="preserve"> pochodzące z energetyki jądrowej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_Toc424116706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29</w:t>
        </w:r>
        <w:r w:rsidR="005361AA">
          <w:rPr>
            <w:webHidden/>
          </w:rPr>
          <w:fldChar w:fldCharType="end"/>
        </w:r>
      </w:hyperlink>
    </w:p>
    <w:p w14:paraId="003F88E1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07" w:history="1">
        <w:r w:rsidR="005361AA" w:rsidRPr="00BA6C1F">
          <w:rPr>
            <w:rStyle w:val="Hipercze"/>
            <w:rFonts w:eastAsia="MS Mincho"/>
            <w:noProof/>
            <w:lang w:eastAsia="ja-JP"/>
          </w:rPr>
          <w:t xml:space="preserve">3.6.1. Odpady </w:t>
        </w:r>
        <w:r w:rsidR="005361AA" w:rsidRPr="00BA6C1F">
          <w:rPr>
            <w:rStyle w:val="Hipercze"/>
            <w:rFonts w:cs="Calibri"/>
            <w:noProof/>
          </w:rPr>
          <w:t>promieniotwórcze</w:t>
        </w:r>
        <w:r w:rsidR="005361AA" w:rsidRPr="00BA6C1F">
          <w:rPr>
            <w:rStyle w:val="Hipercze"/>
            <w:rFonts w:eastAsia="MS Mincho" w:cs="Calibri"/>
            <w:noProof/>
            <w:lang w:eastAsia="ja-JP"/>
          </w:rPr>
          <w:t xml:space="preserve"> krótkożyciowe </w:t>
        </w:r>
        <w:r w:rsidR="005361AA" w:rsidRPr="00BA6C1F">
          <w:rPr>
            <w:rStyle w:val="Hipercze"/>
            <w:rFonts w:eastAsia="MS Mincho"/>
            <w:noProof/>
            <w:lang w:eastAsia="ja-JP"/>
          </w:rPr>
          <w:t>nisko- i średnioaktywne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_Toc424116707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29</w:t>
        </w:r>
        <w:r w:rsidR="005361AA">
          <w:rPr>
            <w:noProof/>
            <w:webHidden/>
          </w:rPr>
          <w:fldChar w:fldCharType="end"/>
        </w:r>
      </w:hyperlink>
    </w:p>
    <w:p w14:paraId="2072D683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08" w:history="1">
        <w:r w:rsidR="005361AA" w:rsidRPr="00BA6C1F">
          <w:rPr>
            <w:rStyle w:val="Hipercze"/>
            <w:rFonts w:eastAsia="MS Mincho"/>
            <w:noProof/>
            <w:lang w:eastAsia="ja-JP"/>
          </w:rPr>
          <w:t>3.6.2. Wypalone paliwo jądrowe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_Toc424116708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29</w:t>
        </w:r>
        <w:r w:rsidR="005361AA">
          <w:rPr>
            <w:noProof/>
            <w:webHidden/>
          </w:rPr>
          <w:fldChar w:fldCharType="end"/>
        </w:r>
      </w:hyperlink>
    </w:p>
    <w:p w14:paraId="709C30F6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09" w:history="1">
        <w:r w:rsidR="005361AA" w:rsidRPr="00BA6C1F">
          <w:rPr>
            <w:rStyle w:val="Hipercze"/>
          </w:rPr>
          <w:t>3.7. Odpady promieniotwórcze pochodzące z likwidacji obiektów jądrowych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_Toc424116709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30</w:t>
        </w:r>
        <w:r w:rsidR="005361AA">
          <w:rPr>
            <w:webHidden/>
          </w:rPr>
          <w:fldChar w:fldCharType="end"/>
        </w:r>
      </w:hyperlink>
    </w:p>
    <w:p w14:paraId="330F3FA2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10" w:history="1">
        <w:r w:rsidR="005361AA" w:rsidRPr="00BA6C1F">
          <w:rPr>
            <w:rStyle w:val="Hipercze"/>
            <w:noProof/>
          </w:rPr>
          <w:t>3.7.1. Reaktor MARIA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_Toc424116710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30</w:t>
        </w:r>
        <w:r w:rsidR="005361AA">
          <w:rPr>
            <w:noProof/>
            <w:webHidden/>
          </w:rPr>
          <w:fldChar w:fldCharType="end"/>
        </w:r>
      </w:hyperlink>
    </w:p>
    <w:p w14:paraId="6B0903D7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11" w:history="1">
        <w:r w:rsidR="005361AA" w:rsidRPr="00BA6C1F">
          <w:rPr>
            <w:rStyle w:val="Hipercze"/>
            <w:noProof/>
          </w:rPr>
          <w:t>3.7.2. Elektrownie jądrowe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_Toc424116711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30</w:t>
        </w:r>
        <w:r w:rsidR="005361AA">
          <w:rPr>
            <w:noProof/>
            <w:webHidden/>
          </w:rPr>
          <w:fldChar w:fldCharType="end"/>
        </w:r>
      </w:hyperlink>
    </w:p>
    <w:p w14:paraId="53E52EB7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12" w:history="1">
        <w:r w:rsidR="005361AA" w:rsidRPr="00BA6C1F">
          <w:rPr>
            <w:rStyle w:val="Hipercze"/>
          </w:rPr>
          <w:t>3.8. Podsumowanie dotyczące ilości odpadów promieniotwórczych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_Toc424116712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30</w:t>
        </w:r>
        <w:r w:rsidR="005361AA">
          <w:rPr>
            <w:webHidden/>
          </w:rPr>
          <w:fldChar w:fldCharType="end"/>
        </w:r>
      </w:hyperlink>
    </w:p>
    <w:p w14:paraId="1A3DF3A1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13" w:history="1">
        <w:r w:rsidR="005361AA" w:rsidRPr="00BA6C1F">
          <w:rPr>
            <w:rStyle w:val="Hipercze"/>
            <w:noProof/>
          </w:rPr>
          <w:t>3.8.1. Odpady promieniotwórcze krótkożyciowe nisko- i średnioaktywne (do 2144 r.) przeznaczone do składowania w NSPOP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_Toc424116713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31</w:t>
        </w:r>
        <w:r w:rsidR="005361AA">
          <w:rPr>
            <w:noProof/>
            <w:webHidden/>
          </w:rPr>
          <w:fldChar w:fldCharType="end"/>
        </w:r>
      </w:hyperlink>
    </w:p>
    <w:p w14:paraId="55B83676" w14:textId="4EFB6E64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14" w:history="1">
        <w:r w:rsidR="005361AA" w:rsidRPr="00BA6C1F">
          <w:rPr>
            <w:rStyle w:val="Hipercze"/>
            <w:noProof/>
          </w:rPr>
          <w:t>3.8.2. Odpady promieniotwórcze, w tym wypalone paliwo jądrowe, przeznaczone do składowania w SGOP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_Toc424116714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33</w:t>
        </w:r>
        <w:r w:rsidR="005361AA">
          <w:rPr>
            <w:noProof/>
            <w:webHidden/>
          </w:rPr>
          <w:fldChar w:fldCharType="end"/>
        </w:r>
      </w:hyperlink>
    </w:p>
    <w:p w14:paraId="170E37F1" w14:textId="1EC6CEDE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15" w:history="1">
        <w:r w:rsidR="005361AA" w:rsidRPr="00BA6C1F">
          <w:rPr>
            <w:rStyle w:val="Hipercze"/>
            <w:noProof/>
          </w:rPr>
          <w:t xml:space="preserve">3.8.3 Możliwość </w:t>
        </w:r>
        <w:r w:rsidR="004B0E3C">
          <w:rPr>
            <w:rStyle w:val="Hipercze"/>
            <w:noProof/>
          </w:rPr>
          <w:t>z</w:t>
        </w:r>
        <w:r w:rsidR="004B0E3C" w:rsidRPr="00BA6C1F">
          <w:rPr>
            <w:rStyle w:val="Hipercze"/>
            <w:noProof/>
          </w:rPr>
          <w:t xml:space="preserve">miany </w:t>
        </w:r>
        <w:r w:rsidR="005361AA" w:rsidRPr="00BA6C1F">
          <w:rPr>
            <w:rStyle w:val="Hipercze"/>
            <w:noProof/>
          </w:rPr>
          <w:t xml:space="preserve">klasyfikacji odpadów </w:t>
        </w:r>
        <w:r w:rsidR="00760401">
          <w:rPr>
            <w:rStyle w:val="Hipercze"/>
            <w:noProof/>
          </w:rPr>
          <w:t>p</w:t>
        </w:r>
        <w:r w:rsidR="005361AA" w:rsidRPr="00BA6C1F">
          <w:rPr>
            <w:rStyle w:val="Hipercze"/>
            <w:noProof/>
          </w:rPr>
          <w:t>romieniotworczych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_Toc424116715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33</w:t>
        </w:r>
        <w:r w:rsidR="005361AA">
          <w:rPr>
            <w:noProof/>
            <w:webHidden/>
          </w:rPr>
          <w:fldChar w:fldCharType="end"/>
        </w:r>
      </w:hyperlink>
    </w:p>
    <w:p w14:paraId="1784E1AF" w14:textId="77777777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16" w:history="1">
        <w:r w:rsidR="005361AA" w:rsidRPr="00BA6C1F">
          <w:rPr>
            <w:rStyle w:val="Hipercze"/>
            <w:rFonts w:eastAsia="MS Mincho"/>
            <w:noProof/>
            <w:lang w:eastAsia="ja-JP"/>
          </w:rPr>
          <w:t>Rozdział 4. Postępowanie z odpadami promieniotwórczymi i wypalonym paliwem jądrowym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_Toc424116716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34</w:t>
        </w:r>
        <w:r w:rsidR="005361AA">
          <w:rPr>
            <w:noProof/>
            <w:webHidden/>
          </w:rPr>
          <w:fldChar w:fldCharType="end"/>
        </w:r>
      </w:hyperlink>
    </w:p>
    <w:p w14:paraId="5FD2B4D7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17" w:history="1">
        <w:r w:rsidR="005361AA" w:rsidRPr="00BA6C1F">
          <w:rPr>
            <w:rStyle w:val="Hipercze"/>
          </w:rPr>
          <w:t>4.1. Postępowanie z odpadami promieniotwórczymi krótkożyciowymi nisko- i średnioaktywnymi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_Toc424116717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34</w:t>
        </w:r>
        <w:r w:rsidR="005361AA">
          <w:rPr>
            <w:webHidden/>
          </w:rPr>
          <w:fldChar w:fldCharType="end"/>
        </w:r>
      </w:hyperlink>
    </w:p>
    <w:p w14:paraId="317073C6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18" w:history="1">
        <w:r w:rsidR="005361AA" w:rsidRPr="00BA6C1F">
          <w:rPr>
            <w:rStyle w:val="Hipercze"/>
            <w:noProof/>
          </w:rPr>
          <w:t>4.1.1. Postępowanie z odpadami promieniotwórczymi w miejscu ich powstania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_Toc424116718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34</w:t>
        </w:r>
        <w:r w:rsidR="005361AA">
          <w:rPr>
            <w:noProof/>
            <w:webHidden/>
          </w:rPr>
          <w:fldChar w:fldCharType="end"/>
        </w:r>
      </w:hyperlink>
    </w:p>
    <w:p w14:paraId="42163A56" w14:textId="4BFADAA3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19" w:history="1">
        <w:r w:rsidR="005361AA" w:rsidRPr="00BA6C1F">
          <w:rPr>
            <w:rStyle w:val="Hipercze"/>
            <w:noProof/>
          </w:rPr>
          <w:t>4.1.2. Odbiór odpadów promieniotwórczych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_Toc424116719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34</w:t>
        </w:r>
        <w:r w:rsidR="005361AA">
          <w:rPr>
            <w:noProof/>
            <w:webHidden/>
          </w:rPr>
          <w:fldChar w:fldCharType="end"/>
        </w:r>
      </w:hyperlink>
    </w:p>
    <w:p w14:paraId="69C8D30D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20" w:history="1">
        <w:r w:rsidR="005361AA" w:rsidRPr="00BA6C1F">
          <w:rPr>
            <w:rStyle w:val="Hipercze"/>
            <w:noProof/>
          </w:rPr>
          <w:t>4.1.3. Transport odpadów promieniotwórczych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_Toc424116720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35</w:t>
        </w:r>
        <w:r w:rsidR="005361AA">
          <w:rPr>
            <w:noProof/>
            <w:webHidden/>
          </w:rPr>
          <w:fldChar w:fldCharType="end"/>
        </w:r>
      </w:hyperlink>
    </w:p>
    <w:p w14:paraId="58558372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21" w:history="1">
        <w:r w:rsidR="005361AA" w:rsidRPr="00BA6C1F">
          <w:rPr>
            <w:rStyle w:val="Hipercze"/>
            <w:noProof/>
          </w:rPr>
          <w:t>4.1.4. Przetwarzanie odpadów promieniotwórczych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_Toc424116721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35</w:t>
        </w:r>
        <w:r w:rsidR="005361AA">
          <w:rPr>
            <w:noProof/>
            <w:webHidden/>
          </w:rPr>
          <w:fldChar w:fldCharType="end"/>
        </w:r>
      </w:hyperlink>
    </w:p>
    <w:p w14:paraId="63A09191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22" w:history="1">
        <w:r w:rsidR="005361AA" w:rsidRPr="00BA6C1F">
          <w:rPr>
            <w:rStyle w:val="Hipercze"/>
            <w:noProof/>
          </w:rPr>
          <w:t>4.1.5. Przechowywanie odpadów promieniotwórczych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_Toc424116722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35</w:t>
        </w:r>
        <w:r w:rsidR="005361AA">
          <w:rPr>
            <w:noProof/>
            <w:webHidden/>
          </w:rPr>
          <w:fldChar w:fldCharType="end"/>
        </w:r>
      </w:hyperlink>
    </w:p>
    <w:p w14:paraId="21FD49C2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23" w:history="1">
        <w:r w:rsidR="005361AA" w:rsidRPr="00BA6C1F">
          <w:rPr>
            <w:rStyle w:val="Hipercze"/>
            <w:noProof/>
          </w:rPr>
          <w:t>4.1.6. Składowanie odpadów promieniotwórczych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_Toc424116723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37</w:t>
        </w:r>
        <w:r w:rsidR="005361AA">
          <w:rPr>
            <w:noProof/>
            <w:webHidden/>
          </w:rPr>
          <w:fldChar w:fldCharType="end"/>
        </w:r>
      </w:hyperlink>
    </w:p>
    <w:p w14:paraId="0D036867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24" w:history="1">
        <w:r w:rsidR="005361AA" w:rsidRPr="00BA6C1F">
          <w:rPr>
            <w:rStyle w:val="Hipercze"/>
            <w:noProof/>
          </w:rPr>
          <w:t xml:space="preserve">4.1.7. </w:t>
        </w:r>
        <w:r w:rsidR="005361AA" w:rsidRPr="00BA6C1F">
          <w:rPr>
            <w:rStyle w:val="Hipercze"/>
            <w:bCs/>
            <w:noProof/>
          </w:rPr>
          <w:t>Krajowe Składowisko Odpadów Promieniotwórczych w Różanie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_Toc424116724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38</w:t>
        </w:r>
        <w:r w:rsidR="005361AA">
          <w:rPr>
            <w:noProof/>
            <w:webHidden/>
          </w:rPr>
          <w:fldChar w:fldCharType="end"/>
        </w:r>
      </w:hyperlink>
    </w:p>
    <w:p w14:paraId="56C8F17D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25" w:history="1">
        <w:r w:rsidR="005361AA" w:rsidRPr="00BA6C1F">
          <w:rPr>
            <w:rStyle w:val="Hipercze"/>
          </w:rPr>
          <w:t xml:space="preserve">4.2 Postępowanie z odpadami promieniotwórczymi </w:t>
        </w:r>
        <w:r w:rsidR="00760401">
          <w:rPr>
            <w:rStyle w:val="Hipercze"/>
          </w:rPr>
          <w:t>d</w:t>
        </w:r>
        <w:r w:rsidR="005361AA" w:rsidRPr="00BA6C1F">
          <w:rPr>
            <w:rStyle w:val="Hipercze"/>
          </w:rPr>
          <w:t>ługożyciowymi nisko- i średnioaktywnymi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_Toc424116725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38</w:t>
        </w:r>
        <w:r w:rsidR="005361AA">
          <w:rPr>
            <w:webHidden/>
          </w:rPr>
          <w:fldChar w:fldCharType="end"/>
        </w:r>
      </w:hyperlink>
    </w:p>
    <w:p w14:paraId="75E5197B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26" w:history="1">
        <w:r w:rsidR="005361AA" w:rsidRPr="00BA6C1F">
          <w:rPr>
            <w:rStyle w:val="Hipercze"/>
          </w:rPr>
          <w:t xml:space="preserve">4.3 Postępowanie z </w:t>
        </w:r>
        <w:r w:rsidR="00760401">
          <w:rPr>
            <w:rStyle w:val="Hipercze"/>
          </w:rPr>
          <w:t>z</w:t>
        </w:r>
        <w:r w:rsidR="005361AA" w:rsidRPr="00BA6C1F">
          <w:rPr>
            <w:rStyle w:val="Hipercze"/>
          </w:rPr>
          <w:t xml:space="preserve">użytymi </w:t>
        </w:r>
        <w:r w:rsidR="00760401">
          <w:rPr>
            <w:rStyle w:val="Hipercze"/>
          </w:rPr>
          <w:t>z</w:t>
        </w:r>
        <w:r w:rsidR="005361AA" w:rsidRPr="00BA6C1F">
          <w:rPr>
            <w:rStyle w:val="Hipercze"/>
          </w:rPr>
          <w:t>amkniętymi źródłami promieniotwórczymi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_Toc424116726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38</w:t>
        </w:r>
        <w:r w:rsidR="005361AA">
          <w:rPr>
            <w:webHidden/>
          </w:rPr>
          <w:fldChar w:fldCharType="end"/>
        </w:r>
      </w:hyperlink>
    </w:p>
    <w:p w14:paraId="710F720D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27" w:history="1">
        <w:r w:rsidR="005361AA" w:rsidRPr="00BA6C1F">
          <w:rPr>
            <w:rStyle w:val="Hipercze"/>
          </w:rPr>
          <w:t>4.4. Postępowanie z wysokoaktywnymi odpadami promieniotwórczymi i wypalonym paliwem jądrowym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_Toc424116727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39</w:t>
        </w:r>
        <w:r w:rsidR="005361AA">
          <w:rPr>
            <w:webHidden/>
          </w:rPr>
          <w:fldChar w:fldCharType="end"/>
        </w:r>
      </w:hyperlink>
    </w:p>
    <w:p w14:paraId="78974BFD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28" w:history="1">
        <w:r w:rsidR="005361AA" w:rsidRPr="00BA6C1F">
          <w:rPr>
            <w:rStyle w:val="Hipercze"/>
            <w:noProof/>
          </w:rPr>
          <w:t>4.4.1. Postępowanie z wypalonym paliwem w Polsce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_Toc424116728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39</w:t>
        </w:r>
        <w:r w:rsidR="005361AA">
          <w:rPr>
            <w:noProof/>
            <w:webHidden/>
          </w:rPr>
          <w:fldChar w:fldCharType="end"/>
        </w:r>
      </w:hyperlink>
    </w:p>
    <w:p w14:paraId="5F4B1F12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29" w:history="1">
        <w:r w:rsidR="005361AA" w:rsidRPr="00BA6C1F">
          <w:rPr>
            <w:rStyle w:val="Hipercze"/>
            <w:noProof/>
          </w:rPr>
          <w:t>4.4.2. Cykl paliwowy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_Toc424116729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40</w:t>
        </w:r>
        <w:r w:rsidR="005361AA">
          <w:rPr>
            <w:noProof/>
            <w:webHidden/>
          </w:rPr>
          <w:fldChar w:fldCharType="end"/>
        </w:r>
      </w:hyperlink>
    </w:p>
    <w:p w14:paraId="5FF3E09C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30" w:history="1">
        <w:r w:rsidR="005361AA" w:rsidRPr="00BA6C1F">
          <w:rPr>
            <w:rStyle w:val="Hipercze"/>
            <w:noProof/>
          </w:rPr>
          <w:t>4.4.3. Rozstrzygnięcie w zakresie końcowego postępowania z odpadami promieniotwórczymi wysokoaktywnymi i wypalonym paliwem jądrowym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_Toc424116730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41</w:t>
        </w:r>
        <w:r w:rsidR="005361AA">
          <w:rPr>
            <w:noProof/>
            <w:webHidden/>
          </w:rPr>
          <w:fldChar w:fldCharType="end"/>
        </w:r>
      </w:hyperlink>
    </w:p>
    <w:p w14:paraId="29FCB02B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31" w:history="1">
        <w:r w:rsidR="005361AA" w:rsidRPr="00BA6C1F">
          <w:rPr>
            <w:rStyle w:val="Hipercze"/>
          </w:rPr>
          <w:t>4.5. Odpady z likwidacji obiektów jądrowych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_Toc424116731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42</w:t>
        </w:r>
        <w:r w:rsidR="005361AA">
          <w:rPr>
            <w:webHidden/>
          </w:rPr>
          <w:fldChar w:fldCharType="end"/>
        </w:r>
      </w:hyperlink>
    </w:p>
    <w:p w14:paraId="5DFF1FE3" w14:textId="77777777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32" w:history="1">
        <w:r w:rsidR="005361AA" w:rsidRPr="00BA6C1F">
          <w:rPr>
            <w:rStyle w:val="Hipercze"/>
            <w:noProof/>
          </w:rPr>
          <w:t>Rozdział 5. Zamknięcie składowiska powierzchniowego odpadów promieniotwórczych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_Toc424116732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44</w:t>
        </w:r>
        <w:r w:rsidR="005361AA">
          <w:rPr>
            <w:noProof/>
            <w:webHidden/>
          </w:rPr>
          <w:fldChar w:fldCharType="end"/>
        </w:r>
      </w:hyperlink>
    </w:p>
    <w:p w14:paraId="1F771F22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33" w:history="1">
        <w:r w:rsidR="005361AA" w:rsidRPr="00BA6C1F">
          <w:rPr>
            <w:rStyle w:val="Hipercze"/>
          </w:rPr>
          <w:t xml:space="preserve">5.1. Działania przygotowawcze poprzedzające zamknięcie </w:t>
        </w:r>
        <w:r w:rsidR="00760401">
          <w:rPr>
            <w:rStyle w:val="Hipercze"/>
          </w:rPr>
          <w:t>s</w:t>
        </w:r>
        <w:r w:rsidR="005361AA" w:rsidRPr="00BA6C1F">
          <w:rPr>
            <w:rStyle w:val="Hipercze"/>
          </w:rPr>
          <w:t>kładowiska i jego zamknięcie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_Toc424116733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44</w:t>
        </w:r>
        <w:r w:rsidR="005361AA">
          <w:rPr>
            <w:webHidden/>
          </w:rPr>
          <w:fldChar w:fldCharType="end"/>
        </w:r>
      </w:hyperlink>
    </w:p>
    <w:p w14:paraId="37F222C2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34" w:history="1">
        <w:r w:rsidR="005361AA" w:rsidRPr="00BA6C1F">
          <w:rPr>
            <w:rStyle w:val="Hipercze"/>
          </w:rPr>
          <w:t>5.2. Długookresowy monitoring po zamknięciu składowiska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_Toc424116734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44</w:t>
        </w:r>
        <w:r w:rsidR="005361AA">
          <w:rPr>
            <w:webHidden/>
          </w:rPr>
          <w:fldChar w:fldCharType="end"/>
        </w:r>
      </w:hyperlink>
    </w:p>
    <w:p w14:paraId="5F2C4A49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35" w:history="1">
        <w:r w:rsidR="005361AA" w:rsidRPr="00BA6C1F">
          <w:rPr>
            <w:rStyle w:val="Hipercze"/>
          </w:rPr>
          <w:t>5.3. Zachowanie wiedzy o składowisku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_Toc424116735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44</w:t>
        </w:r>
        <w:r w:rsidR="005361AA">
          <w:rPr>
            <w:webHidden/>
          </w:rPr>
          <w:fldChar w:fldCharType="end"/>
        </w:r>
      </w:hyperlink>
    </w:p>
    <w:p w14:paraId="412ABC3E" w14:textId="77777777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36" w:history="1">
        <w:r w:rsidR="005361AA" w:rsidRPr="00BA6C1F">
          <w:rPr>
            <w:rStyle w:val="Hipercze"/>
            <w:rFonts w:cs="Calibri"/>
            <w:noProof/>
          </w:rPr>
          <w:t>Rozdział 6. Badania i rozwój w zakresie postępowania</w:t>
        </w:r>
        <w:r w:rsidR="005361AA" w:rsidRPr="00BA6C1F">
          <w:rPr>
            <w:rStyle w:val="Hipercze"/>
            <w:rFonts w:eastAsia="MS Mincho" w:cs="Calibri"/>
            <w:noProof/>
          </w:rPr>
          <w:t xml:space="preserve"> z odpadami promieniotwórczymi i wypalonym paliwem</w:t>
        </w:r>
        <w:r w:rsidR="005361AA" w:rsidRPr="00BA6C1F">
          <w:rPr>
            <w:rStyle w:val="Hipercze"/>
            <w:rFonts w:cs="Calibri"/>
            <w:noProof/>
          </w:rPr>
          <w:t xml:space="preserve"> jądrowym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_Toc424116736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46</w:t>
        </w:r>
        <w:r w:rsidR="005361AA">
          <w:rPr>
            <w:noProof/>
            <w:webHidden/>
          </w:rPr>
          <w:fldChar w:fldCharType="end"/>
        </w:r>
      </w:hyperlink>
    </w:p>
    <w:p w14:paraId="1F847BAE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37" w:history="1">
        <w:r w:rsidR="005361AA" w:rsidRPr="00BA6C1F">
          <w:rPr>
            <w:rStyle w:val="Hipercze"/>
          </w:rPr>
          <w:t>6.1. Badania nad cyklem paliwowym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_Toc424116737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48</w:t>
        </w:r>
        <w:r w:rsidR="005361AA">
          <w:rPr>
            <w:webHidden/>
          </w:rPr>
          <w:fldChar w:fldCharType="end"/>
        </w:r>
      </w:hyperlink>
    </w:p>
    <w:p w14:paraId="38897DEE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38" w:history="1">
        <w:r w:rsidR="005361AA" w:rsidRPr="00BA6C1F">
          <w:rPr>
            <w:rStyle w:val="Hipercze"/>
          </w:rPr>
          <w:t>6.2. Program prac badawczych dla wytypowania bezpiecznej lokalizacji składowiska powierzchniowego odpadów promieniotwórczych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_Toc424116738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48</w:t>
        </w:r>
        <w:r w:rsidR="005361AA">
          <w:rPr>
            <w:webHidden/>
          </w:rPr>
          <w:fldChar w:fldCharType="end"/>
        </w:r>
      </w:hyperlink>
    </w:p>
    <w:p w14:paraId="0DB0E463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39" w:history="1">
        <w:r w:rsidR="005361AA" w:rsidRPr="00BA6C1F">
          <w:rPr>
            <w:rStyle w:val="Hipercze"/>
          </w:rPr>
          <w:t>6.3. Program prac badawczych dla wytypowania bezpiecznej lokalizacji składowiska głębokiego odpadów promieniotwórczych wysokoaktywnych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_Toc424116739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48</w:t>
        </w:r>
        <w:r w:rsidR="005361AA">
          <w:rPr>
            <w:webHidden/>
          </w:rPr>
          <w:fldChar w:fldCharType="end"/>
        </w:r>
      </w:hyperlink>
    </w:p>
    <w:p w14:paraId="56366409" w14:textId="77777777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40" w:history="1">
        <w:r w:rsidR="005361AA" w:rsidRPr="00BA6C1F">
          <w:rPr>
            <w:rStyle w:val="Hipercze"/>
            <w:rFonts w:cs="Calibri"/>
            <w:noProof/>
          </w:rPr>
          <w:t>Rozdział 7. Podmioty zaangażowane w realizację Krajowego planu oraz najważniejsze wskaźniki służące monitorowaniu jego realizacji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_Toc424116740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50</w:t>
        </w:r>
        <w:r w:rsidR="005361AA">
          <w:rPr>
            <w:noProof/>
            <w:webHidden/>
          </w:rPr>
          <w:fldChar w:fldCharType="end"/>
        </w:r>
      </w:hyperlink>
    </w:p>
    <w:p w14:paraId="7FA87E57" w14:textId="2652ADF1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41" w:history="1">
        <w:r w:rsidR="005361AA" w:rsidRPr="00BA6C1F">
          <w:rPr>
            <w:rStyle w:val="Hipercze"/>
          </w:rPr>
          <w:t xml:space="preserve">7.1. </w:t>
        </w:r>
        <w:r w:rsidR="003606AD">
          <w:rPr>
            <w:rStyle w:val="Hipercze"/>
          </w:rPr>
          <w:t>Minister właściwy ds. en</w:t>
        </w:r>
        <w:r w:rsidR="005A2F1A">
          <w:rPr>
            <w:rStyle w:val="Hipercze"/>
          </w:rPr>
          <w:t>e</w:t>
        </w:r>
        <w:r w:rsidR="003606AD">
          <w:rPr>
            <w:rStyle w:val="Hipercze"/>
          </w:rPr>
          <w:t>rgii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_Toc424116741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50</w:t>
        </w:r>
        <w:r w:rsidR="005361AA">
          <w:rPr>
            <w:webHidden/>
          </w:rPr>
          <w:fldChar w:fldCharType="end"/>
        </w:r>
      </w:hyperlink>
    </w:p>
    <w:p w14:paraId="7E03BDF9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42" w:history="1">
        <w:r w:rsidR="005361AA" w:rsidRPr="00BA6C1F">
          <w:rPr>
            <w:rStyle w:val="Hipercze"/>
          </w:rPr>
          <w:t>7.2. Minister właściwy ds. nauki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_Toc424116742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50</w:t>
        </w:r>
        <w:r w:rsidR="005361AA">
          <w:rPr>
            <w:webHidden/>
          </w:rPr>
          <w:fldChar w:fldCharType="end"/>
        </w:r>
      </w:hyperlink>
    </w:p>
    <w:p w14:paraId="709BE8B9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43" w:history="1">
        <w:r w:rsidR="005361AA" w:rsidRPr="00BA6C1F">
          <w:rPr>
            <w:rStyle w:val="Hipercze"/>
          </w:rPr>
          <w:t>7.3. Prezes Państwowej Agencji Atomistyki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_Toc424116743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50</w:t>
        </w:r>
        <w:r w:rsidR="005361AA">
          <w:rPr>
            <w:webHidden/>
          </w:rPr>
          <w:fldChar w:fldCharType="end"/>
        </w:r>
      </w:hyperlink>
    </w:p>
    <w:p w14:paraId="283BF75F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44" w:history="1">
        <w:r w:rsidR="005361AA" w:rsidRPr="00BA6C1F">
          <w:rPr>
            <w:rStyle w:val="Hipercze"/>
          </w:rPr>
          <w:t>7.4. ZUOP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_Toc424116744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50</w:t>
        </w:r>
        <w:r w:rsidR="005361AA">
          <w:rPr>
            <w:webHidden/>
          </w:rPr>
          <w:fldChar w:fldCharType="end"/>
        </w:r>
      </w:hyperlink>
    </w:p>
    <w:p w14:paraId="1F8DBC39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45" w:history="1">
        <w:r w:rsidR="005361AA" w:rsidRPr="00BA6C1F">
          <w:rPr>
            <w:rStyle w:val="Hipercze"/>
          </w:rPr>
          <w:t xml:space="preserve">7.5. Inwestorzy/Operatorzy obiektów </w:t>
        </w:r>
        <w:r w:rsidR="00760401">
          <w:rPr>
            <w:rStyle w:val="Hipercze"/>
          </w:rPr>
          <w:t>e</w:t>
        </w:r>
        <w:r w:rsidR="005361AA" w:rsidRPr="00BA6C1F">
          <w:rPr>
            <w:rStyle w:val="Hipercze"/>
          </w:rPr>
          <w:t>nergetyki jądrowej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_Toc424116745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51</w:t>
        </w:r>
        <w:r w:rsidR="005361AA">
          <w:rPr>
            <w:webHidden/>
          </w:rPr>
          <w:fldChar w:fldCharType="end"/>
        </w:r>
      </w:hyperlink>
    </w:p>
    <w:p w14:paraId="1B7A9FD7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46" w:history="1">
        <w:r w:rsidR="005361AA" w:rsidRPr="00BA6C1F">
          <w:rPr>
            <w:rStyle w:val="Hipercze"/>
          </w:rPr>
          <w:t>7.6. Instytuty badawcze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_Toc424116746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51</w:t>
        </w:r>
        <w:r w:rsidR="005361AA">
          <w:rPr>
            <w:webHidden/>
          </w:rPr>
          <w:fldChar w:fldCharType="end"/>
        </w:r>
      </w:hyperlink>
    </w:p>
    <w:p w14:paraId="4A52B95F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47" w:history="1">
        <w:r w:rsidR="005361AA" w:rsidRPr="00BA6C1F">
          <w:rPr>
            <w:rStyle w:val="Hipercze"/>
          </w:rPr>
          <w:t>7.7. Wskaźniki służące monitorowaniu realizacji Krajowego planu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_Toc424116747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51</w:t>
        </w:r>
        <w:r w:rsidR="005361AA">
          <w:rPr>
            <w:webHidden/>
          </w:rPr>
          <w:fldChar w:fldCharType="end"/>
        </w:r>
      </w:hyperlink>
    </w:p>
    <w:p w14:paraId="629E492D" w14:textId="77777777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48" w:history="1">
        <w:r w:rsidR="005361AA" w:rsidRPr="00BA6C1F">
          <w:rPr>
            <w:rStyle w:val="Hipercze"/>
            <w:noProof/>
          </w:rPr>
          <w:t>Rozdział 8. Rozwiązania finansowe w zakresie postępowania z odpadami promieniotwórczymi i wypalonym paliwem jądrowym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_Toc424116748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53</w:t>
        </w:r>
        <w:r w:rsidR="005361AA">
          <w:rPr>
            <w:noProof/>
            <w:webHidden/>
          </w:rPr>
          <w:fldChar w:fldCharType="end"/>
        </w:r>
      </w:hyperlink>
    </w:p>
    <w:p w14:paraId="6D6A311D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49" w:history="1">
        <w:r w:rsidR="005361AA" w:rsidRPr="00BA6C1F">
          <w:rPr>
            <w:rStyle w:val="Hipercze"/>
          </w:rPr>
          <w:t xml:space="preserve">8.1. Finansowanie postępowania </w:t>
        </w:r>
        <w:r w:rsidR="004B0E3C">
          <w:rPr>
            <w:rStyle w:val="Hipercze"/>
          </w:rPr>
          <w:t>z</w:t>
        </w:r>
        <w:r w:rsidR="005361AA" w:rsidRPr="00BA6C1F">
          <w:rPr>
            <w:rStyle w:val="Hipercze"/>
          </w:rPr>
          <w:t xml:space="preserve"> wypalonym paliwem jądrowym i odpadami promieniotwórczymi pochodzącymi z energetyki jądrowej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_Toc424116749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53</w:t>
        </w:r>
        <w:r w:rsidR="005361AA">
          <w:rPr>
            <w:webHidden/>
          </w:rPr>
          <w:fldChar w:fldCharType="end"/>
        </w:r>
      </w:hyperlink>
    </w:p>
    <w:p w14:paraId="1DEB29B6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50" w:history="1">
        <w:r w:rsidR="005361AA" w:rsidRPr="00BA6C1F">
          <w:rPr>
            <w:rStyle w:val="Hipercze"/>
          </w:rPr>
          <w:t>8.2. Finansowanie postępowania z wypalonym paliwem jądrowym i odpadami promieniotwórczymi spoza energetyki jądrowej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_Toc424116750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54</w:t>
        </w:r>
        <w:r w:rsidR="005361AA">
          <w:rPr>
            <w:webHidden/>
          </w:rPr>
          <w:fldChar w:fldCharType="end"/>
        </w:r>
      </w:hyperlink>
    </w:p>
    <w:p w14:paraId="61ABEE7A" w14:textId="77777777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51" w:history="1">
        <w:r w:rsidR="005361AA" w:rsidRPr="00BA6C1F">
          <w:rPr>
            <w:rStyle w:val="Hipercze"/>
            <w:noProof/>
          </w:rPr>
          <w:t>Rozdział 9. Zobowiązania międzynarodowe w zakresie postępowania z odpadami promieniotwórczymi i wypalonym paliwem jądrowym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_Toc424116751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56</w:t>
        </w:r>
        <w:r w:rsidR="005361AA">
          <w:rPr>
            <w:noProof/>
            <w:webHidden/>
          </w:rPr>
          <w:fldChar w:fldCharType="end"/>
        </w:r>
      </w:hyperlink>
    </w:p>
    <w:p w14:paraId="1BE8A37A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52" w:history="1">
        <w:r w:rsidR="005361AA" w:rsidRPr="00BA6C1F">
          <w:rPr>
            <w:rStyle w:val="Hipercze"/>
          </w:rPr>
          <w:t>9.1. Wspólna konwencja bezpieczeństwa w postępowaniu z wypalonym paliwem jądrowym i bezpieczeństwa w postępowaniu z odpadami promieniotwórczymi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_Toc424116752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56</w:t>
        </w:r>
        <w:r w:rsidR="005361AA">
          <w:rPr>
            <w:webHidden/>
          </w:rPr>
          <w:fldChar w:fldCharType="end"/>
        </w:r>
      </w:hyperlink>
    </w:p>
    <w:p w14:paraId="46D43B0A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53" w:history="1">
        <w:r w:rsidR="005361AA" w:rsidRPr="00BA6C1F">
          <w:rPr>
            <w:rStyle w:val="Hipercze"/>
          </w:rPr>
          <w:t>9.2 Traktat ustanawiający Europejską Wspólnotę Energii Atomowej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_Toc424116753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56</w:t>
        </w:r>
        <w:r w:rsidR="005361AA">
          <w:rPr>
            <w:webHidden/>
          </w:rPr>
          <w:fldChar w:fldCharType="end"/>
        </w:r>
      </w:hyperlink>
    </w:p>
    <w:p w14:paraId="56E9BF8E" w14:textId="0A26B0CB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54" w:history="1">
        <w:r w:rsidR="005361AA" w:rsidRPr="00BA6C1F">
          <w:rPr>
            <w:rStyle w:val="Hipercze"/>
            <w:noProof/>
          </w:rPr>
          <w:t>9.2.1. Art. 37 Traktatu ustanawiającego Europejską Wspólnotę Energii Atomowej (Traktat Euratom)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_Toc424116754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57</w:t>
        </w:r>
        <w:r w:rsidR="005361AA">
          <w:rPr>
            <w:noProof/>
            <w:webHidden/>
          </w:rPr>
          <w:fldChar w:fldCharType="end"/>
        </w:r>
      </w:hyperlink>
    </w:p>
    <w:p w14:paraId="60668B04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55" w:history="1">
        <w:r w:rsidR="005361AA" w:rsidRPr="00BA6C1F">
          <w:rPr>
            <w:rStyle w:val="Hipercze"/>
            <w:noProof/>
          </w:rPr>
          <w:t>9.2.2. Dyrektywa Rady 2006/117/Euratom z dnia 20 listopada 2006 r. w sprawie nadzoru i kontroli nad przemieszczaniem odpadów promieniotwórczych oraz wypalonego paliwa jądrowego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_Toc424116755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57</w:t>
        </w:r>
        <w:r w:rsidR="005361AA">
          <w:rPr>
            <w:noProof/>
            <w:webHidden/>
          </w:rPr>
          <w:fldChar w:fldCharType="end"/>
        </w:r>
      </w:hyperlink>
    </w:p>
    <w:p w14:paraId="58F00FE3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56" w:history="1">
        <w:r w:rsidR="005361AA" w:rsidRPr="00BA6C1F">
          <w:rPr>
            <w:rStyle w:val="Hipercze"/>
            <w:noProof/>
          </w:rPr>
          <w:t>9.2.3. Dyrektywa Rady 2011/70/Euratom z dnia 19 lipca 2011 r. ustanawiająca ramy wspólnotowe w zakresie odpowiedzialnego i bezpiecznego gospodarowania wypalonym paliwem jądrowym i odpadami promieniotwórczymi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_Toc424116756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57</w:t>
        </w:r>
        <w:r w:rsidR="005361AA">
          <w:rPr>
            <w:noProof/>
            <w:webHidden/>
          </w:rPr>
          <w:fldChar w:fldCharType="end"/>
        </w:r>
      </w:hyperlink>
    </w:p>
    <w:p w14:paraId="0C9E65D6" w14:textId="4C1DB7FD" w:rsidR="005361AA" w:rsidRDefault="00FF23BC" w:rsidP="000B2545">
      <w:pPr>
        <w:pStyle w:val="Spistreci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57" w:history="1">
        <w:r w:rsidR="005361AA" w:rsidRPr="00BA6C1F">
          <w:rPr>
            <w:rStyle w:val="Hipercze"/>
            <w:noProof/>
          </w:rPr>
          <w:t>9.2.4. Zalecenie Komisji 2006/851/Euratom dotyczące zarządzania funduszami likwidacyjny</w:t>
        </w:r>
        <w:r w:rsidR="0040545F">
          <w:rPr>
            <w:rStyle w:val="Hipercze"/>
            <w:noProof/>
          </w:rPr>
          <w:t>mi</w:t>
        </w:r>
        <w:r w:rsidR="000B2545">
          <w:rPr>
            <w:rStyle w:val="Hipercze"/>
            <w:noProof/>
          </w:rPr>
          <w:t xml:space="preserve"> </w:t>
        </w:r>
        <w:r w:rsidR="005361AA" w:rsidRPr="00BA6C1F">
          <w:rPr>
            <w:rStyle w:val="Hipercze"/>
            <w:noProof/>
          </w:rPr>
          <w:t>przeznaczonymi na likwidację instalacji jądrowych, zużytego paliwa jądrowego i odpadów promieniotwórczych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_Toc424116757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58</w:t>
        </w:r>
        <w:r w:rsidR="005361AA">
          <w:rPr>
            <w:noProof/>
            <w:webHidden/>
          </w:rPr>
          <w:fldChar w:fldCharType="end"/>
        </w:r>
      </w:hyperlink>
    </w:p>
    <w:p w14:paraId="33B58B93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58" w:history="1">
        <w:r w:rsidR="005361AA" w:rsidRPr="00BA6C1F">
          <w:rPr>
            <w:rStyle w:val="Hipercze"/>
          </w:rPr>
          <w:t>9.3. Inicjatywa ograniczania globalnych zagrożeń proliferacyjnych (GTRI)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_Toc424116758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58</w:t>
        </w:r>
        <w:r w:rsidR="005361AA">
          <w:rPr>
            <w:webHidden/>
          </w:rPr>
          <w:fldChar w:fldCharType="end"/>
        </w:r>
      </w:hyperlink>
    </w:p>
    <w:p w14:paraId="56B84F28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59" w:history="1">
        <w:r w:rsidR="005361AA" w:rsidRPr="00BA6C1F">
          <w:rPr>
            <w:rStyle w:val="Hipercze"/>
            <w:noProof/>
          </w:rPr>
          <w:t>9.3.1 Umowy ze Stanami Zjednoczonymi Ameryki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_Toc424116759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58</w:t>
        </w:r>
        <w:r w:rsidR="005361AA">
          <w:rPr>
            <w:noProof/>
            <w:webHidden/>
          </w:rPr>
          <w:fldChar w:fldCharType="end"/>
        </w:r>
      </w:hyperlink>
    </w:p>
    <w:p w14:paraId="25DA8CB9" w14:textId="77777777" w:rsidR="0007533C" w:rsidRDefault="00FF23BC">
      <w:pPr>
        <w:pStyle w:val="Spistreci3"/>
        <w:tabs>
          <w:tab w:val="right" w:leader="dot" w:pos="9345"/>
        </w:tabs>
        <w:rPr>
          <w:noProof/>
        </w:rPr>
      </w:pPr>
      <w:hyperlink w:anchor="_Toc424116760" w:history="1">
        <w:r w:rsidR="005361AA" w:rsidRPr="00BA6C1F">
          <w:rPr>
            <w:rStyle w:val="Hipercze"/>
            <w:noProof/>
          </w:rPr>
          <w:t>9.3.2 Umowa z Federacją Rosyjską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_Toc424116760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59</w:t>
        </w:r>
        <w:r w:rsidR="005361AA">
          <w:rPr>
            <w:noProof/>
            <w:webHidden/>
          </w:rPr>
          <w:fldChar w:fldCharType="end"/>
        </w:r>
      </w:hyperlink>
      <w:r w:rsidR="0007533C">
        <w:rPr>
          <w:noProof/>
        </w:rPr>
        <w:t xml:space="preserve"> </w:t>
      </w:r>
    </w:p>
    <w:p w14:paraId="77C199AE" w14:textId="2CCC1DAB" w:rsidR="005361AA" w:rsidRPr="00862CF9" w:rsidRDefault="0007533C" w:rsidP="00862CF9">
      <w:pPr>
        <w:pStyle w:val="Spistreci2"/>
        <w:rPr>
          <w:rStyle w:val="Hipercze"/>
          <w:color w:val="000000" w:themeColor="text1"/>
        </w:rPr>
      </w:pPr>
      <w:r w:rsidRPr="00862CF9">
        <w:rPr>
          <w:rStyle w:val="Hipercze"/>
          <w:color w:val="000000" w:themeColor="text1"/>
        </w:rPr>
        <w:t xml:space="preserve">9.4 Misja ARTEMIS </w:t>
      </w:r>
      <w:r w:rsidRPr="00862CF9">
        <w:rPr>
          <w:webHidden/>
        </w:rPr>
        <w:tab/>
      </w:r>
      <w:r w:rsidRPr="00862CF9">
        <w:rPr>
          <w:webHidden/>
        </w:rPr>
        <w:fldChar w:fldCharType="begin"/>
      </w:r>
      <w:r w:rsidRPr="00862CF9">
        <w:rPr>
          <w:webHidden/>
        </w:rPr>
        <w:instrText xml:space="preserve"> PAGEREF _Toc424116760 \h </w:instrText>
      </w:r>
      <w:r w:rsidRPr="00862CF9">
        <w:rPr>
          <w:webHidden/>
        </w:rPr>
      </w:r>
      <w:r w:rsidRPr="00862CF9">
        <w:rPr>
          <w:webHidden/>
        </w:rPr>
        <w:fldChar w:fldCharType="separate"/>
      </w:r>
      <w:r w:rsidR="00C53D83">
        <w:rPr>
          <w:webHidden/>
        </w:rPr>
        <w:t>59</w:t>
      </w:r>
      <w:r w:rsidRPr="00862CF9">
        <w:rPr>
          <w:webHidden/>
        </w:rPr>
        <w:fldChar w:fldCharType="end"/>
      </w:r>
    </w:p>
    <w:p w14:paraId="5931947B" w14:textId="77777777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61" w:history="1">
        <w:r w:rsidR="005361AA" w:rsidRPr="00BA6C1F">
          <w:rPr>
            <w:rStyle w:val="Hipercze"/>
            <w:rFonts w:eastAsia="MS Mincho"/>
            <w:noProof/>
            <w:lang w:eastAsia="ja-JP"/>
          </w:rPr>
          <w:t>10. Przejrzystość, informowanie i zaangażowanie społeczeństwa w procesy decyzyjne w zakresie postępowania z odpadami promieniotwórczymi i wypalonym paliwem jądrowym oraz ochrona środowiska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_Toc424116761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61</w:t>
        </w:r>
        <w:r w:rsidR="005361AA">
          <w:rPr>
            <w:noProof/>
            <w:webHidden/>
          </w:rPr>
          <w:fldChar w:fldCharType="end"/>
        </w:r>
      </w:hyperlink>
    </w:p>
    <w:p w14:paraId="5E1A1EA7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62" w:history="1">
        <w:r w:rsidR="005361AA" w:rsidRPr="00BA6C1F">
          <w:rPr>
            <w:rStyle w:val="Hipercze"/>
          </w:rPr>
          <w:t>10.1. Podstawy prawne informowania i udziału społeczeństwa w procesie decyzyjnym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_Toc424116762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61</w:t>
        </w:r>
        <w:r w:rsidR="005361AA">
          <w:rPr>
            <w:webHidden/>
          </w:rPr>
          <w:fldChar w:fldCharType="end"/>
        </w:r>
      </w:hyperlink>
    </w:p>
    <w:p w14:paraId="2B16E30E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63" w:history="1">
        <w:r w:rsidR="005361AA" w:rsidRPr="00BA6C1F">
          <w:rPr>
            <w:rStyle w:val="Hipercze"/>
          </w:rPr>
          <w:t>10.2. Informowanie społeczeństwa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_Toc424116763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61</w:t>
        </w:r>
        <w:r w:rsidR="005361AA">
          <w:rPr>
            <w:webHidden/>
          </w:rPr>
          <w:fldChar w:fldCharType="end"/>
        </w:r>
      </w:hyperlink>
    </w:p>
    <w:p w14:paraId="281169A1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64" w:history="1">
        <w:r w:rsidR="005361AA" w:rsidRPr="00BA6C1F">
          <w:rPr>
            <w:rStyle w:val="Hipercze"/>
          </w:rPr>
          <w:t>10.3. Udział społeczeństwa w procesie decyzyjnym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_Toc424116764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62</w:t>
        </w:r>
        <w:r w:rsidR="005361AA">
          <w:rPr>
            <w:webHidden/>
          </w:rPr>
          <w:fldChar w:fldCharType="end"/>
        </w:r>
      </w:hyperlink>
    </w:p>
    <w:p w14:paraId="3F0DFB4A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65" w:history="1">
        <w:r w:rsidR="005361AA" w:rsidRPr="00BA6C1F">
          <w:rPr>
            <w:rStyle w:val="Hipercze"/>
            <w:noProof/>
          </w:rPr>
          <w:t>10.3.1. Ocena oddziaływania na środowisko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_Toc424116765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62</w:t>
        </w:r>
        <w:r w:rsidR="005361AA">
          <w:rPr>
            <w:noProof/>
            <w:webHidden/>
          </w:rPr>
          <w:fldChar w:fldCharType="end"/>
        </w:r>
      </w:hyperlink>
    </w:p>
    <w:p w14:paraId="166E0965" w14:textId="77777777" w:rsidR="005361AA" w:rsidRDefault="00FF23BC">
      <w:pPr>
        <w:pStyle w:val="Spistreci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66" w:history="1">
        <w:r w:rsidR="005361AA" w:rsidRPr="00BA6C1F">
          <w:rPr>
            <w:rStyle w:val="Hipercze"/>
            <w:noProof/>
          </w:rPr>
          <w:t>10.3.2. Decyzje wydawane przez Prezesa PAA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_Toc424116766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63</w:t>
        </w:r>
        <w:r w:rsidR="005361AA">
          <w:rPr>
            <w:noProof/>
            <w:webHidden/>
          </w:rPr>
          <w:fldChar w:fldCharType="end"/>
        </w:r>
      </w:hyperlink>
    </w:p>
    <w:p w14:paraId="166B346C" w14:textId="7777777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67" w:history="1">
        <w:r w:rsidR="005361AA" w:rsidRPr="00BA6C1F">
          <w:rPr>
            <w:rStyle w:val="Hipercze"/>
          </w:rPr>
          <w:t>10.4. Opłata za lokalizację KSOP na terenie gminy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_Toc424116767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63</w:t>
        </w:r>
        <w:r w:rsidR="005361AA">
          <w:rPr>
            <w:webHidden/>
          </w:rPr>
          <w:fldChar w:fldCharType="end"/>
        </w:r>
      </w:hyperlink>
    </w:p>
    <w:p w14:paraId="29C6C6B6" w14:textId="695CB0C9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68" w:history="1">
        <w:r w:rsidR="005361AA" w:rsidRPr="00BA6C1F">
          <w:rPr>
            <w:rStyle w:val="Hipercze"/>
            <w:noProof/>
          </w:rPr>
          <w:t>Załącznik nr 1. Program działań wykonawczych na lata 2015 – 2020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_Toc424116768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64</w:t>
        </w:r>
        <w:r w:rsidR="005361AA">
          <w:rPr>
            <w:noProof/>
            <w:webHidden/>
          </w:rPr>
          <w:fldChar w:fldCharType="end"/>
        </w:r>
      </w:hyperlink>
    </w:p>
    <w:p w14:paraId="49C205CA" w14:textId="23F6F2E7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69" w:history="1">
        <w:r w:rsidR="005361AA" w:rsidRPr="00BA6C1F">
          <w:rPr>
            <w:rStyle w:val="Hipercze"/>
          </w:rPr>
          <w:t>Działanie I.  Postępowanie z odpadami promieniotwórczymi nisko- i średnioaktywnymi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_Toc424116769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65</w:t>
        </w:r>
        <w:r w:rsidR="005361AA">
          <w:rPr>
            <w:webHidden/>
          </w:rPr>
          <w:fldChar w:fldCharType="end"/>
        </w:r>
      </w:hyperlink>
    </w:p>
    <w:p w14:paraId="3364EFC6" w14:textId="53D14043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70" w:history="1">
        <w:r w:rsidR="005361AA" w:rsidRPr="00BA6C1F">
          <w:rPr>
            <w:rStyle w:val="Hipercze"/>
          </w:rPr>
          <w:t>Działanie II. Postępowanie z odpadami promieniotwórczym wysokoaktywnymi i wypalonym paliwem jądrowym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_Toc424116770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66</w:t>
        </w:r>
        <w:r w:rsidR="005361AA">
          <w:rPr>
            <w:webHidden/>
          </w:rPr>
          <w:fldChar w:fldCharType="end"/>
        </w:r>
      </w:hyperlink>
    </w:p>
    <w:p w14:paraId="424F4D28" w14:textId="1D9B3AF6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71" w:history="1">
        <w:r w:rsidR="005361AA" w:rsidRPr="00BA6C1F">
          <w:rPr>
            <w:rStyle w:val="Hipercze"/>
          </w:rPr>
          <w:t>Działanie III. Modyfikacja zasad postępowania z odpadami promieniotwórczymi i wypalonym paliwem jądrowym oraz likwidacji elektrowni jądrowych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_Toc424116771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67</w:t>
        </w:r>
        <w:r w:rsidR="005361AA">
          <w:rPr>
            <w:webHidden/>
          </w:rPr>
          <w:fldChar w:fldCharType="end"/>
        </w:r>
      </w:hyperlink>
    </w:p>
    <w:p w14:paraId="774FC348" w14:textId="6731A311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72" w:history="1">
        <w:r w:rsidR="005361AA" w:rsidRPr="00BA6C1F">
          <w:rPr>
            <w:rStyle w:val="Hipercze"/>
          </w:rPr>
          <w:t>Działanie IV. Stworzenie programu naukowo-badawczego dotyczącego postępowania z odpadami promieniotwórczymi i wypalonym paliwem jądrowym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_Toc424116772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68</w:t>
        </w:r>
        <w:r w:rsidR="005361AA">
          <w:rPr>
            <w:webHidden/>
          </w:rPr>
          <w:fldChar w:fldCharType="end"/>
        </w:r>
      </w:hyperlink>
    </w:p>
    <w:p w14:paraId="4A03937F" w14:textId="7649A9C0" w:rsidR="005361AA" w:rsidRDefault="00FF23BC" w:rsidP="00862CF9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424116773" w:history="1">
        <w:r w:rsidR="005361AA" w:rsidRPr="00BA6C1F">
          <w:rPr>
            <w:rStyle w:val="Hipercze"/>
          </w:rPr>
          <w:t>Działanie V. Przygotowanie kadr dla krajowych instytucji i podmiotów gospodarczych zaangażowanych w postępowanie z odpadami promieniotwórczymi oraz nadzór nad tym postępowaniem</w:t>
        </w:r>
        <w:r w:rsidR="005361AA">
          <w:rPr>
            <w:webHidden/>
          </w:rPr>
          <w:tab/>
        </w:r>
        <w:r w:rsidR="005361AA">
          <w:rPr>
            <w:webHidden/>
          </w:rPr>
          <w:fldChar w:fldCharType="begin"/>
        </w:r>
        <w:r w:rsidR="005361AA">
          <w:rPr>
            <w:webHidden/>
          </w:rPr>
          <w:instrText xml:space="preserve"> PAGEREF _Toc424116773 \h </w:instrText>
        </w:r>
        <w:r w:rsidR="005361AA">
          <w:rPr>
            <w:webHidden/>
          </w:rPr>
        </w:r>
        <w:r w:rsidR="005361AA">
          <w:rPr>
            <w:webHidden/>
          </w:rPr>
          <w:fldChar w:fldCharType="separate"/>
        </w:r>
        <w:r w:rsidR="00C53D83">
          <w:rPr>
            <w:webHidden/>
          </w:rPr>
          <w:t>68</w:t>
        </w:r>
        <w:r w:rsidR="005361AA">
          <w:rPr>
            <w:webHidden/>
          </w:rPr>
          <w:fldChar w:fldCharType="end"/>
        </w:r>
      </w:hyperlink>
    </w:p>
    <w:p w14:paraId="063E502C" w14:textId="71F23591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74" w:history="1">
        <w:r w:rsidR="005361AA" w:rsidRPr="00BA6C1F">
          <w:rPr>
            <w:rStyle w:val="Hipercze"/>
            <w:noProof/>
          </w:rPr>
          <w:t>Załącznik nr 2. Bilans odpadów promieniotwórczych odebranych przez ZUOP w latach 2000-201</w:t>
        </w:r>
        <w:r w:rsidR="00F567EA">
          <w:rPr>
            <w:rStyle w:val="Hipercze"/>
            <w:noProof/>
          </w:rPr>
          <w:t>8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_Toc424116774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72</w:t>
        </w:r>
        <w:r w:rsidR="005361AA">
          <w:rPr>
            <w:noProof/>
            <w:webHidden/>
          </w:rPr>
          <w:fldChar w:fldCharType="end"/>
        </w:r>
      </w:hyperlink>
    </w:p>
    <w:p w14:paraId="1F966414" w14:textId="6DEEE3F0" w:rsidR="005361AA" w:rsidRDefault="00FF23BC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4116775" w:history="1">
        <w:r w:rsidR="005361AA" w:rsidRPr="00BA6C1F">
          <w:rPr>
            <w:rStyle w:val="Hipercze"/>
            <w:noProof/>
          </w:rPr>
          <w:t xml:space="preserve">Załącznik nr 3. </w:t>
        </w:r>
        <w:r w:rsidR="009D57AF">
          <w:rPr>
            <w:rStyle w:val="Hipercze"/>
            <w:rFonts w:cstheme="minorHAnsi"/>
            <w:iCs/>
            <w:noProof/>
          </w:rPr>
          <w:t>Strategiczna Ocena</w:t>
        </w:r>
        <w:r w:rsidR="005361AA" w:rsidRPr="00BA6C1F">
          <w:rPr>
            <w:rStyle w:val="Hipercze"/>
            <w:rFonts w:cstheme="minorHAnsi"/>
            <w:iCs/>
            <w:noProof/>
          </w:rPr>
          <w:t xml:space="preserve"> Oddziaływania na Środowisko projektu Krajowego planu</w:t>
        </w:r>
        <w:r w:rsidR="005361AA">
          <w:rPr>
            <w:noProof/>
            <w:webHidden/>
          </w:rPr>
          <w:tab/>
        </w:r>
        <w:r w:rsidR="005361AA">
          <w:rPr>
            <w:noProof/>
            <w:webHidden/>
          </w:rPr>
          <w:fldChar w:fldCharType="begin"/>
        </w:r>
        <w:r w:rsidR="005361AA">
          <w:rPr>
            <w:noProof/>
            <w:webHidden/>
          </w:rPr>
          <w:instrText xml:space="preserve"> PAGEREF _Toc424116775 \h </w:instrText>
        </w:r>
        <w:r w:rsidR="005361AA">
          <w:rPr>
            <w:noProof/>
            <w:webHidden/>
          </w:rPr>
        </w:r>
        <w:r w:rsidR="005361AA">
          <w:rPr>
            <w:noProof/>
            <w:webHidden/>
          </w:rPr>
          <w:fldChar w:fldCharType="separate"/>
        </w:r>
        <w:r w:rsidR="00C53D83">
          <w:rPr>
            <w:noProof/>
            <w:webHidden/>
          </w:rPr>
          <w:t>75</w:t>
        </w:r>
        <w:r w:rsidR="005361AA">
          <w:rPr>
            <w:noProof/>
            <w:webHidden/>
          </w:rPr>
          <w:fldChar w:fldCharType="end"/>
        </w:r>
      </w:hyperlink>
    </w:p>
    <w:p w14:paraId="678A20AA" w14:textId="77777777" w:rsidR="00084F8B" w:rsidRDefault="00084F8B">
      <w:r>
        <w:fldChar w:fldCharType="end"/>
      </w:r>
    </w:p>
    <w:p w14:paraId="39140BF3" w14:textId="77777777" w:rsidR="00084F8B" w:rsidRPr="000B275D" w:rsidRDefault="00084F8B" w:rsidP="00DE6572">
      <w:pPr>
        <w:tabs>
          <w:tab w:val="right" w:pos="9356"/>
        </w:tabs>
        <w:spacing w:line="360" w:lineRule="auto"/>
        <w:ind w:left="426"/>
        <w:rPr>
          <w:rFonts w:cs="Calibri"/>
        </w:rPr>
      </w:pPr>
      <w:bookmarkStart w:id="5" w:name="_Rozdział_1._Wstęp"/>
      <w:bookmarkEnd w:id="3"/>
      <w:bookmarkEnd w:id="4"/>
      <w:bookmarkEnd w:id="5"/>
    </w:p>
    <w:p w14:paraId="511B3C39" w14:textId="77777777" w:rsidR="00084F8B" w:rsidRDefault="00084F8B" w:rsidP="00E81158">
      <w:pPr>
        <w:spacing w:line="360" w:lineRule="auto"/>
        <w:ind w:left="426"/>
      </w:pPr>
    </w:p>
    <w:p w14:paraId="1CE23379" w14:textId="77777777" w:rsidR="00084F8B" w:rsidRPr="00536F44" w:rsidRDefault="00084F8B" w:rsidP="00536F44">
      <w:pPr>
        <w:spacing w:line="360" w:lineRule="auto"/>
        <w:ind w:left="426"/>
        <w:sectPr w:rsidR="00084F8B" w:rsidRPr="00536F44" w:rsidSect="00DE6572">
          <w:footerReference w:type="even" r:id="rId12"/>
          <w:footerReference w:type="default" r:id="rId13"/>
          <w:pgSz w:w="11906" w:h="16838"/>
          <w:pgMar w:top="1418" w:right="1133" w:bottom="1276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1790"/>
        <w:gridCol w:w="7280"/>
      </w:tblGrid>
      <w:tr w:rsidR="00084F8B" w:rsidRPr="00800F6F" w14:paraId="42722888" w14:textId="77777777" w:rsidTr="001F03FD">
        <w:tc>
          <w:tcPr>
            <w:tcW w:w="90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DD577D" w14:textId="77777777" w:rsidR="00084F8B" w:rsidRPr="00280210" w:rsidRDefault="00084F8B" w:rsidP="00085C61">
            <w:pPr>
              <w:pStyle w:val="Nagwek1"/>
              <w:rPr>
                <w:rFonts w:cs="Calibri"/>
                <w:sz w:val="22"/>
                <w:szCs w:val="22"/>
              </w:rPr>
            </w:pPr>
            <w:bookmarkStart w:id="6" w:name="_Toc397696992"/>
            <w:bookmarkStart w:id="7" w:name="_Toc424116677"/>
            <w:r w:rsidRPr="00280210">
              <w:rPr>
                <w:rFonts w:cs="Calibri"/>
                <w:sz w:val="22"/>
                <w:szCs w:val="22"/>
              </w:rPr>
              <w:lastRenderedPageBreak/>
              <w:t>Wykaz skrótów</w:t>
            </w:r>
            <w:bookmarkEnd w:id="6"/>
            <w:r w:rsidRPr="00280210">
              <w:rPr>
                <w:rFonts w:cs="Calibri"/>
                <w:sz w:val="22"/>
                <w:szCs w:val="22"/>
              </w:rPr>
              <w:t xml:space="preserve"> i Oznaczeń</w:t>
            </w:r>
            <w:bookmarkEnd w:id="7"/>
          </w:p>
        </w:tc>
      </w:tr>
      <w:tr w:rsidR="00084F8B" w:rsidRPr="00800F6F" w14:paraId="4925E7F7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C63E" w14:textId="77777777" w:rsidR="00084F8B" w:rsidRPr="00800F6F" w:rsidRDefault="00084F8B" w:rsidP="00F859BC">
            <w:pPr>
              <w:spacing w:line="360" w:lineRule="auto"/>
              <w:rPr>
                <w:b/>
              </w:rPr>
            </w:pPr>
            <w:bookmarkStart w:id="8" w:name="_Toc380573787"/>
            <w:r w:rsidRPr="00800F6F">
              <w:rPr>
                <w:b/>
              </w:rPr>
              <w:t>A</w:t>
            </w:r>
            <w:bookmarkEnd w:id="8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1463" w14:textId="77777777" w:rsidR="00084F8B" w:rsidRPr="00800F6F" w:rsidRDefault="00084F8B" w:rsidP="00F859BC">
            <w:pPr>
              <w:spacing w:line="360" w:lineRule="auto"/>
              <w:ind w:left="318"/>
            </w:pPr>
          </w:p>
        </w:tc>
      </w:tr>
      <w:tr w:rsidR="00084F8B" w:rsidRPr="00800F6F" w14:paraId="7C146E95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BF1" w14:textId="77777777" w:rsidR="00084F8B" w:rsidRPr="00800F6F" w:rsidRDefault="00084F8B" w:rsidP="00F859BC">
            <w:pPr>
              <w:spacing w:line="360" w:lineRule="auto"/>
              <w:rPr>
                <w:b/>
              </w:rPr>
            </w:pPr>
            <w:r w:rsidRPr="00800F6F">
              <w:rPr>
                <w:b/>
              </w:rPr>
              <w:t>B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B4E5" w14:textId="77777777" w:rsidR="00084F8B" w:rsidRPr="00800F6F" w:rsidRDefault="00084F8B" w:rsidP="00F859BC">
            <w:pPr>
              <w:spacing w:line="360" w:lineRule="auto"/>
              <w:ind w:left="318"/>
            </w:pPr>
          </w:p>
        </w:tc>
      </w:tr>
      <w:tr w:rsidR="00084F8B" w:rsidRPr="00800F6F" w14:paraId="01D97ED5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4F94" w14:textId="77777777" w:rsidR="00084F8B" w:rsidRPr="00800F6F" w:rsidRDefault="00084F8B" w:rsidP="00F859BC">
            <w:pPr>
              <w:spacing w:line="360" w:lineRule="auto"/>
            </w:pPr>
            <w:r w:rsidRPr="00800F6F">
              <w:t>BJiOR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A793" w14:textId="77777777" w:rsidR="00084F8B" w:rsidRPr="00800F6F" w:rsidRDefault="00084F8B" w:rsidP="00F859BC">
            <w:pPr>
              <w:spacing w:line="360" w:lineRule="auto"/>
              <w:ind w:left="318"/>
            </w:pPr>
            <w:r w:rsidRPr="00800F6F">
              <w:t>Bezpieczeństwo Jądrowe i Ochrona Radiologiczna</w:t>
            </w:r>
          </w:p>
        </w:tc>
      </w:tr>
      <w:tr w:rsidR="00084F8B" w:rsidRPr="00800F6F" w14:paraId="05BB6B86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6F59" w14:textId="77777777" w:rsidR="00084F8B" w:rsidRPr="00800F6F" w:rsidRDefault="00084F8B" w:rsidP="00F859BC">
            <w:pPr>
              <w:spacing w:line="360" w:lineRule="auto"/>
              <w:rPr>
                <w:b/>
              </w:rPr>
            </w:pPr>
            <w:bookmarkStart w:id="9" w:name="_Toc380573789"/>
            <w:r w:rsidRPr="00800F6F">
              <w:rPr>
                <w:b/>
              </w:rPr>
              <w:t>C</w:t>
            </w:r>
            <w:bookmarkEnd w:id="9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6521" w14:textId="77777777" w:rsidR="00084F8B" w:rsidRPr="00800F6F" w:rsidRDefault="00084F8B" w:rsidP="00F859BC">
            <w:pPr>
              <w:spacing w:line="360" w:lineRule="auto"/>
              <w:ind w:left="318"/>
            </w:pPr>
          </w:p>
        </w:tc>
      </w:tr>
      <w:tr w:rsidR="00084F8B" w:rsidRPr="00800F6F" w14:paraId="453BECE7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A091" w14:textId="77777777" w:rsidR="00084F8B" w:rsidRPr="00800F6F" w:rsidRDefault="00084F8B" w:rsidP="00F859BC">
            <w:pPr>
              <w:spacing w:line="360" w:lineRule="auto"/>
              <w:rPr>
                <w:b/>
              </w:rPr>
            </w:pPr>
            <w:r w:rsidRPr="00800F6F">
              <w:rPr>
                <w:b/>
              </w:rPr>
              <w:t>D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8696" w14:textId="77777777" w:rsidR="00084F8B" w:rsidRPr="00800F6F" w:rsidRDefault="00084F8B" w:rsidP="00F859BC">
            <w:pPr>
              <w:spacing w:line="360" w:lineRule="auto"/>
              <w:ind w:left="318"/>
            </w:pPr>
          </w:p>
        </w:tc>
      </w:tr>
      <w:tr w:rsidR="00084F8B" w:rsidRPr="00800F6F" w14:paraId="7BA03083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4489" w14:textId="77777777" w:rsidR="00084F8B" w:rsidRPr="00800F6F" w:rsidRDefault="00084F8B" w:rsidP="00F859BC">
            <w:pPr>
              <w:spacing w:line="360" w:lineRule="auto"/>
              <w:rPr>
                <w:b/>
              </w:rPr>
            </w:pPr>
            <w:bookmarkStart w:id="10" w:name="_Toc380573790"/>
            <w:r w:rsidRPr="00800F6F">
              <w:rPr>
                <w:b/>
              </w:rPr>
              <w:t>E</w:t>
            </w:r>
            <w:bookmarkEnd w:id="10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22B" w14:textId="77777777" w:rsidR="00084F8B" w:rsidRPr="00800F6F" w:rsidRDefault="00084F8B" w:rsidP="00F859BC">
            <w:pPr>
              <w:spacing w:line="360" w:lineRule="auto"/>
              <w:ind w:left="318"/>
            </w:pPr>
          </w:p>
        </w:tc>
      </w:tr>
      <w:tr w:rsidR="00084F8B" w:rsidRPr="00800F6F" w14:paraId="28A7C986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0A13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EK-10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57BC" w14:textId="4B684B99" w:rsidR="00084F8B" w:rsidRPr="00800F6F" w:rsidRDefault="00084F8B" w:rsidP="00EF6585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bCs/>
              </w:rPr>
              <w:t xml:space="preserve">Oznaczenie typu </w:t>
            </w:r>
            <w:r>
              <w:rPr>
                <w:bCs/>
              </w:rPr>
              <w:t>p</w:t>
            </w:r>
            <w:r w:rsidRPr="00800F6F">
              <w:rPr>
                <w:bCs/>
              </w:rPr>
              <w:t xml:space="preserve">aliwa jądrowego </w:t>
            </w:r>
            <w:r>
              <w:rPr>
                <w:bCs/>
              </w:rPr>
              <w:t>wykorzystywanego w reaktorze badawczym EWA w latach 1958-1966</w:t>
            </w:r>
            <w:r w:rsidRPr="00EF6585">
              <w:rPr>
                <w:bCs/>
              </w:rPr>
              <w:t xml:space="preserve"> </w:t>
            </w:r>
            <w:r w:rsidR="001F03FD">
              <w:rPr>
                <w:bCs/>
              </w:rPr>
              <w:t>n</w:t>
            </w:r>
          </w:p>
        </w:tc>
      </w:tr>
      <w:tr w:rsidR="00084F8B" w:rsidRPr="00800F6F" w14:paraId="59696A5B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E7D4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bookmarkStart w:id="11" w:name="_Toc380573791"/>
            <w:r w:rsidRPr="00800F6F">
              <w:rPr>
                <w:bCs/>
              </w:rPr>
              <w:t>EJ</w:t>
            </w:r>
            <w:bookmarkEnd w:id="11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9B2A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bookmarkStart w:id="12" w:name="_Toc380573792"/>
            <w:r w:rsidRPr="00800F6F">
              <w:rPr>
                <w:bCs/>
              </w:rPr>
              <w:t>Elektrownia jądrowa</w:t>
            </w:r>
            <w:bookmarkEnd w:id="12"/>
          </w:p>
        </w:tc>
      </w:tr>
      <w:tr w:rsidR="00084F8B" w:rsidRPr="00800F6F" w14:paraId="27CA4DBB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0591" w14:textId="77777777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bookmarkStart w:id="13" w:name="_Toc380573793"/>
            <w:r w:rsidRPr="00800F6F">
              <w:rPr>
                <w:b/>
                <w:bCs/>
              </w:rPr>
              <w:t>F</w:t>
            </w:r>
            <w:bookmarkEnd w:id="13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63B9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407CEC" w:rsidRPr="00800F6F" w14:paraId="67D52CD9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8244" w14:textId="202D912D" w:rsidR="00407CEC" w:rsidRPr="00407CEC" w:rsidRDefault="00407CEC" w:rsidP="00F859BC">
            <w:pPr>
              <w:spacing w:line="360" w:lineRule="auto"/>
              <w:rPr>
                <w:bCs/>
              </w:rPr>
            </w:pPr>
            <w:r w:rsidRPr="00407CEC">
              <w:rPr>
                <w:bCs/>
              </w:rPr>
              <w:t xml:space="preserve">Fundusz </w:t>
            </w:r>
            <w:r>
              <w:rPr>
                <w:bCs/>
              </w:rPr>
              <w:t xml:space="preserve"> odpadowy 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716D" w14:textId="27A78927" w:rsidR="00407CEC" w:rsidRPr="00800F6F" w:rsidRDefault="00407CEC" w:rsidP="00F859BC">
            <w:pPr>
              <w:spacing w:line="360" w:lineRule="auto"/>
              <w:ind w:left="318"/>
              <w:rPr>
                <w:bCs/>
              </w:rPr>
            </w:pPr>
            <w:r w:rsidRPr="00407CEC">
              <w:rPr>
                <w:bCs/>
              </w:rPr>
              <w:t>Fundusz Składowania Odpadów Promieniotwórczych i Wypalonego Paliwa Jądrowego</w:t>
            </w:r>
          </w:p>
        </w:tc>
      </w:tr>
      <w:tr w:rsidR="00407CEC" w:rsidRPr="00800F6F" w14:paraId="357A15EA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BFB0" w14:textId="7835B9BF" w:rsidR="00407CEC" w:rsidRPr="00407CEC" w:rsidRDefault="00407CEC" w:rsidP="00F859B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Fundusz likwidacyjny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955" w14:textId="51A06D46" w:rsidR="00407CEC" w:rsidRPr="00800F6F" w:rsidRDefault="00803DC6" w:rsidP="00F859BC">
            <w:pPr>
              <w:spacing w:line="360" w:lineRule="auto"/>
              <w:ind w:left="318"/>
              <w:rPr>
                <w:bCs/>
              </w:rPr>
            </w:pPr>
            <w:r>
              <w:rPr>
                <w:bCs/>
              </w:rPr>
              <w:t>Fundusz</w:t>
            </w:r>
            <w:r w:rsidR="00407CEC" w:rsidRPr="00407CEC">
              <w:rPr>
                <w:bCs/>
              </w:rPr>
              <w:t xml:space="preserve"> Likwidacji Obiektu Energetyki Jądrowej</w:t>
            </w:r>
          </w:p>
        </w:tc>
      </w:tr>
      <w:tr w:rsidR="00084F8B" w:rsidRPr="00800F6F" w14:paraId="540F01C7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C825" w14:textId="77777777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bookmarkStart w:id="14" w:name="_Toc380573794"/>
            <w:r w:rsidRPr="00800F6F">
              <w:rPr>
                <w:b/>
                <w:bCs/>
              </w:rPr>
              <w:t>G</w:t>
            </w:r>
            <w:bookmarkEnd w:id="14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E0B3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57618DED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575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GBq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55D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bCs/>
              </w:rPr>
              <w:t>Gigabekerel</w:t>
            </w:r>
          </w:p>
        </w:tc>
      </w:tr>
      <w:tr w:rsidR="00084F8B" w:rsidRPr="00800F6F" w14:paraId="0B169312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9F54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bookmarkStart w:id="15" w:name="_Toc380573795"/>
            <w:r w:rsidRPr="00800F6F">
              <w:rPr>
                <w:bCs/>
              </w:rPr>
              <w:t>GTRI</w:t>
            </w:r>
            <w:bookmarkEnd w:id="15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385F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  <w:lang w:val="en-US"/>
              </w:rPr>
            </w:pPr>
            <w:bookmarkStart w:id="16" w:name="_Toc380573796"/>
            <w:r w:rsidRPr="00800F6F">
              <w:rPr>
                <w:bCs/>
              </w:rPr>
              <w:t xml:space="preserve">Inicjatywa Ograniczania Globalnych Zagrożeń (ang.  </w:t>
            </w:r>
            <w:r w:rsidRPr="00800F6F">
              <w:rPr>
                <w:lang w:val="en-US"/>
              </w:rPr>
              <w:t>Global Threat Reduction Initiative</w:t>
            </w:r>
            <w:r w:rsidRPr="00800F6F">
              <w:rPr>
                <w:bCs/>
                <w:lang w:val="en-US"/>
              </w:rPr>
              <w:t>)</w:t>
            </w:r>
            <w:bookmarkEnd w:id="16"/>
          </w:p>
        </w:tc>
      </w:tr>
      <w:tr w:rsidR="00084F8B" w:rsidRPr="00800F6F" w14:paraId="7E59A09A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512" w14:textId="77777777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bookmarkStart w:id="17" w:name="_Toc380573797"/>
            <w:r w:rsidRPr="00800F6F">
              <w:rPr>
                <w:b/>
                <w:bCs/>
              </w:rPr>
              <w:t>H</w:t>
            </w:r>
            <w:bookmarkEnd w:id="17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31D5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6592BD5D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272F" w14:textId="77777777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r w:rsidRPr="00800F6F">
              <w:rPr>
                <w:b/>
                <w:bCs/>
              </w:rPr>
              <w:t>I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E01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1F03FD" w:rsidRPr="00800F6F" w14:paraId="3D499C1C" w14:textId="77777777" w:rsidTr="00A9153A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10B" w14:textId="49ADF9AA" w:rsidR="001F03FD" w:rsidRPr="00800F6F" w:rsidRDefault="001F03FD" w:rsidP="001F03FD">
            <w:pPr>
              <w:spacing w:line="360" w:lineRule="auto"/>
              <w:rPr>
                <w:b/>
                <w:bCs/>
              </w:rPr>
            </w:pPr>
            <w:r w:rsidRPr="002E789B">
              <w:t>IChTJ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14B" w14:textId="4FDACC0F" w:rsidR="001F03FD" w:rsidRPr="00800F6F" w:rsidRDefault="001F03FD" w:rsidP="001F03FD">
            <w:pPr>
              <w:spacing w:line="360" w:lineRule="auto"/>
              <w:ind w:left="318"/>
              <w:rPr>
                <w:bCs/>
              </w:rPr>
            </w:pPr>
            <w:r w:rsidRPr="002E789B">
              <w:t xml:space="preserve">Instytut Chemii i Techniki Jądrowej </w:t>
            </w:r>
          </w:p>
        </w:tc>
      </w:tr>
      <w:tr w:rsidR="00084F8B" w:rsidRPr="00800F6F" w14:paraId="740CAF24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AB0C" w14:textId="324FCD52" w:rsidR="00084F8B" w:rsidRPr="00800F6F" w:rsidRDefault="001F03FD" w:rsidP="001F03FD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IFR</w:t>
            </w:r>
            <w:r w:rsidRPr="00800F6F" w:rsidDel="001F03FD">
              <w:rPr>
                <w:bCs/>
              </w:rPr>
              <w:t xml:space="preserve"> </w:t>
            </w:r>
            <w:r w:rsidRPr="00800F6F">
              <w:rPr>
                <w:bCs/>
              </w:rPr>
              <w:t xml:space="preserve"> 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D322" w14:textId="3A847F1B" w:rsidR="00084F8B" w:rsidRPr="00800F6F" w:rsidRDefault="001F03FD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rFonts w:eastAsia="MS Mincho"/>
                <w:lang w:eastAsia="ja-JP"/>
              </w:rPr>
              <w:t>Raport ze studium wykonalności przedsięwzięcia (ang. Investment Feasibility Report)</w:t>
            </w:r>
          </w:p>
        </w:tc>
      </w:tr>
      <w:tr w:rsidR="00084F8B" w:rsidRPr="00800F6F" w14:paraId="47D82CD7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895" w14:textId="080D111E" w:rsidR="00084F8B" w:rsidRPr="00800F6F" w:rsidRDefault="001F03FD" w:rsidP="00F859BC">
            <w:pPr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J</w:t>
            </w:r>
            <w:r w:rsidRPr="00800F6F" w:rsidDel="001F03FD">
              <w:rPr>
                <w:bCs/>
              </w:rPr>
              <w:t xml:space="preserve"> 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3363" w14:textId="78566B5C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455B92A8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FFB5" w14:textId="77777777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r w:rsidRPr="00800F6F">
              <w:rPr>
                <w:b/>
                <w:bCs/>
              </w:rPr>
              <w:t>K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A728" w14:textId="77777777" w:rsidR="00084F8B" w:rsidRPr="00800F6F" w:rsidRDefault="00084F8B" w:rsidP="00F859BC">
            <w:pPr>
              <w:spacing w:line="360" w:lineRule="auto"/>
              <w:ind w:left="318"/>
              <w:rPr>
                <w:rFonts w:eastAsia="MS Mincho"/>
                <w:lang w:eastAsia="ja-JP"/>
              </w:rPr>
            </w:pPr>
          </w:p>
        </w:tc>
      </w:tr>
      <w:tr w:rsidR="00084F8B" w:rsidRPr="00800F6F" w14:paraId="79FC57B5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0AE0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KSOP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708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bCs/>
              </w:rPr>
              <w:t xml:space="preserve">Krajowe Składowisko Odpadów Promieniotwórczych </w:t>
            </w:r>
          </w:p>
        </w:tc>
      </w:tr>
      <w:tr w:rsidR="00084F8B" w:rsidRPr="00800F6F" w14:paraId="1DCA6EF1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B7BC" w14:textId="155E00C9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bookmarkStart w:id="18" w:name="_Toc380573800"/>
            <w:r w:rsidRPr="00800F6F">
              <w:rPr>
                <w:b/>
                <w:bCs/>
              </w:rPr>
              <w:t>L</w:t>
            </w:r>
            <w:bookmarkEnd w:id="18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803C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60A6B8D8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D1AA" w14:textId="77777777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r w:rsidRPr="00800F6F">
              <w:rPr>
                <w:b/>
                <w:bCs/>
              </w:rPr>
              <w:t>Ł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56DA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6DAE7746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1387" w14:textId="32CAF97C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bookmarkStart w:id="19" w:name="_Toc380573801"/>
            <w:r w:rsidRPr="00800F6F">
              <w:rPr>
                <w:b/>
                <w:bCs/>
              </w:rPr>
              <w:t>M</w:t>
            </w:r>
            <w:bookmarkEnd w:id="19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2CF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28CFE916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9DCE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MAEA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DEE6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bCs/>
              </w:rPr>
              <w:t xml:space="preserve">Międzynarodowa Agencja Energii Atomowej (ang. </w:t>
            </w:r>
            <w:r w:rsidRPr="00800F6F">
              <w:rPr>
                <w:bCs/>
                <w:lang w:val="en-US"/>
              </w:rPr>
              <w:t>International Atomic Energy Agency</w:t>
            </w:r>
            <w:r w:rsidRPr="00800F6F">
              <w:rPr>
                <w:bCs/>
              </w:rPr>
              <w:t>)</w:t>
            </w:r>
          </w:p>
        </w:tc>
      </w:tr>
      <w:tr w:rsidR="00084F8B" w:rsidRPr="00800F6F" w14:paraId="49D321D8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A810" w14:textId="7A9B0823" w:rsidR="00084F8B" w:rsidRPr="00800F6F" w:rsidRDefault="005E7F1A" w:rsidP="00F859BC">
            <w:pPr>
              <w:spacing w:line="360" w:lineRule="auto"/>
              <w:rPr>
                <w:bCs/>
              </w:rPr>
            </w:pPr>
            <w:r w:rsidRPr="006411F0">
              <w:rPr>
                <w:bCs/>
              </w:rPr>
              <w:t>M</w:t>
            </w:r>
            <w:r w:rsidR="0016160A">
              <w:rPr>
                <w:bCs/>
              </w:rPr>
              <w:t>K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5B0F" w14:textId="533EDE3A" w:rsidR="00084F8B" w:rsidRPr="00800F6F" w:rsidRDefault="0016160A" w:rsidP="00F859BC">
            <w:pPr>
              <w:spacing w:line="360" w:lineRule="auto"/>
              <w:ind w:left="318"/>
              <w:rPr>
                <w:bCs/>
              </w:rPr>
            </w:pPr>
            <w:r>
              <w:rPr>
                <w:bCs/>
              </w:rPr>
              <w:t>Ministerstwo Klimatu</w:t>
            </w:r>
            <w:r w:rsidR="001D3370">
              <w:rPr>
                <w:bCs/>
              </w:rPr>
              <w:t xml:space="preserve"> </w:t>
            </w:r>
          </w:p>
        </w:tc>
      </w:tr>
      <w:tr w:rsidR="00084F8B" w:rsidRPr="00800F6F" w14:paraId="5021E39B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3BAD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MOX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E61" w14:textId="77777777" w:rsidR="00084F8B" w:rsidRPr="00800F6F" w:rsidRDefault="00084F8B" w:rsidP="00F859BC">
            <w:pPr>
              <w:spacing w:line="360" w:lineRule="auto"/>
              <w:ind w:left="318"/>
            </w:pPr>
            <w:r w:rsidRPr="00800F6F">
              <w:rPr>
                <w:color w:val="000000"/>
              </w:rPr>
              <w:t xml:space="preserve">Paliwo </w:t>
            </w:r>
            <w:r>
              <w:rPr>
                <w:color w:val="000000"/>
              </w:rPr>
              <w:t xml:space="preserve">jądrowe </w:t>
            </w:r>
            <w:r w:rsidRPr="00800F6F">
              <w:rPr>
                <w:color w:val="000000"/>
              </w:rPr>
              <w:t>powstałe z mieszaniny tlenków uranu i plutonu (mixed oxide fuel)</w:t>
            </w:r>
          </w:p>
        </w:tc>
      </w:tr>
      <w:tr w:rsidR="00084F8B" w:rsidRPr="00800F6F" w14:paraId="7FA78A2F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F61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MR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1F90" w14:textId="2B985295" w:rsidR="00084F8B" w:rsidRPr="00800F6F" w:rsidRDefault="00084F8B" w:rsidP="001A173A">
            <w:pPr>
              <w:spacing w:line="360" w:lineRule="auto"/>
              <w:ind w:left="318"/>
              <w:rPr>
                <w:color w:val="000000"/>
              </w:rPr>
            </w:pPr>
            <w:r w:rsidRPr="00800F6F">
              <w:rPr>
                <w:bCs/>
              </w:rPr>
              <w:t xml:space="preserve">Oznaczenie typu paliwa </w:t>
            </w:r>
            <w:r w:rsidR="00486D9A" w:rsidRPr="00800F6F">
              <w:rPr>
                <w:bCs/>
              </w:rPr>
              <w:t xml:space="preserve">jądrowego </w:t>
            </w:r>
            <w:r w:rsidR="00486D9A">
              <w:rPr>
                <w:bCs/>
              </w:rPr>
              <w:t>wykorzystywanego</w:t>
            </w:r>
            <w:r>
              <w:rPr>
                <w:bCs/>
              </w:rPr>
              <w:t xml:space="preserve"> w reaktorze badawczym MARIA</w:t>
            </w:r>
          </w:p>
        </w:tc>
      </w:tr>
      <w:tr w:rsidR="00084F8B" w:rsidRPr="00800F6F" w14:paraId="7B01FFA9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A17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t>MWe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5880" w14:textId="77777777" w:rsidR="00084F8B" w:rsidRPr="00800F6F" w:rsidRDefault="00084F8B" w:rsidP="00F859BC">
            <w:pPr>
              <w:spacing w:line="360" w:lineRule="auto"/>
              <w:ind w:left="318"/>
            </w:pPr>
            <w:r w:rsidRPr="00800F6F">
              <w:t>Megawat mocy elektrycznej</w:t>
            </w:r>
          </w:p>
        </w:tc>
      </w:tr>
      <w:tr w:rsidR="00084F8B" w:rsidRPr="00800F6F" w14:paraId="0B844359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C72" w14:textId="463128FD" w:rsidR="00084F8B" w:rsidRPr="00800F6F" w:rsidRDefault="00084F8B" w:rsidP="00F859BC">
            <w:pPr>
              <w:spacing w:line="360" w:lineRule="auto"/>
              <w:rPr>
                <w:bCs/>
              </w:rPr>
            </w:pPr>
            <w:bookmarkStart w:id="20" w:name="_Toc380573802"/>
            <w:r w:rsidRPr="00800F6F">
              <w:t>MWh</w:t>
            </w:r>
            <w:bookmarkEnd w:id="20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33D" w14:textId="77777777" w:rsidR="00084F8B" w:rsidRPr="00800F6F" w:rsidRDefault="00084F8B" w:rsidP="006C6478">
            <w:pPr>
              <w:spacing w:line="360" w:lineRule="auto"/>
              <w:ind w:left="318"/>
            </w:pPr>
            <w:r w:rsidRPr="00800F6F">
              <w:t xml:space="preserve">Megawatogodzina </w:t>
            </w:r>
          </w:p>
        </w:tc>
      </w:tr>
      <w:tr w:rsidR="00084F8B" w:rsidRPr="00800F6F" w14:paraId="0364D6E0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E4B" w14:textId="25D6D9F7" w:rsidR="00084F8B" w:rsidRPr="00800F6F" w:rsidRDefault="00084F8B" w:rsidP="00F859BC">
            <w:pPr>
              <w:spacing w:line="360" w:lineRule="auto"/>
              <w:rPr>
                <w:bCs/>
              </w:rPr>
            </w:pPr>
            <w:bookmarkStart w:id="21" w:name="_Toc380573803"/>
            <w:r w:rsidRPr="00800F6F">
              <w:lastRenderedPageBreak/>
              <w:t>MWt</w:t>
            </w:r>
            <w:bookmarkEnd w:id="21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F99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bookmarkStart w:id="22" w:name="_Toc380573804"/>
            <w:r w:rsidRPr="00800F6F">
              <w:t>Megawat mocy cieplnej</w:t>
            </w:r>
            <w:bookmarkEnd w:id="22"/>
          </w:p>
        </w:tc>
      </w:tr>
      <w:tr w:rsidR="00084F8B" w:rsidRPr="00800F6F" w14:paraId="235EA16F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FBE2" w14:textId="77777777" w:rsidR="00084F8B" w:rsidRPr="00800F6F" w:rsidRDefault="00084F8B" w:rsidP="00F859BC">
            <w:pPr>
              <w:spacing w:line="360" w:lineRule="auto"/>
              <w:rPr>
                <w:b/>
              </w:rPr>
            </w:pPr>
            <w:r w:rsidRPr="00800F6F">
              <w:rPr>
                <w:b/>
              </w:rPr>
              <w:t>N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F145" w14:textId="77777777" w:rsidR="00084F8B" w:rsidRPr="00800F6F" w:rsidRDefault="00084F8B" w:rsidP="00F859BC">
            <w:pPr>
              <w:spacing w:line="360" w:lineRule="auto"/>
              <w:ind w:left="318"/>
            </w:pPr>
          </w:p>
        </w:tc>
      </w:tr>
      <w:tr w:rsidR="00084F8B" w:rsidRPr="00800F6F" w14:paraId="0C552416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F01A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t>NCBiR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C195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t xml:space="preserve">Narodowe Centrum Badań i Rozwoju </w:t>
            </w:r>
          </w:p>
        </w:tc>
      </w:tr>
      <w:tr w:rsidR="00084F8B" w:rsidRPr="00800F6F" w14:paraId="0A58A9C4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0F41" w14:textId="77777777" w:rsidR="00084F8B" w:rsidRPr="00800F6F" w:rsidRDefault="00084F8B" w:rsidP="00FB0CDA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NCBJ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038B" w14:textId="77777777" w:rsidR="00084F8B" w:rsidRPr="00800F6F" w:rsidRDefault="00084F8B" w:rsidP="00FB0CDA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bCs/>
              </w:rPr>
              <w:t>Narodowe Centrum Badań Jądrowych</w:t>
            </w:r>
          </w:p>
        </w:tc>
      </w:tr>
      <w:tr w:rsidR="00084F8B" w:rsidRPr="00800F6F" w14:paraId="5442FBA9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7583" w14:textId="77777777" w:rsidR="00084F8B" w:rsidRPr="00800F6F" w:rsidRDefault="00084F8B" w:rsidP="00F859BC">
            <w:pPr>
              <w:spacing w:line="360" w:lineRule="auto"/>
            </w:pPr>
            <w:r w:rsidRPr="00800F6F">
              <w:t>NCN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C3A2" w14:textId="77777777" w:rsidR="00084F8B" w:rsidRPr="00800F6F" w:rsidRDefault="00084F8B" w:rsidP="00F859BC">
            <w:pPr>
              <w:spacing w:line="360" w:lineRule="auto"/>
              <w:ind w:left="318"/>
            </w:pPr>
            <w:r w:rsidRPr="00800F6F">
              <w:t xml:space="preserve">Narodowe Centrum Nauki </w:t>
            </w:r>
          </w:p>
        </w:tc>
      </w:tr>
      <w:tr w:rsidR="00084F8B" w:rsidRPr="00800F6F" w14:paraId="6EADF4CD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6C1F" w14:textId="77777777" w:rsidR="00084F8B" w:rsidRPr="00800F6F" w:rsidRDefault="00084F8B" w:rsidP="00F859BC">
            <w:pPr>
              <w:spacing w:line="360" w:lineRule="auto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00E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05DDD0B9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53C3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t>NFOŚiGW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19E9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bCs/>
              </w:rPr>
              <w:t>Narodowy Fundusz Ochrony Środowiska i Gospodarki Wodnej</w:t>
            </w:r>
          </w:p>
        </w:tc>
      </w:tr>
      <w:tr w:rsidR="00084F8B" w:rsidRPr="00800F6F" w14:paraId="54BEB34C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EADA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NSPOP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7608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rFonts w:cs="Calibri"/>
                <w:bCs/>
              </w:rPr>
              <w:t>Nowe składowisko powierzchniowe odpadów promieniotwórczych</w:t>
            </w:r>
          </w:p>
        </w:tc>
      </w:tr>
      <w:tr w:rsidR="00084F8B" w:rsidRPr="00800F6F" w14:paraId="0C223349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52C3" w14:textId="599A12EC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bookmarkStart w:id="23" w:name="_Toc380573808"/>
            <w:r w:rsidRPr="00800F6F">
              <w:rPr>
                <w:b/>
                <w:bCs/>
              </w:rPr>
              <w:t>O</w:t>
            </w:r>
            <w:bookmarkEnd w:id="23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C8BF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500C53" w14:paraId="7272B299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4094" w14:textId="3F738DAF" w:rsidR="00084F8B" w:rsidRPr="00800F6F" w:rsidRDefault="00084F8B" w:rsidP="00F859BC">
            <w:pPr>
              <w:spacing w:line="360" w:lineRule="auto"/>
              <w:rPr>
                <w:bCs/>
              </w:rPr>
            </w:pPr>
            <w:bookmarkStart w:id="24" w:name="_Toc380573809"/>
            <w:r w:rsidRPr="00800F6F">
              <w:rPr>
                <w:bCs/>
              </w:rPr>
              <w:t>OECD</w:t>
            </w:r>
            <w:bookmarkEnd w:id="24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2510" w14:textId="77777777" w:rsidR="00084F8B" w:rsidRPr="00800F6F" w:rsidRDefault="00084F8B" w:rsidP="00F859BC">
            <w:pPr>
              <w:spacing w:line="360" w:lineRule="auto"/>
              <w:ind w:left="318"/>
              <w:rPr>
                <w:lang w:val="en-US"/>
              </w:rPr>
            </w:pPr>
            <w:bookmarkStart w:id="25" w:name="_Toc380573810"/>
            <w:r w:rsidRPr="00800F6F">
              <w:rPr>
                <w:bCs/>
              </w:rPr>
              <w:t xml:space="preserve">Organizacja Współpracy Gospodarczej i Rozwoju (ang. </w:t>
            </w:r>
            <w:r w:rsidRPr="00800F6F">
              <w:rPr>
                <w:bCs/>
                <w:lang w:val="en-US"/>
              </w:rPr>
              <w:t>Organization for Economic Co-operation and Development)</w:t>
            </w:r>
            <w:bookmarkEnd w:id="25"/>
          </w:p>
        </w:tc>
      </w:tr>
      <w:tr w:rsidR="00084F8B" w:rsidRPr="00800F6F" w14:paraId="6FD24C22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84FA" w14:textId="75767CB1" w:rsidR="00084F8B" w:rsidRPr="00800F6F" w:rsidRDefault="00084F8B" w:rsidP="00F859BC">
            <w:pPr>
              <w:spacing w:line="360" w:lineRule="auto"/>
              <w:rPr>
                <w:bCs/>
              </w:rPr>
            </w:pPr>
            <w:bookmarkStart w:id="26" w:name="_Toc380573811"/>
            <w:r w:rsidRPr="00800F6F">
              <w:rPr>
                <w:bCs/>
              </w:rPr>
              <w:t>OEJ</w:t>
            </w:r>
            <w:bookmarkEnd w:id="26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4C28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bookmarkStart w:id="27" w:name="_Toc380573812"/>
            <w:r w:rsidRPr="00800F6F">
              <w:t>Obiekt Energetyki Jądrowej</w:t>
            </w:r>
            <w:bookmarkEnd w:id="27"/>
          </w:p>
        </w:tc>
      </w:tr>
      <w:tr w:rsidR="00084F8B" w:rsidRPr="00800F6F" w14:paraId="636F5C84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97A1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OOŚ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F40" w14:textId="77777777" w:rsidR="00084F8B" w:rsidRPr="00800F6F" w:rsidRDefault="00084F8B" w:rsidP="00B857E9">
            <w:pPr>
              <w:spacing w:line="360" w:lineRule="auto"/>
              <w:ind w:left="318"/>
            </w:pPr>
            <w:r w:rsidRPr="00800F6F">
              <w:t xml:space="preserve">Ocena oddziaływania na środowisko </w:t>
            </w:r>
          </w:p>
        </w:tc>
      </w:tr>
      <w:tr w:rsidR="00084F8B" w:rsidRPr="00800F6F" w14:paraId="1AAEAA27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0DDE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OR Polatom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D64A" w14:textId="77777777" w:rsidR="00084F8B" w:rsidRPr="00800F6F" w:rsidRDefault="00084F8B" w:rsidP="00B857E9">
            <w:pPr>
              <w:spacing w:line="360" w:lineRule="auto"/>
              <w:ind w:left="318"/>
            </w:pPr>
            <w:r>
              <w:t>Ośrodek Radioizotopów Polatom</w:t>
            </w:r>
          </w:p>
        </w:tc>
      </w:tr>
      <w:tr w:rsidR="00084F8B" w:rsidRPr="00800F6F" w14:paraId="396310D8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68C5" w14:textId="77777777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r w:rsidRPr="00800F6F">
              <w:rPr>
                <w:b/>
                <w:bCs/>
              </w:rPr>
              <w:t>P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15CB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014A08C9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114D" w14:textId="77777777" w:rsidR="00084F8B" w:rsidRPr="00800F6F" w:rsidRDefault="00084F8B" w:rsidP="00F859BC">
            <w:pPr>
              <w:spacing w:line="360" w:lineRule="auto"/>
              <w:rPr>
                <w:bCs/>
                <w:lang w:val="en-US"/>
              </w:rPr>
            </w:pPr>
            <w:r w:rsidRPr="00800F6F">
              <w:rPr>
                <w:bCs/>
                <w:lang w:val="en-US"/>
              </w:rPr>
              <w:t>PAA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0DA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  <w:lang w:val="en-US"/>
              </w:rPr>
            </w:pPr>
            <w:r w:rsidRPr="00800F6F">
              <w:rPr>
                <w:bCs/>
              </w:rPr>
              <w:t>Państwowa Agencja Atomistyki</w:t>
            </w:r>
          </w:p>
        </w:tc>
      </w:tr>
      <w:tr w:rsidR="00084F8B" w:rsidRPr="00800F6F" w14:paraId="67E1126A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57A" w14:textId="77777777" w:rsidR="00084F8B" w:rsidRPr="00800F6F" w:rsidRDefault="00084F8B" w:rsidP="00F859BC">
            <w:pPr>
              <w:spacing w:line="360" w:lineRule="auto"/>
              <w:rPr>
                <w:bCs/>
                <w:lang w:val="en-US"/>
              </w:rPr>
            </w:pPr>
            <w:r w:rsidRPr="00800F6F">
              <w:rPr>
                <w:bCs/>
                <w:lang w:val="en-US"/>
              </w:rPr>
              <w:t>PIG-PIB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D479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bCs/>
              </w:rPr>
              <w:t xml:space="preserve">Państwowy Instytut Geologiczny </w:t>
            </w:r>
            <w:r>
              <w:rPr>
                <w:bCs/>
              </w:rPr>
              <w:t xml:space="preserve">- </w:t>
            </w:r>
            <w:r w:rsidRPr="00800F6F">
              <w:rPr>
                <w:bCs/>
              </w:rPr>
              <w:t>Państwowy Instytut Badawczy</w:t>
            </w:r>
          </w:p>
        </w:tc>
      </w:tr>
      <w:tr w:rsidR="00084F8B" w:rsidRPr="00800F6F" w14:paraId="3544A9EB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56AE" w14:textId="51EB5950" w:rsidR="00084F8B" w:rsidRPr="00F75614" w:rsidRDefault="005D52A7" w:rsidP="005D52A7">
            <w:pPr>
              <w:spacing w:line="360" w:lineRule="auto"/>
              <w:rPr>
                <w:bCs/>
                <w:color w:val="FF0000"/>
                <w:lang w:val="en-US"/>
              </w:rPr>
            </w:pPr>
            <w:r w:rsidRPr="00C20BBB">
              <w:rPr>
                <w:bCs/>
                <w:lang w:val="en-US"/>
              </w:rPr>
              <w:t>P</w:t>
            </w:r>
            <w:r w:rsidR="00C20BBB" w:rsidRPr="00C20BBB">
              <w:rPr>
                <w:bCs/>
                <w:lang w:val="en-US"/>
              </w:rPr>
              <w:t>PEJ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39CF" w14:textId="109FA007" w:rsidR="00084F8B" w:rsidRPr="00C20BBB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C20BBB">
              <w:rPr>
                <w:bCs/>
              </w:rPr>
              <w:t>Program polskiej energetyki jądrowej</w:t>
            </w:r>
          </w:p>
        </w:tc>
      </w:tr>
      <w:tr w:rsidR="00084F8B" w:rsidRPr="00800F6F" w14:paraId="33756B01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6F8B" w14:textId="77777777" w:rsidR="00084F8B" w:rsidRPr="00800F6F" w:rsidRDefault="00084F8B" w:rsidP="00F859BC">
            <w:pPr>
              <w:spacing w:line="360" w:lineRule="auto"/>
              <w:rPr>
                <w:bCs/>
                <w:lang w:val="en-US"/>
              </w:rPr>
            </w:pPr>
            <w:r w:rsidRPr="00800F6F">
              <w:rPr>
                <w:bCs/>
                <w:lang w:val="en-US"/>
              </w:rPr>
              <w:t>PURL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F2CD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t xml:space="preserve">Polskie Podziemne Laboratorium Badawcze </w:t>
            </w:r>
            <w:r w:rsidRPr="00800F6F">
              <w:rPr>
                <w:bCs/>
              </w:rPr>
              <w:t>(ang. Polish Underground Research Laboratory)</w:t>
            </w:r>
          </w:p>
        </w:tc>
      </w:tr>
      <w:tr w:rsidR="00084F8B" w:rsidRPr="00800F6F" w14:paraId="5CAACA52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D89C" w14:textId="682156E9" w:rsidR="00084F8B" w:rsidRPr="00800F6F" w:rsidRDefault="00084F8B" w:rsidP="00F859BC">
            <w:pPr>
              <w:spacing w:line="360" w:lineRule="auto"/>
              <w:rPr>
                <w:b/>
                <w:bCs/>
                <w:lang w:val="en-US"/>
              </w:rPr>
            </w:pPr>
            <w:bookmarkStart w:id="28" w:name="_Toc380573813"/>
            <w:r w:rsidRPr="00800F6F">
              <w:rPr>
                <w:b/>
                <w:bCs/>
                <w:lang w:val="en-US"/>
              </w:rPr>
              <w:t>R</w:t>
            </w:r>
            <w:bookmarkEnd w:id="28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AF1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  <w:lang w:val="en-US"/>
              </w:rPr>
            </w:pPr>
          </w:p>
        </w:tc>
      </w:tr>
      <w:tr w:rsidR="00084F8B" w:rsidRPr="00800F6F" w14:paraId="6D23C860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A5C6" w14:textId="3BFA8885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bookmarkStart w:id="29" w:name="_Toc380573814"/>
            <w:r w:rsidRPr="00800F6F">
              <w:rPr>
                <w:b/>
                <w:bCs/>
              </w:rPr>
              <w:t>S</w:t>
            </w:r>
            <w:bookmarkEnd w:id="29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6BAE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500C53" w14:paraId="1868E5CB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06BC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SAR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83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  <w:lang w:val="en-US"/>
              </w:rPr>
            </w:pPr>
            <w:r w:rsidRPr="00800F6F">
              <w:rPr>
                <w:bCs/>
                <w:lang w:val="en-US"/>
              </w:rPr>
              <w:t>Raport bezpieczeństwa (ang. Safety assessment report)</w:t>
            </w:r>
          </w:p>
        </w:tc>
      </w:tr>
      <w:tr w:rsidR="00084F8B" w:rsidRPr="00800F6F" w14:paraId="40859551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5120" w14:textId="5AA02040" w:rsidR="00084F8B" w:rsidRPr="00800F6F" w:rsidRDefault="00084F8B" w:rsidP="00F859BC">
            <w:pPr>
              <w:spacing w:line="360" w:lineRule="auto"/>
              <w:rPr>
                <w:bCs/>
              </w:rPr>
            </w:pPr>
            <w:bookmarkStart w:id="30" w:name="_Toc380573815"/>
            <w:r w:rsidRPr="00800F6F">
              <w:rPr>
                <w:bCs/>
              </w:rPr>
              <w:t>SGOP</w:t>
            </w:r>
            <w:bookmarkEnd w:id="30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EAD3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bookmarkStart w:id="31" w:name="_Toc380573816"/>
            <w:r w:rsidRPr="00800F6F">
              <w:rPr>
                <w:bCs/>
              </w:rPr>
              <w:t>Składowisko głębokie odpadów promieniotwórczych</w:t>
            </w:r>
            <w:bookmarkEnd w:id="31"/>
            <w:r w:rsidRPr="00800F6F">
              <w:rPr>
                <w:bCs/>
              </w:rPr>
              <w:t xml:space="preserve"> </w:t>
            </w:r>
          </w:p>
        </w:tc>
      </w:tr>
      <w:tr w:rsidR="00084F8B" w:rsidRPr="00800F6F" w14:paraId="5B0D38A6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725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SOOŚ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D4AA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>
              <w:t>Strategiczna o</w:t>
            </w:r>
            <w:r w:rsidRPr="00800F6F">
              <w:t>cena oddziaływania na środowisko</w:t>
            </w:r>
          </w:p>
        </w:tc>
      </w:tr>
      <w:tr w:rsidR="00084F8B" w:rsidRPr="00800F6F" w14:paraId="16DD15D9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2FAB" w14:textId="4CB4AB27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bookmarkStart w:id="32" w:name="_Toc380573817"/>
            <w:r w:rsidRPr="00800F6F">
              <w:rPr>
                <w:b/>
                <w:bCs/>
              </w:rPr>
              <w:t>T</w:t>
            </w:r>
            <w:bookmarkEnd w:id="32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7429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454FE665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E37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TBq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794B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>
              <w:rPr>
                <w:bCs/>
              </w:rPr>
              <w:t>Terabekerel</w:t>
            </w:r>
          </w:p>
        </w:tc>
      </w:tr>
      <w:tr w:rsidR="00084F8B" w:rsidRPr="00800F6F" w14:paraId="3D5F120A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9AB8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tH</w:t>
            </w:r>
            <w:r>
              <w:rPr>
                <w:bCs/>
              </w:rPr>
              <w:t>M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3925" w14:textId="1C39A1E6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bCs/>
              </w:rPr>
              <w:t>Tona metali ciężkich (</w:t>
            </w:r>
            <w:r w:rsidR="00F567EA" w:rsidRPr="00F567EA">
              <w:rPr>
                <w:bCs/>
              </w:rPr>
              <w:t xml:space="preserve"> uranu i transuranowców</w:t>
            </w:r>
            <w:r w:rsidRPr="00800F6F">
              <w:rPr>
                <w:bCs/>
              </w:rPr>
              <w:t>) (ang. tons of heavy metal)</w:t>
            </w:r>
          </w:p>
        </w:tc>
      </w:tr>
      <w:tr w:rsidR="00084F8B" w:rsidRPr="00800F6F" w14:paraId="741E88B4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C0F" w14:textId="09D7E23A" w:rsidR="00084F8B" w:rsidRPr="00800F6F" w:rsidRDefault="00084F8B" w:rsidP="00F859BC">
            <w:pPr>
              <w:spacing w:line="360" w:lineRule="auto"/>
              <w:rPr>
                <w:bCs/>
              </w:rPr>
            </w:pPr>
            <w:bookmarkStart w:id="33" w:name="_Toc380573818"/>
            <w:r w:rsidRPr="00800F6F">
              <w:rPr>
                <w:bCs/>
              </w:rPr>
              <w:t>TWh</w:t>
            </w:r>
            <w:bookmarkEnd w:id="33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D76E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bookmarkStart w:id="34" w:name="_Toc380573819"/>
            <w:r w:rsidRPr="00800F6F">
              <w:rPr>
                <w:bCs/>
              </w:rPr>
              <w:t>Terawatogodzina</w:t>
            </w:r>
            <w:bookmarkEnd w:id="34"/>
          </w:p>
        </w:tc>
      </w:tr>
      <w:tr w:rsidR="00084F8B" w:rsidRPr="00800F6F" w14:paraId="526584B8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47E4" w14:textId="501F9E1B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bookmarkStart w:id="35" w:name="_Toc380573820"/>
            <w:r w:rsidRPr="00800F6F">
              <w:rPr>
                <w:b/>
                <w:bCs/>
              </w:rPr>
              <w:t>U</w:t>
            </w:r>
            <w:bookmarkEnd w:id="35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E241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667149D0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6E06" w14:textId="6D3BE57B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bookmarkStart w:id="36" w:name="_Toc380573821"/>
            <w:r w:rsidRPr="00800F6F">
              <w:rPr>
                <w:b/>
                <w:bCs/>
              </w:rPr>
              <w:t>W</w:t>
            </w:r>
            <w:bookmarkEnd w:id="36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43B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71CF805C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9B1D" w14:textId="77777777" w:rsidR="00084F8B" w:rsidRPr="003C5E4B" w:rsidRDefault="00084F8B" w:rsidP="00F859BC">
            <w:pPr>
              <w:spacing w:line="360" w:lineRule="auto"/>
              <w:rPr>
                <w:bCs/>
              </w:rPr>
            </w:pPr>
            <w:r w:rsidRPr="003C5E4B">
              <w:rPr>
                <w:bCs/>
              </w:rPr>
              <w:t>WWR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6641" w14:textId="77777777" w:rsidR="00084F8B" w:rsidRPr="00800F6F" w:rsidRDefault="00084F8B" w:rsidP="003C5E4B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bCs/>
              </w:rPr>
              <w:t xml:space="preserve">Oznaczenie typu paliwa jądrowego </w:t>
            </w:r>
            <w:r>
              <w:rPr>
                <w:bCs/>
              </w:rPr>
              <w:t xml:space="preserve">wykorzystywanego w reaktorze badawczym EWA w latach 1966-1995 </w:t>
            </w:r>
          </w:p>
        </w:tc>
      </w:tr>
      <w:tr w:rsidR="00084F8B" w:rsidRPr="00800F6F" w14:paraId="368DE25E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4D4" w14:textId="1A26DA75" w:rsidR="00084F8B" w:rsidRPr="00800F6F" w:rsidRDefault="00084F8B" w:rsidP="00F859BC">
            <w:pPr>
              <w:spacing w:line="360" w:lineRule="auto"/>
              <w:rPr>
                <w:b/>
                <w:bCs/>
              </w:rPr>
            </w:pPr>
            <w:bookmarkStart w:id="37" w:name="_Toc380573822"/>
            <w:r w:rsidRPr="00800F6F">
              <w:rPr>
                <w:b/>
                <w:bCs/>
              </w:rPr>
              <w:t>Z</w:t>
            </w:r>
            <w:bookmarkEnd w:id="37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5925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</w:p>
        </w:tc>
      </w:tr>
      <w:tr w:rsidR="00084F8B" w:rsidRPr="00800F6F" w14:paraId="4ADA8F6B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08C9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ZUOP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02A7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bCs/>
              </w:rPr>
              <w:t xml:space="preserve">Państwowe przedsiębiorstwo użyteczności publicznej – ,,Zakład Unieszkodliwiania Odpadów Promieniotwórczych” </w:t>
            </w:r>
          </w:p>
        </w:tc>
      </w:tr>
      <w:tr w:rsidR="00084F8B" w:rsidRPr="00800F6F" w14:paraId="1E2F7222" w14:textId="77777777" w:rsidTr="001F03F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D20A" w14:textId="77777777" w:rsidR="00084F8B" w:rsidRPr="00800F6F" w:rsidRDefault="00084F8B" w:rsidP="00F859BC">
            <w:pPr>
              <w:spacing w:line="360" w:lineRule="auto"/>
              <w:rPr>
                <w:bCs/>
              </w:rPr>
            </w:pPr>
            <w:r w:rsidRPr="00800F6F">
              <w:rPr>
                <w:bCs/>
              </w:rPr>
              <w:t>ZSRR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F21" w14:textId="77777777" w:rsidR="00084F8B" w:rsidRPr="00800F6F" w:rsidRDefault="00084F8B" w:rsidP="00F859BC">
            <w:pPr>
              <w:spacing w:line="360" w:lineRule="auto"/>
              <w:ind w:left="318"/>
              <w:rPr>
                <w:bCs/>
              </w:rPr>
            </w:pPr>
            <w:r w:rsidRPr="00800F6F">
              <w:rPr>
                <w:bCs/>
              </w:rPr>
              <w:t>Związek Socjalistycznych Republik Radzieckich</w:t>
            </w:r>
          </w:p>
        </w:tc>
      </w:tr>
    </w:tbl>
    <w:p w14:paraId="1D3A3E39" w14:textId="77777777" w:rsidR="00084F8B" w:rsidRPr="00B7178B" w:rsidRDefault="00084F8B" w:rsidP="0090065A">
      <w:pPr>
        <w:rPr>
          <w:rFonts w:cs="Calibri"/>
        </w:rPr>
      </w:pPr>
    </w:p>
    <w:p w14:paraId="5E71C934" w14:textId="77777777" w:rsidR="00084F8B" w:rsidRPr="00B7178B" w:rsidRDefault="00084F8B" w:rsidP="00E45810">
      <w:pPr>
        <w:spacing w:after="120"/>
        <w:ind w:firstLine="709"/>
        <w:jc w:val="both"/>
        <w:rPr>
          <w:rFonts w:cs="Calibri"/>
          <w:b/>
        </w:rPr>
      </w:pPr>
      <w:bookmarkStart w:id="38" w:name="_Rozdział_1._Wstęp_"/>
      <w:bookmarkStart w:id="39" w:name="_Toc360185128"/>
      <w:bookmarkEnd w:id="38"/>
    </w:p>
    <w:p w14:paraId="4E40A815" w14:textId="77777777" w:rsidR="00084F8B" w:rsidRDefault="00084F8B" w:rsidP="007164D2">
      <w:pPr>
        <w:spacing w:after="120"/>
        <w:jc w:val="both"/>
        <w:rPr>
          <w:b/>
        </w:rPr>
        <w:sectPr w:rsidR="00084F8B" w:rsidSect="006F0AC1">
          <w:footerReference w:type="even" r:id="rId14"/>
          <w:footerReference w:type="default" r:id="rId15"/>
          <w:pgSz w:w="11906" w:h="16838"/>
          <w:pgMar w:top="1418" w:right="1418" w:bottom="899" w:left="1418" w:header="709" w:footer="709" w:gutter="0"/>
          <w:cols w:space="708"/>
          <w:titlePg/>
          <w:rtlGutter/>
          <w:docGrid w:linePitch="360"/>
        </w:sectPr>
      </w:pPr>
    </w:p>
    <w:p w14:paraId="217CFF74" w14:textId="77777777" w:rsidR="00084F8B" w:rsidRPr="00CF7A1F" w:rsidRDefault="00084F8B" w:rsidP="000B275D">
      <w:pPr>
        <w:pStyle w:val="Nagwek1"/>
      </w:pPr>
      <w:bookmarkStart w:id="40" w:name="_Rozdział_2._Cele"/>
      <w:bookmarkStart w:id="41" w:name="_Toc397696993"/>
      <w:bookmarkStart w:id="42" w:name="_Toc424116678"/>
      <w:bookmarkEnd w:id="39"/>
      <w:bookmarkEnd w:id="40"/>
      <w:r w:rsidRPr="00CF7A1F">
        <w:lastRenderedPageBreak/>
        <w:t>Wstęp</w:t>
      </w:r>
      <w:bookmarkEnd w:id="41"/>
      <w:bookmarkEnd w:id="42"/>
    </w:p>
    <w:p w14:paraId="5360C61A" w14:textId="77777777" w:rsidR="00084F8B" w:rsidRPr="00E81158" w:rsidRDefault="00084F8B" w:rsidP="00E81158"/>
    <w:p w14:paraId="429CBFCB" w14:textId="35D2EC07" w:rsidR="00120EA5" w:rsidRDefault="00120EA5" w:rsidP="00C87B85">
      <w:pPr>
        <w:spacing w:before="120" w:after="120"/>
        <w:ind w:firstLine="567"/>
        <w:jc w:val="both"/>
        <w:rPr>
          <w:bCs/>
        </w:rPr>
      </w:pPr>
      <w:r w:rsidRPr="00120EA5">
        <w:rPr>
          <w:bCs/>
        </w:rPr>
        <w:t xml:space="preserve">Krajowy plan postępowania z odpadami promieniotwórczymi i wypalonym paliwem jądrowym (dalej </w:t>
      </w:r>
      <w:r w:rsidRPr="00120EA5">
        <w:rPr>
          <w:bCs/>
          <w:i/>
        </w:rPr>
        <w:t xml:space="preserve">Krajowy plan) </w:t>
      </w:r>
      <w:r w:rsidR="002F5AD7">
        <w:rPr>
          <w:bCs/>
        </w:rPr>
        <w:t>przyjęto</w:t>
      </w:r>
      <w:r w:rsidR="002F5AD7" w:rsidRPr="00120EA5">
        <w:rPr>
          <w:bCs/>
        </w:rPr>
        <w:t xml:space="preserve"> </w:t>
      </w:r>
      <w:r w:rsidRPr="00120EA5">
        <w:rPr>
          <w:bCs/>
        </w:rPr>
        <w:t>uchwałą nr 195/2015 Rady Ministrów z dnia 16 października 2015 r. (M.P.</w:t>
      </w:r>
      <w:r w:rsidR="002F5AD7">
        <w:rPr>
          <w:bCs/>
        </w:rPr>
        <w:t xml:space="preserve"> </w:t>
      </w:r>
      <w:r w:rsidRPr="00120EA5">
        <w:rPr>
          <w:bCs/>
        </w:rPr>
        <w:t>poz. 1092).</w:t>
      </w:r>
    </w:p>
    <w:p w14:paraId="12769B40" w14:textId="5BE51DAA" w:rsidR="00376421" w:rsidRDefault="00376421" w:rsidP="00A9153A">
      <w:pPr>
        <w:spacing w:before="120" w:after="120"/>
        <w:jc w:val="both"/>
      </w:pPr>
      <w:r w:rsidRPr="00376421">
        <w:rPr>
          <w:bCs/>
        </w:rPr>
        <w:t>Od momentu przyjęcia przez Radę Ministrów uchwały</w:t>
      </w:r>
      <w:r>
        <w:rPr>
          <w:bCs/>
        </w:rPr>
        <w:t xml:space="preserve"> Nr 195/2015</w:t>
      </w:r>
      <w:r w:rsidRPr="00376421">
        <w:rPr>
          <w:bCs/>
        </w:rPr>
        <w:t xml:space="preserve"> z dnia 16 października 2015 r. w sprawie Krajowego planu, zrealizowano szereg działań</w:t>
      </w:r>
      <w:r>
        <w:rPr>
          <w:bCs/>
        </w:rPr>
        <w:t xml:space="preserve">. Ich realizacja została przedstawiona </w:t>
      </w:r>
      <w:r w:rsidR="005D3572">
        <w:rPr>
          <w:bCs/>
        </w:rPr>
        <w:t xml:space="preserve">w </w:t>
      </w:r>
      <w:r w:rsidR="000524A4">
        <w:rPr>
          <w:bCs/>
        </w:rPr>
        <w:t xml:space="preserve">przyjętym przez Radę Ministrów </w:t>
      </w:r>
      <w:r>
        <w:rPr>
          <w:bCs/>
        </w:rPr>
        <w:t>sprawozdaniu</w:t>
      </w:r>
      <w:r w:rsidR="000524A4">
        <w:rPr>
          <w:bCs/>
        </w:rPr>
        <w:t xml:space="preserve"> z</w:t>
      </w:r>
      <w:r w:rsidR="000524A4" w:rsidRPr="000524A4">
        <w:rPr>
          <w:bCs/>
        </w:rPr>
        <w:t xml:space="preserve"> realizacji krajowego planu postępowania z odpadami</w:t>
      </w:r>
      <w:r w:rsidR="000524A4">
        <w:rPr>
          <w:bCs/>
        </w:rPr>
        <w:t xml:space="preserve"> za lata 2015 -</w:t>
      </w:r>
      <w:r w:rsidR="005D3572">
        <w:rPr>
          <w:bCs/>
        </w:rPr>
        <w:t xml:space="preserve"> 20</w:t>
      </w:r>
      <w:r w:rsidR="000524A4">
        <w:rPr>
          <w:bCs/>
        </w:rPr>
        <w:t>17.</w:t>
      </w:r>
    </w:p>
    <w:p w14:paraId="6B2EAB2F" w14:textId="77777777" w:rsidR="00084F8B" w:rsidRPr="005A6C7C" w:rsidRDefault="00084F8B" w:rsidP="00C87B85">
      <w:pPr>
        <w:spacing w:before="120" w:after="120"/>
        <w:ind w:firstLine="567"/>
        <w:jc w:val="both"/>
      </w:pPr>
      <w:r w:rsidRPr="001E1426">
        <w:t xml:space="preserve">Odpady promieniotwórcze to </w:t>
      </w:r>
      <w:r w:rsidRPr="002D3119">
        <w:t>materiały stałe, ciekłe lub gazowe, zawierające substancje promieniotwórcze lub skażone tymi substancjami, których wykorzystanie nie jest przewidywane ani rozważane</w:t>
      </w:r>
      <w:r>
        <w:t xml:space="preserve">, </w:t>
      </w:r>
      <w:r w:rsidRPr="002D3119">
        <w:t>w tym wypalone paliwo jądrowe przeznaczone do składowania</w:t>
      </w:r>
      <w:r>
        <w:rPr>
          <w:rStyle w:val="Odwoanieprzypisudolnego"/>
        </w:rPr>
        <w:footnoteReference w:id="2"/>
      </w:r>
      <w:r>
        <w:t xml:space="preserve">. </w:t>
      </w:r>
    </w:p>
    <w:p w14:paraId="786A081B" w14:textId="4CAA925C" w:rsidR="00084F8B" w:rsidRPr="00E45810" w:rsidRDefault="00084F8B" w:rsidP="00C87B85">
      <w:pPr>
        <w:spacing w:after="120"/>
        <w:jc w:val="both"/>
      </w:pPr>
      <w:r>
        <w:t xml:space="preserve">Każdej działalności </w:t>
      </w:r>
      <w:r w:rsidRPr="00E45810">
        <w:t>związa</w:t>
      </w:r>
      <w:r>
        <w:t>nej</w:t>
      </w:r>
      <w:r w:rsidRPr="00E45810">
        <w:t xml:space="preserve"> z produkcją</w:t>
      </w:r>
      <w:r>
        <w:t>,</w:t>
      </w:r>
      <w:r w:rsidRPr="00E45810">
        <w:t xml:space="preserve"> bądź stosowaniem izotopów promieniotwórczych </w:t>
      </w:r>
      <w:r>
        <w:t>(</w:t>
      </w:r>
      <w:r w:rsidR="005D3572" w:rsidRPr="00E45810">
        <w:t>w</w:t>
      </w:r>
      <w:r w:rsidR="005D3572">
        <w:t xml:space="preserve"> </w:t>
      </w:r>
      <w:r w:rsidRPr="00E45810">
        <w:t>przemyśle, medycynie</w:t>
      </w:r>
      <w:r>
        <w:t>,</w:t>
      </w:r>
      <w:r w:rsidRPr="00E45810">
        <w:t xml:space="preserve"> nauce</w:t>
      </w:r>
      <w:r>
        <w:t xml:space="preserve">, </w:t>
      </w:r>
      <w:r w:rsidRPr="009E1FDA">
        <w:t>rolnictwie)</w:t>
      </w:r>
      <w:r w:rsidRPr="00E45810">
        <w:t xml:space="preserve"> towarzyszy powstawanie odpadów promieniotwórczych. </w:t>
      </w:r>
      <w:r w:rsidR="005D3572" w:rsidRPr="00E45810">
        <w:t>Z</w:t>
      </w:r>
      <w:r w:rsidR="005D3572">
        <w:t xml:space="preserve"> </w:t>
      </w:r>
      <w:r w:rsidRPr="00E45810">
        <w:t xml:space="preserve">uwagi na </w:t>
      </w:r>
      <w:r>
        <w:t xml:space="preserve">ich </w:t>
      </w:r>
      <w:r w:rsidRPr="00E45810">
        <w:t xml:space="preserve">szczególny charakter wymagają </w:t>
      </w:r>
      <w:r>
        <w:t xml:space="preserve">one </w:t>
      </w:r>
      <w:r w:rsidRPr="00E45810">
        <w:t xml:space="preserve">specjalnego postępowania. Dotyczy to </w:t>
      </w:r>
      <w:r>
        <w:t xml:space="preserve">ich </w:t>
      </w:r>
      <w:r w:rsidRPr="00E45810">
        <w:t xml:space="preserve">gromadzenia, przetwarzania, zestalania, transportu, przechowywania i składowania. </w:t>
      </w:r>
    </w:p>
    <w:p w14:paraId="16C5F284" w14:textId="73E6BB5E" w:rsidR="00084F8B" w:rsidRPr="00E45810" w:rsidRDefault="00084F8B" w:rsidP="00C87B85">
      <w:pPr>
        <w:spacing w:after="120"/>
        <w:jc w:val="both"/>
      </w:pPr>
      <w:r w:rsidRPr="00E45810">
        <w:t xml:space="preserve">Odpady promieniotwórcze muszą być </w:t>
      </w:r>
      <w:r>
        <w:t xml:space="preserve">zakwalifikowane do odpowiedniej kategorii, posegregowane, </w:t>
      </w:r>
      <w:r w:rsidRPr="00E45810">
        <w:t xml:space="preserve">odpowiednio przetworzone, zestalone, opakowane, </w:t>
      </w:r>
      <w:r w:rsidR="00C5354A" w:rsidRPr="00E45810">
        <w:t>a</w:t>
      </w:r>
      <w:r w:rsidR="00C5354A">
        <w:t xml:space="preserve"> </w:t>
      </w:r>
      <w:r w:rsidRPr="00E45810">
        <w:t xml:space="preserve">następnie bezpiecznie składowane. Podstawowym celem wymienionych działań jest </w:t>
      </w:r>
      <w:r>
        <w:t xml:space="preserve">ich </w:t>
      </w:r>
      <w:r w:rsidRPr="00E45810">
        <w:t xml:space="preserve">zabezpieczenie </w:t>
      </w:r>
      <w:r>
        <w:t>i odizolowanie</w:t>
      </w:r>
      <w:r w:rsidRPr="00E45810">
        <w:t xml:space="preserve">, aby nie </w:t>
      </w:r>
      <w:r>
        <w:t xml:space="preserve">stwarzały </w:t>
      </w:r>
      <w:r w:rsidRPr="00E45810">
        <w:t>zagrożeń dla człowieka</w:t>
      </w:r>
      <w:r>
        <w:t xml:space="preserve"> </w:t>
      </w:r>
      <w:r w:rsidRPr="00E45810">
        <w:t>i</w:t>
      </w:r>
      <w:r>
        <w:t> </w:t>
      </w:r>
      <w:r w:rsidRPr="00E45810">
        <w:t xml:space="preserve">środowiska. </w:t>
      </w:r>
    </w:p>
    <w:p w14:paraId="42F56B6C" w14:textId="5FCC3F7E" w:rsidR="00084F8B" w:rsidRDefault="00084F8B" w:rsidP="00C87B85">
      <w:pPr>
        <w:spacing w:after="120"/>
        <w:jc w:val="both"/>
      </w:pPr>
      <w:r>
        <w:t xml:space="preserve">Właściwe postępowanie z odpadami promieniotwórczymi i wypalonym paliwem jądrowym jest również jedną z najważniejszych kwestii związanych z wdrożeniem energetyki jądrowej. </w:t>
      </w:r>
      <w:r w:rsidRPr="00E45810">
        <w:t xml:space="preserve">Nie </w:t>
      </w:r>
      <w:r>
        <w:t>jest możliwe stosowanie energi</w:t>
      </w:r>
      <w:r w:rsidRPr="00E45810">
        <w:t>i jądrowej bez wprowadzenia akceptowalne</w:t>
      </w:r>
      <w:r>
        <w:t>go</w:t>
      </w:r>
      <w:r w:rsidRPr="00E45810">
        <w:t xml:space="preserve"> społecznie, efektywne</w:t>
      </w:r>
      <w:r>
        <w:t>go</w:t>
      </w:r>
      <w:r w:rsidRPr="00E45810">
        <w:t xml:space="preserve"> </w:t>
      </w:r>
      <w:r w:rsidR="00C5354A" w:rsidRPr="00E45810">
        <w:t>i</w:t>
      </w:r>
      <w:r w:rsidR="00C5354A">
        <w:t xml:space="preserve"> </w:t>
      </w:r>
      <w:r w:rsidRPr="00E45810">
        <w:t>bezpieczne</w:t>
      </w:r>
      <w:r>
        <w:t>go</w:t>
      </w:r>
      <w:r w:rsidRPr="00E45810">
        <w:t xml:space="preserve"> </w:t>
      </w:r>
      <w:r>
        <w:t>postępowania</w:t>
      </w:r>
      <w:r w:rsidRPr="00E45810">
        <w:t xml:space="preserve"> </w:t>
      </w:r>
      <w:r>
        <w:t>z </w:t>
      </w:r>
      <w:r w:rsidRPr="00E45810">
        <w:t xml:space="preserve">odpadami promieniotwórczymi. W związku z </w:t>
      </w:r>
      <w:r>
        <w:t>tym,</w:t>
      </w:r>
      <w:r w:rsidRPr="00E45810">
        <w:t xml:space="preserve"> prawidłow</w:t>
      </w:r>
      <w:r>
        <w:t>e</w:t>
      </w:r>
      <w:r w:rsidRPr="00E45810">
        <w:t xml:space="preserve"> </w:t>
      </w:r>
      <w:r>
        <w:t>postępowanie z</w:t>
      </w:r>
      <w:r w:rsidRPr="00E45810">
        <w:t xml:space="preserve"> odpadami promieniotwórczymi i wypalonym paliwem jądrowym jest szczególnie istotn</w:t>
      </w:r>
      <w:r>
        <w:t>e zarówno dla użytkowników materiałów promieniotwórczych, jak również</w:t>
      </w:r>
      <w:r w:rsidRPr="00E45810">
        <w:t xml:space="preserve"> dla</w:t>
      </w:r>
      <w:r>
        <w:t xml:space="preserve"> </w:t>
      </w:r>
      <w:r w:rsidRPr="00E45810">
        <w:t>społeczeństwa</w:t>
      </w:r>
      <w:r>
        <w:t>.</w:t>
      </w:r>
      <w:r w:rsidRPr="00E45810">
        <w:t xml:space="preserve"> </w:t>
      </w:r>
      <w:r w:rsidR="00C5354A" w:rsidRPr="00E45810">
        <w:t>W</w:t>
      </w:r>
      <w:r w:rsidR="00C5354A">
        <w:t xml:space="preserve"> </w:t>
      </w:r>
      <w:r w:rsidRPr="00E45810">
        <w:t>celu spełnienia oczekiwań</w:t>
      </w:r>
      <w:r>
        <w:t xml:space="preserve"> w tym zakresie</w:t>
      </w:r>
      <w:r w:rsidRPr="00E45810">
        <w:t xml:space="preserve"> przygotowano niniejszy dokument. </w:t>
      </w:r>
    </w:p>
    <w:p w14:paraId="5C26F449" w14:textId="4ED7E783" w:rsidR="00084F8B" w:rsidRPr="0000292C" w:rsidRDefault="00084F8B" w:rsidP="0000292C">
      <w:pPr>
        <w:spacing w:after="120"/>
        <w:ind w:firstLine="708"/>
        <w:jc w:val="both"/>
      </w:pPr>
      <w:r>
        <w:t xml:space="preserve">Celem </w:t>
      </w:r>
      <w:r w:rsidRPr="00E45810">
        <w:t>Krajow</w:t>
      </w:r>
      <w:r>
        <w:t>ego</w:t>
      </w:r>
      <w:r w:rsidRPr="00E45810">
        <w:t xml:space="preserve"> </w:t>
      </w:r>
      <w:r>
        <w:t>p</w:t>
      </w:r>
      <w:r w:rsidRPr="00E45810">
        <w:t>lan</w:t>
      </w:r>
      <w:r>
        <w:t>u</w:t>
      </w:r>
      <w:r w:rsidRPr="00E45810">
        <w:t xml:space="preserve"> </w:t>
      </w:r>
      <w:r>
        <w:t xml:space="preserve">postępowania z odpadami promieniotwórczymi i wypalonym paliwem jądrowym jest zapewnienie rozwoju i wdrożenie ogólnokrajowego, spójnego, zintegrowanego i zrównoważonego systemu postępowania obejmującego wszystkie kategorie odpadów promieniotwórczych wytwarzanych w kraju. Działania, przewidziane przez Krajowy plan, zapewnią odpowiedzialne, bezpieczne i zrównoważone postępowanie </w:t>
      </w:r>
      <w:r w:rsidR="00C5354A" w:rsidRPr="00E45810">
        <w:t>z</w:t>
      </w:r>
      <w:r w:rsidR="00C5354A">
        <w:t xml:space="preserve"> </w:t>
      </w:r>
      <w:r w:rsidRPr="00E45810">
        <w:t xml:space="preserve">odpadami </w:t>
      </w:r>
      <w:r w:rsidR="00486D9A" w:rsidRPr="00E45810">
        <w:t xml:space="preserve">promieniotwórczymi </w:t>
      </w:r>
      <w:r w:rsidR="00486D9A">
        <w:t>i</w:t>
      </w:r>
      <w:r w:rsidR="00C5354A">
        <w:t xml:space="preserve"> </w:t>
      </w:r>
      <w:r w:rsidRPr="00E45810">
        <w:t xml:space="preserve">wypalonym paliwem, zgodnie z art. </w:t>
      </w:r>
      <w:r>
        <w:t>57c ustawy – Prawo atomowe</w:t>
      </w:r>
      <w:r>
        <w:rPr>
          <w:rStyle w:val="Odwoanieprzypisudolnego"/>
        </w:rPr>
        <w:footnoteReference w:id="3"/>
      </w:r>
      <w:r>
        <w:t>. Krajowy p</w:t>
      </w:r>
      <w:r w:rsidRPr="00E45810">
        <w:t xml:space="preserve">lan jest </w:t>
      </w:r>
      <w:r>
        <w:t xml:space="preserve">strategicznym </w:t>
      </w:r>
      <w:r w:rsidRPr="00E45810">
        <w:t xml:space="preserve">narzędziem </w:t>
      </w:r>
      <w:r>
        <w:t xml:space="preserve">umożliwiającym określenie koniecznych działań i wyznaczenie zadań, które umożliwią osiągniecie założeń polityki państwa w zakresie </w:t>
      </w:r>
      <w:r w:rsidRPr="00332CF4">
        <w:t>pos</w:t>
      </w:r>
      <w:r w:rsidRPr="00C46BF7">
        <w:t>t</w:t>
      </w:r>
      <w:r w:rsidR="009A227F">
        <w:t>ę</w:t>
      </w:r>
      <w:r w:rsidRPr="00C46BF7">
        <w:t>powania z odpadami promieniotwórczymi i wypalonym paliwem jądrowym</w:t>
      </w:r>
      <w:r w:rsidRPr="00C87B85">
        <w:rPr>
          <w:b/>
        </w:rPr>
        <w:t>.</w:t>
      </w:r>
      <w:r>
        <w:rPr>
          <w:b/>
        </w:rPr>
        <w:t xml:space="preserve"> </w:t>
      </w:r>
      <w:r w:rsidRPr="00CD259F">
        <w:t>W tym celu</w:t>
      </w:r>
      <w:r>
        <w:t xml:space="preserve"> Krajowy plan</w:t>
      </w:r>
      <w:r>
        <w:rPr>
          <w:b/>
        </w:rPr>
        <w:t xml:space="preserve"> </w:t>
      </w:r>
      <w:r>
        <w:t>identyfikuje</w:t>
      </w:r>
      <w:r w:rsidRPr="00E45810">
        <w:t xml:space="preserve"> nowe potrzeby i określa cele dalszych prac. </w:t>
      </w:r>
      <w:r w:rsidRPr="002B379F">
        <w:t>P</w:t>
      </w:r>
      <w:r w:rsidR="00844623">
        <w:t>onadto p</w:t>
      </w:r>
      <w:r w:rsidRPr="002B379F">
        <w:t xml:space="preserve">rzedstawia ogólny zarys istniejących </w:t>
      </w:r>
      <w:r>
        <w:t>oraz now</w:t>
      </w:r>
      <w:r w:rsidR="00100CC9">
        <w:t>ych</w:t>
      </w:r>
      <w:r>
        <w:t xml:space="preserve"> metod </w:t>
      </w:r>
      <w:r w:rsidRPr="002B379F">
        <w:t>postępowania z odpadami promieniotwórczymi</w:t>
      </w:r>
      <w:r>
        <w:t xml:space="preserve"> i wypalonym paliwem jądrowym</w:t>
      </w:r>
      <w:r w:rsidR="00100CC9">
        <w:t>. Prezentuje również</w:t>
      </w:r>
      <w:r w:rsidR="00100CC9" w:rsidRPr="002B379F">
        <w:t xml:space="preserve"> </w:t>
      </w:r>
      <w:r>
        <w:t>istniejącą i przyszłą infrastrukturę do postępowania</w:t>
      </w:r>
      <w:r w:rsidR="00100CC9">
        <w:t xml:space="preserve"> z odpadami promieniotwórczymi</w:t>
      </w:r>
      <w:r>
        <w:t xml:space="preserve"> </w:t>
      </w:r>
      <w:r w:rsidR="00C5354A" w:rsidRPr="002B379F">
        <w:t>z</w:t>
      </w:r>
      <w:r w:rsidR="00C5354A">
        <w:t xml:space="preserve"> </w:t>
      </w:r>
      <w:r w:rsidRPr="002B379F">
        <w:t xml:space="preserve">uwzględnieniem </w:t>
      </w:r>
      <w:r>
        <w:t>obecnego</w:t>
      </w:r>
      <w:r w:rsidRPr="002B379F">
        <w:t xml:space="preserve"> podziału na kategorie </w:t>
      </w:r>
      <w:r>
        <w:t>oraz ilości dotychczas zgromadzonych</w:t>
      </w:r>
      <w:r w:rsidR="00A70614">
        <w:t xml:space="preserve"> odpadów</w:t>
      </w:r>
      <w:r>
        <w:t xml:space="preserve"> i prognozy przyszłych dostaw. Krajowy plan </w:t>
      </w:r>
      <w:r w:rsidR="00844623">
        <w:t xml:space="preserve">ma </w:t>
      </w:r>
      <w:r w:rsidRPr="002B379F">
        <w:t xml:space="preserve">również </w:t>
      </w:r>
      <w:r w:rsidR="00844623">
        <w:t xml:space="preserve">na celu zapewnienie </w:t>
      </w:r>
      <w:r w:rsidRPr="002B379F">
        <w:t xml:space="preserve">spójności w </w:t>
      </w:r>
      <w:r>
        <w:t>postępowaniu z</w:t>
      </w:r>
      <w:r w:rsidRPr="002B379F">
        <w:t xml:space="preserve"> tymi substancjami</w:t>
      </w:r>
      <w:r>
        <w:t xml:space="preserve"> jak i optymalizację rozwoju i wykorzystania zasobów postępowania </w:t>
      </w:r>
      <w:r w:rsidR="00C5354A">
        <w:t xml:space="preserve">z </w:t>
      </w:r>
      <w:r>
        <w:t>odpadami promieniotwórczymi i wypalonym paliwem jądrowym</w:t>
      </w:r>
      <w:r w:rsidR="009A227F">
        <w:t>.</w:t>
      </w:r>
    </w:p>
    <w:p w14:paraId="5D767D7E" w14:textId="77777777" w:rsidR="00844623" w:rsidRDefault="00844623" w:rsidP="0000292C">
      <w:pPr>
        <w:pStyle w:val="Tekstkomentarza"/>
        <w:jc w:val="both"/>
      </w:pPr>
      <w:r>
        <w:lastRenderedPageBreak/>
        <w:t xml:space="preserve">Ponieważ istotną kwestię w postępowaniu z odpadami promieniotwórczymi stanowi udział społeczeństwa, w centrum przewidzianych w </w:t>
      </w:r>
      <w:r w:rsidRPr="0000292C">
        <w:t>Krajowym planie</w:t>
      </w:r>
      <w:r>
        <w:t xml:space="preserve"> działań znajdują się p</w:t>
      </w:r>
      <w:r w:rsidRPr="00E45810">
        <w:t>rzejrzystość, dialog i konsultacje z przedstawicielami społeczeństwa obywatelskiego</w:t>
      </w:r>
      <w:r>
        <w:t>.</w:t>
      </w:r>
    </w:p>
    <w:p w14:paraId="25B936F9" w14:textId="4A77C50C" w:rsidR="00084F8B" w:rsidRDefault="00084F8B" w:rsidP="00C87B85">
      <w:pPr>
        <w:spacing w:after="120"/>
        <w:jc w:val="both"/>
      </w:pPr>
      <w:r>
        <w:t>Krajowy p</w:t>
      </w:r>
      <w:r w:rsidRPr="00E45810">
        <w:t xml:space="preserve">lan jest wynikiem współpracy wszystkich instytucji zaangażowanych w </w:t>
      </w:r>
      <w:r>
        <w:t xml:space="preserve">postępowanie z </w:t>
      </w:r>
      <w:r w:rsidRPr="00E45810">
        <w:t>odpadami promieniotwórczymi i wypalonym paliwem jądrowym</w:t>
      </w:r>
      <w:r>
        <w:t>, z uwzględnieniem</w:t>
      </w:r>
      <w:r w:rsidRPr="00E45810">
        <w:t xml:space="preserve"> doświadczeń innych krajów. Pokazuje on także, że Polska </w:t>
      </w:r>
      <w:r>
        <w:t>ma wymagane doświadczenie i wiedzę niezbędną</w:t>
      </w:r>
      <w:r w:rsidRPr="00E45810">
        <w:t xml:space="preserve"> </w:t>
      </w:r>
      <w:r w:rsidR="00C5354A" w:rsidRPr="00E45810">
        <w:t>do</w:t>
      </w:r>
      <w:r w:rsidR="00C5354A">
        <w:t xml:space="preserve"> </w:t>
      </w:r>
      <w:r w:rsidRPr="00E45810">
        <w:t>zapewnienia efektywne</w:t>
      </w:r>
      <w:r>
        <w:t>go</w:t>
      </w:r>
      <w:r w:rsidR="008C5BD5">
        <w:t>,</w:t>
      </w:r>
      <w:r w:rsidRPr="00E45810">
        <w:t xml:space="preserve"> bezpieczne</w:t>
      </w:r>
      <w:r>
        <w:t>go i zrównoważonego postępowania z</w:t>
      </w:r>
      <w:r w:rsidRPr="00E45810">
        <w:t xml:space="preserve"> odpadami promieniotwórczymi i wypalonym paliwem jądrowym.</w:t>
      </w:r>
    </w:p>
    <w:p w14:paraId="4D7EAD06" w14:textId="0D268430" w:rsidR="00120EA5" w:rsidRPr="00120EA5" w:rsidRDefault="00120EA5" w:rsidP="00120EA5">
      <w:pPr>
        <w:jc w:val="both"/>
      </w:pPr>
      <w:r w:rsidRPr="00120EA5">
        <w:t xml:space="preserve">Zgodnie z art. </w:t>
      </w:r>
      <w:r>
        <w:t>57 c ust. 4</w:t>
      </w:r>
      <w:r w:rsidR="00592964">
        <w:t xml:space="preserve"> ustawy - Prawo atomowe</w:t>
      </w:r>
      <w:r w:rsidRPr="00120EA5">
        <w:t xml:space="preserve">, minister właściwy ds. energii </w:t>
      </w:r>
      <w:r>
        <w:t xml:space="preserve">dokonuje, nie rzadziej nic co cztery lata, aktualizacji </w:t>
      </w:r>
      <w:r w:rsidRPr="00120EA5">
        <w:t>krajowego planu postępowania z odpadami i przed</w:t>
      </w:r>
      <w:r>
        <w:t>stawia go</w:t>
      </w:r>
      <w:r w:rsidRPr="00120EA5">
        <w:t xml:space="preserve"> Radzie Ministrów.   </w:t>
      </w:r>
    </w:p>
    <w:p w14:paraId="0FC08C5C" w14:textId="77777777" w:rsidR="000C357B" w:rsidRDefault="000C357B" w:rsidP="002B2EB0">
      <w:pPr>
        <w:jc w:val="both"/>
      </w:pPr>
    </w:p>
    <w:p w14:paraId="68D55C58" w14:textId="6FCF322D" w:rsidR="00120EA5" w:rsidRPr="00120EA5" w:rsidRDefault="00084F8B" w:rsidP="00120EA5">
      <w:pPr>
        <w:jc w:val="both"/>
      </w:pPr>
      <w:r>
        <w:t>Niniejszy dokument został sporządzony zgodnie z przepisami ustawy - Prawo atomowe oraz z wytycznymi Dyrektywy Rady 2011/70/Euratom z dnia 19 lipca 2011 r. ustanawiającej ramy wspólnotowe w zakresie odpowiedzialnego i bezpiecznego gospodarowania wypalonym paliwem jądrowym</w:t>
      </w:r>
      <w:r w:rsidR="00120EA5">
        <w:t xml:space="preserve"> i odpadami promieniotwórczymi oraz </w:t>
      </w:r>
      <w:r w:rsidR="008C5BD5">
        <w:t xml:space="preserve">na podstawie </w:t>
      </w:r>
      <w:r w:rsidR="00120EA5">
        <w:t xml:space="preserve">wyników </w:t>
      </w:r>
      <w:r w:rsidR="00120EA5" w:rsidRPr="00120EA5">
        <w:t>międzynarodowego przeglądu zewnętrznego krajowego planu postępowania z odpadami</w:t>
      </w:r>
      <w:r w:rsidR="009E1FDA">
        <w:t xml:space="preserve"> promieniotwórczymi</w:t>
      </w:r>
      <w:r w:rsidR="00F567EA">
        <w:t xml:space="preserve"> (Misji ARTEMIS)</w:t>
      </w:r>
      <w:r w:rsidR="004E1112">
        <w:rPr>
          <w:rStyle w:val="Odwoanieprzypisudolnego"/>
        </w:rPr>
        <w:footnoteReference w:id="4"/>
      </w:r>
      <w:r w:rsidR="00120EA5" w:rsidRPr="00120EA5">
        <w:t>.</w:t>
      </w:r>
    </w:p>
    <w:p w14:paraId="5C447B47" w14:textId="77777777" w:rsidR="00084F8B" w:rsidRDefault="00084F8B" w:rsidP="002B2EB0">
      <w:pPr>
        <w:jc w:val="both"/>
      </w:pPr>
    </w:p>
    <w:p w14:paraId="4A3A2E6E" w14:textId="77777777" w:rsidR="00084F8B" w:rsidRDefault="00084F8B" w:rsidP="00A17F0C">
      <w:pPr>
        <w:spacing w:before="120" w:after="120"/>
        <w:jc w:val="both"/>
      </w:pPr>
    </w:p>
    <w:p w14:paraId="3514116C" w14:textId="77777777" w:rsidR="00084F8B" w:rsidRDefault="00084F8B" w:rsidP="00E45810">
      <w:pPr>
        <w:spacing w:after="120"/>
        <w:ind w:firstLine="709"/>
        <w:jc w:val="both"/>
        <w:rPr>
          <w:b/>
        </w:rPr>
        <w:sectPr w:rsidR="00084F8B" w:rsidSect="002B3522">
          <w:footerReference w:type="even" r:id="rId16"/>
          <w:footerReference w:type="default" r:id="rId17"/>
          <w:pgSz w:w="11906" w:h="16838"/>
          <w:pgMar w:top="1418" w:right="1418" w:bottom="902" w:left="1418" w:header="709" w:footer="709" w:gutter="0"/>
          <w:cols w:space="708"/>
          <w:rtlGutter/>
          <w:docGrid w:linePitch="360"/>
        </w:sectPr>
      </w:pPr>
    </w:p>
    <w:p w14:paraId="5DED1F72" w14:textId="77777777" w:rsidR="00084F8B" w:rsidRPr="002A3E8C" w:rsidRDefault="00084F8B" w:rsidP="00265C63">
      <w:pPr>
        <w:pStyle w:val="Nagwek1"/>
        <w:spacing w:before="120" w:after="120"/>
      </w:pPr>
      <w:bookmarkStart w:id="43" w:name="_Toc397696994"/>
      <w:bookmarkStart w:id="44" w:name="_Toc424116679"/>
      <w:r w:rsidRPr="00CF7A1F">
        <w:lastRenderedPageBreak/>
        <w:t>Rozdział 1. Cele</w:t>
      </w:r>
      <w:r>
        <w:t>,</w:t>
      </w:r>
      <w:r w:rsidRPr="00CF7A1F">
        <w:t xml:space="preserve"> zadania</w:t>
      </w:r>
      <w:r>
        <w:t xml:space="preserve"> i koszty </w:t>
      </w:r>
      <w:r w:rsidRPr="00CF7A1F">
        <w:t>w zakresie postępowania z odpadami promieniotwórczymi i wypalonym paliwem jądrowym w Rzeczypospolitej Polskiej</w:t>
      </w:r>
      <w:bookmarkEnd w:id="43"/>
      <w:bookmarkEnd w:id="44"/>
      <w:r>
        <w:t xml:space="preserve"> </w:t>
      </w:r>
    </w:p>
    <w:p w14:paraId="6CDC2FA1" w14:textId="4B3AFA3B" w:rsidR="00084F8B" w:rsidRDefault="00084F8B" w:rsidP="00C87B85">
      <w:pPr>
        <w:spacing w:before="120" w:after="120"/>
        <w:ind w:firstLine="567"/>
        <w:jc w:val="both"/>
      </w:pPr>
      <w:r>
        <w:t>Krajowy p</w:t>
      </w:r>
      <w:r w:rsidRPr="00E45810">
        <w:t xml:space="preserve">lan stanowi wykonanie </w:t>
      </w:r>
      <w:r>
        <w:t xml:space="preserve">obowiązku nałożonego na ministra właściwego do spraw </w:t>
      </w:r>
      <w:r w:rsidR="00534803">
        <w:t xml:space="preserve">energii </w:t>
      </w:r>
      <w:r>
        <w:t xml:space="preserve">w </w:t>
      </w:r>
      <w:r w:rsidRPr="00E45810">
        <w:t>art. 57c ustawy</w:t>
      </w:r>
      <w:r>
        <w:t xml:space="preserve"> </w:t>
      </w:r>
      <w:r w:rsidRPr="00E45810">
        <w:t>– Prawo atomowe</w:t>
      </w:r>
      <w:r>
        <w:t xml:space="preserve"> </w:t>
      </w:r>
      <w:r w:rsidRPr="00E45810">
        <w:t xml:space="preserve">oraz </w:t>
      </w:r>
      <w:r>
        <w:t xml:space="preserve">zobowiązań Polski wynikających ze </w:t>
      </w:r>
      <w:r w:rsidRPr="00E45810">
        <w:t xml:space="preserve">Wspólnej </w:t>
      </w:r>
      <w:r>
        <w:t>k</w:t>
      </w:r>
      <w:r w:rsidRPr="00E45810">
        <w:t xml:space="preserve">onwencji bezpieczeństwa </w:t>
      </w:r>
      <w:r w:rsidR="00534803">
        <w:t xml:space="preserve">w </w:t>
      </w:r>
      <w:r w:rsidRPr="00E45810">
        <w:t>postępowaniu z wypalonym paliwem jądrowym i bezpieczeństwa</w:t>
      </w:r>
      <w:r>
        <w:t xml:space="preserve"> </w:t>
      </w:r>
      <w:r w:rsidRPr="00E45810">
        <w:t>w postępowaniu z odpadami promieniotwórczymi</w:t>
      </w:r>
      <w:r>
        <w:t xml:space="preserve"> (Wspólna konwencja) przyjętej w Wiedniu 5 września 1997 r.</w:t>
      </w:r>
      <w:r>
        <w:rPr>
          <w:rStyle w:val="Odwoanieprzypisudolnego"/>
        </w:rPr>
        <w:footnoteReference w:id="5"/>
      </w:r>
      <w:r>
        <w:t xml:space="preserve">. </w:t>
      </w:r>
    </w:p>
    <w:p w14:paraId="561C1DCF" w14:textId="2C053A31" w:rsidR="00376421" w:rsidRDefault="00376421" w:rsidP="00C87B85">
      <w:pPr>
        <w:spacing w:before="120" w:after="120"/>
        <w:ind w:firstLine="567"/>
        <w:jc w:val="both"/>
      </w:pPr>
      <w:r w:rsidRPr="00376421">
        <w:rPr>
          <w:bCs/>
        </w:rPr>
        <w:t xml:space="preserve">Krajowy plan postępowania z odpadami promieniotwórczymi i wypalonym paliwem jądrowym (dalej </w:t>
      </w:r>
      <w:r w:rsidRPr="00376421">
        <w:rPr>
          <w:bCs/>
          <w:i/>
        </w:rPr>
        <w:t xml:space="preserve">Krajowy plan) </w:t>
      </w:r>
      <w:r w:rsidR="00552179">
        <w:rPr>
          <w:bCs/>
        </w:rPr>
        <w:t xml:space="preserve">przyjęto </w:t>
      </w:r>
      <w:r w:rsidR="00552179" w:rsidRPr="00376421">
        <w:rPr>
          <w:bCs/>
        </w:rPr>
        <w:t xml:space="preserve"> </w:t>
      </w:r>
      <w:r w:rsidRPr="00376421">
        <w:rPr>
          <w:bCs/>
        </w:rPr>
        <w:t>uchwałą nr 195/2015 Rady Ministrów z dnia 16 października 2015 r.</w:t>
      </w:r>
    </w:p>
    <w:p w14:paraId="0FB084D0" w14:textId="5BDC881D" w:rsidR="00084F8B" w:rsidRPr="00E45810" w:rsidRDefault="00084F8B" w:rsidP="00265C63">
      <w:pPr>
        <w:spacing w:before="120" w:after="120"/>
        <w:jc w:val="both"/>
        <w:rPr>
          <w:color w:val="000000"/>
        </w:rPr>
      </w:pPr>
      <w:r w:rsidRPr="00E45810">
        <w:rPr>
          <w:color w:val="000000"/>
        </w:rPr>
        <w:t>Zgodnie z ustawą</w:t>
      </w:r>
      <w:r>
        <w:rPr>
          <w:color w:val="000000"/>
        </w:rPr>
        <w:t xml:space="preserve"> – </w:t>
      </w:r>
      <w:r w:rsidRPr="00E45810">
        <w:rPr>
          <w:color w:val="000000"/>
        </w:rPr>
        <w:t xml:space="preserve">Prawo atomowe, </w:t>
      </w:r>
      <w:r>
        <w:rPr>
          <w:color w:val="000000"/>
        </w:rPr>
        <w:t>aktualizacja Krajowego p</w:t>
      </w:r>
      <w:r w:rsidRPr="00E45810">
        <w:rPr>
          <w:color w:val="000000"/>
        </w:rPr>
        <w:t>lan</w:t>
      </w:r>
      <w:r>
        <w:rPr>
          <w:color w:val="000000"/>
        </w:rPr>
        <w:t xml:space="preserve">u </w:t>
      </w:r>
      <w:r w:rsidR="00761A99">
        <w:rPr>
          <w:color w:val="000000"/>
        </w:rPr>
        <w:t>odbywa się</w:t>
      </w:r>
      <w:r>
        <w:rPr>
          <w:color w:val="000000"/>
        </w:rPr>
        <w:t xml:space="preserve"> co</w:t>
      </w:r>
      <w:r w:rsidR="00761A99">
        <w:rPr>
          <w:color w:val="000000"/>
        </w:rPr>
        <w:t xml:space="preserve"> 4 lata, co pozwala</w:t>
      </w:r>
      <w:r w:rsidRPr="00E45810">
        <w:rPr>
          <w:color w:val="000000"/>
        </w:rPr>
        <w:t xml:space="preserve"> na weryfikację danych </w:t>
      </w:r>
      <w:r w:rsidR="00534803" w:rsidRPr="00E45810">
        <w:rPr>
          <w:color w:val="000000"/>
        </w:rPr>
        <w:t>o</w:t>
      </w:r>
      <w:r w:rsidR="00534803">
        <w:rPr>
          <w:color w:val="000000"/>
        </w:rPr>
        <w:t xml:space="preserve"> </w:t>
      </w:r>
      <w:r>
        <w:rPr>
          <w:color w:val="000000"/>
        </w:rPr>
        <w:t>środkach finansowych,</w:t>
      </w:r>
      <w:r w:rsidRPr="00E45810">
        <w:rPr>
          <w:color w:val="000000"/>
        </w:rPr>
        <w:t xml:space="preserve"> potrzebnych do jego realizacji</w:t>
      </w:r>
      <w:r>
        <w:rPr>
          <w:color w:val="000000"/>
        </w:rPr>
        <w:t>,</w:t>
      </w:r>
      <w:r w:rsidRPr="00E45810">
        <w:rPr>
          <w:color w:val="000000"/>
        </w:rPr>
        <w:t xml:space="preserve"> </w:t>
      </w:r>
      <w:r>
        <w:rPr>
          <w:color w:val="000000"/>
        </w:rPr>
        <w:t>jak też na</w:t>
      </w:r>
      <w:r w:rsidRPr="00E45810">
        <w:rPr>
          <w:color w:val="000000"/>
        </w:rPr>
        <w:t xml:space="preserve"> </w:t>
      </w:r>
      <w:r>
        <w:rPr>
          <w:color w:val="000000"/>
        </w:rPr>
        <w:t>wprowadzenie innych niezbędnych zmian, w tym bezpośrednio dotyczących postępowania z odpadami promieniotwórczymi i wypalonym paliwem jądrowym.</w:t>
      </w:r>
      <w:r w:rsidRPr="00E45810">
        <w:rPr>
          <w:color w:val="000000"/>
        </w:rPr>
        <w:t xml:space="preserve"> </w:t>
      </w:r>
    </w:p>
    <w:p w14:paraId="01E3E7A6" w14:textId="78F0EF02" w:rsidR="00084F8B" w:rsidRDefault="00084F8B" w:rsidP="00265C63">
      <w:pPr>
        <w:spacing w:before="120" w:after="120"/>
        <w:jc w:val="both"/>
        <w:rPr>
          <w:color w:val="000000"/>
        </w:rPr>
      </w:pPr>
      <w:r w:rsidRPr="00E45810">
        <w:rPr>
          <w:color w:val="000000"/>
        </w:rPr>
        <w:t xml:space="preserve">Okres obowiązywania </w:t>
      </w:r>
      <w:r>
        <w:rPr>
          <w:color w:val="000000"/>
        </w:rPr>
        <w:t>Krajowego p</w:t>
      </w:r>
      <w:r w:rsidRPr="00E45810">
        <w:rPr>
          <w:color w:val="000000"/>
        </w:rPr>
        <w:t xml:space="preserve">lanu określa się na lata </w:t>
      </w:r>
      <w:r w:rsidR="00761A99" w:rsidRPr="00C20BBB">
        <w:rPr>
          <w:color w:val="000000"/>
        </w:rPr>
        <w:t>20</w:t>
      </w:r>
      <w:r w:rsidR="00C20BBB" w:rsidRPr="00C20BBB">
        <w:rPr>
          <w:color w:val="000000"/>
        </w:rPr>
        <w:t>20</w:t>
      </w:r>
      <w:r w:rsidRPr="00C20BBB">
        <w:rPr>
          <w:color w:val="000000"/>
        </w:rPr>
        <w:t>-2050,</w:t>
      </w:r>
      <w:r w:rsidRPr="00E45810">
        <w:rPr>
          <w:color w:val="000000"/>
        </w:rPr>
        <w:t xml:space="preserve"> z perspektywą do </w:t>
      </w:r>
      <w:r w:rsidRPr="00872790">
        <w:rPr>
          <w:rFonts w:cs="Calibri"/>
          <w:szCs w:val="24"/>
        </w:rPr>
        <w:t xml:space="preserve">połowy XXII </w:t>
      </w:r>
      <w:r w:rsidR="0003778A" w:rsidRPr="00872790">
        <w:rPr>
          <w:rFonts w:cs="Calibri"/>
          <w:szCs w:val="24"/>
        </w:rPr>
        <w:t>wieku</w:t>
      </w:r>
      <w:r w:rsidR="0003778A">
        <w:rPr>
          <w:color w:val="000000"/>
        </w:rPr>
        <w:t xml:space="preserve">, </w:t>
      </w:r>
      <w:r w:rsidRPr="00E45810">
        <w:rPr>
          <w:color w:val="000000"/>
        </w:rPr>
        <w:t>to jest</w:t>
      </w:r>
      <w:r>
        <w:rPr>
          <w:color w:val="000000"/>
        </w:rPr>
        <w:t xml:space="preserve"> </w:t>
      </w:r>
      <w:r w:rsidR="00534803" w:rsidRPr="00E45810">
        <w:rPr>
          <w:color w:val="000000"/>
        </w:rPr>
        <w:t>do</w:t>
      </w:r>
      <w:r w:rsidR="00534803">
        <w:rPr>
          <w:color w:val="000000"/>
        </w:rPr>
        <w:t xml:space="preserve"> </w:t>
      </w:r>
      <w:r>
        <w:rPr>
          <w:color w:val="000000"/>
        </w:rPr>
        <w:t xml:space="preserve">przewidywanego </w:t>
      </w:r>
      <w:r w:rsidRPr="00E45810">
        <w:rPr>
          <w:color w:val="000000"/>
        </w:rPr>
        <w:t xml:space="preserve">zamknięcia głębokiego składowiska </w:t>
      </w:r>
      <w:r>
        <w:rPr>
          <w:color w:val="000000"/>
        </w:rPr>
        <w:t>odpadów promieniotwórczych</w:t>
      </w:r>
      <w:r w:rsidRPr="00E45810">
        <w:rPr>
          <w:color w:val="000000"/>
        </w:rPr>
        <w:t>.</w:t>
      </w:r>
    </w:p>
    <w:p w14:paraId="1F3A74BE" w14:textId="77777777" w:rsidR="00084F8B" w:rsidRPr="002B1222" w:rsidRDefault="00084F8B" w:rsidP="00265C63">
      <w:pPr>
        <w:spacing w:before="120" w:after="120"/>
        <w:jc w:val="both"/>
        <w:rPr>
          <w:rFonts w:cs="Calibri"/>
        </w:rPr>
      </w:pPr>
    </w:p>
    <w:p w14:paraId="209D61AA" w14:textId="77777777" w:rsidR="00084F8B" w:rsidRPr="00C95559" w:rsidRDefault="00084F8B" w:rsidP="008D5796">
      <w:pPr>
        <w:pStyle w:val="Nagwek2"/>
      </w:pPr>
      <w:bookmarkStart w:id="45" w:name="_Toc397696995"/>
      <w:bookmarkStart w:id="46" w:name="_Toc424116680"/>
      <w:r>
        <w:t>1</w:t>
      </w:r>
      <w:r w:rsidRPr="00C95559">
        <w:t>.1</w:t>
      </w:r>
      <w:r>
        <w:t>.</w:t>
      </w:r>
      <w:r w:rsidRPr="00C95559">
        <w:t xml:space="preserve"> Cel </w:t>
      </w:r>
      <w:r>
        <w:t>Krajowego p</w:t>
      </w:r>
      <w:r w:rsidRPr="00C95559">
        <w:t>lanu</w:t>
      </w:r>
      <w:r>
        <w:t>.</w:t>
      </w:r>
      <w:bookmarkEnd w:id="45"/>
      <w:bookmarkEnd w:id="46"/>
      <w:r w:rsidRPr="00C95559">
        <w:t xml:space="preserve"> </w:t>
      </w:r>
    </w:p>
    <w:p w14:paraId="50B8698F" w14:textId="0EEF554B" w:rsidR="00084F8B" w:rsidRDefault="00084F8B" w:rsidP="0003778A">
      <w:pPr>
        <w:spacing w:before="120" w:after="120"/>
        <w:ind w:firstLine="567"/>
        <w:jc w:val="both"/>
      </w:pPr>
      <w:r w:rsidRPr="00E81158">
        <w:t xml:space="preserve">Celem </w:t>
      </w:r>
      <w:r>
        <w:t xml:space="preserve">Krajowego planu </w:t>
      </w:r>
      <w:r w:rsidRPr="00E81158">
        <w:t>jest zapewnienie w Polsce efektywne</w:t>
      </w:r>
      <w:r>
        <w:t>go</w:t>
      </w:r>
      <w:r w:rsidRPr="00E81158">
        <w:t xml:space="preserve"> i bezpieczne</w:t>
      </w:r>
      <w:r>
        <w:t>go postępowania z </w:t>
      </w:r>
      <w:r w:rsidRPr="00E81158">
        <w:t>odpadami promieniotwórczymi i wypalonym paliwem jądrowym</w:t>
      </w:r>
      <w:r>
        <w:t xml:space="preserve"> oraz zapewnienie rozwoju i wdrożenia ogólnokrajowego, spójnego, zintegrowanego </w:t>
      </w:r>
      <w:r w:rsidR="00534803">
        <w:t xml:space="preserve">i </w:t>
      </w:r>
      <w:r>
        <w:t>zrównoważonego systemu postępowania obejmującego wszystkie kategorie odpadów promieniotwórczych wytwarzanych w kraju.</w:t>
      </w:r>
      <w:r w:rsidRPr="00E81158">
        <w:t xml:space="preserve"> </w:t>
      </w:r>
      <w:r>
        <w:t xml:space="preserve">Dla osiągnięcia tego celu Krajowy plan określa działania i wyznacza zadania, które umożliwią osiągniecie założeń polityki państwa w zakresie </w:t>
      </w:r>
      <w:r w:rsidRPr="00332CF4">
        <w:t>pos</w:t>
      </w:r>
      <w:r w:rsidRPr="005B6979">
        <w:t>t</w:t>
      </w:r>
      <w:r w:rsidR="009A227F">
        <w:t>ę</w:t>
      </w:r>
      <w:r w:rsidRPr="005B6979">
        <w:t>powania z odpadami promieniotwórczymi i wypalonym paliwem jądrowym</w:t>
      </w:r>
      <w:r w:rsidRPr="00E45810">
        <w:t xml:space="preserve">, </w:t>
      </w:r>
      <w:r>
        <w:t xml:space="preserve">ze szczególnym uwzględnieniem </w:t>
      </w:r>
      <w:r w:rsidRPr="00E45810">
        <w:t>zasady transparentności oraz zapewnieni</w:t>
      </w:r>
      <w:r>
        <w:t>a</w:t>
      </w:r>
      <w:r w:rsidRPr="00E45810">
        <w:t xml:space="preserve"> udziału społeczeństwa </w:t>
      </w:r>
      <w:r w:rsidR="00534803" w:rsidRPr="00E45810">
        <w:t>w</w:t>
      </w:r>
      <w:r w:rsidR="00534803">
        <w:t xml:space="preserve"> </w:t>
      </w:r>
      <w:r w:rsidRPr="00E45810">
        <w:t xml:space="preserve">podejmowaniu kluczowych decyzji. </w:t>
      </w:r>
    </w:p>
    <w:p w14:paraId="4DB672A2" w14:textId="77777777" w:rsidR="00084F8B" w:rsidRPr="00F74164" w:rsidRDefault="00084F8B" w:rsidP="007B7884">
      <w:pPr>
        <w:pStyle w:val="Nagwek3"/>
      </w:pPr>
      <w:bookmarkStart w:id="47" w:name="_Toc424116681"/>
      <w:r>
        <w:t>1</w:t>
      </w:r>
      <w:r w:rsidRPr="00F74164">
        <w:t>.1.1</w:t>
      </w:r>
      <w:r>
        <w:t>.</w:t>
      </w:r>
      <w:r w:rsidRPr="00C31157">
        <w:t xml:space="preserve"> </w:t>
      </w:r>
      <w:r>
        <w:t>Z</w:t>
      </w:r>
      <w:r w:rsidRPr="00C31157">
        <w:t>a</w:t>
      </w:r>
      <w:r>
        <w:t>kres Krajowego planu</w:t>
      </w:r>
      <w:bookmarkEnd w:id="47"/>
    </w:p>
    <w:p w14:paraId="6B5888F7" w14:textId="4E449416" w:rsidR="00084F8B" w:rsidRPr="00C87B85" w:rsidRDefault="00084F8B" w:rsidP="00C87B85">
      <w:pPr>
        <w:spacing w:before="120" w:after="120"/>
        <w:ind w:firstLine="567"/>
        <w:jc w:val="both"/>
      </w:pPr>
      <w:r>
        <w:t>Krajowy plan przewiduje bezpieczne i odpowiednio zabezpieczone postępowanie ze wszystkimi kategoriami odpadów promieniotwórczych</w:t>
      </w:r>
      <w:r w:rsidR="00534803">
        <w:t xml:space="preserve"> </w:t>
      </w:r>
      <w:r>
        <w:t>wytworzonych w Polsce, od ich wytworzenia do składowania i monitoringu zamkniętego składowiska.</w:t>
      </w:r>
      <w:r w:rsidRPr="004B54F5">
        <w:rPr>
          <w:color w:val="000000"/>
        </w:rPr>
        <w:t xml:space="preserve"> </w:t>
      </w:r>
    </w:p>
    <w:p w14:paraId="3E8B5CF3" w14:textId="5702F96E" w:rsidR="00084F8B" w:rsidRPr="007222F2" w:rsidRDefault="00084F8B" w:rsidP="004B54F5">
      <w:pPr>
        <w:spacing w:before="120" w:after="120"/>
        <w:jc w:val="both"/>
        <w:rPr>
          <w:color w:val="000000"/>
        </w:rPr>
      </w:pPr>
      <w:r>
        <w:rPr>
          <w:color w:val="000000"/>
        </w:rPr>
        <w:t>Polskie prawo</w:t>
      </w:r>
      <w:r>
        <w:rPr>
          <w:rStyle w:val="Odwoanieprzypisudolnego"/>
          <w:color w:val="000000"/>
        </w:rPr>
        <w:footnoteReference w:id="6"/>
      </w:r>
      <w:r>
        <w:rPr>
          <w:color w:val="000000"/>
        </w:rPr>
        <w:t xml:space="preserve"> </w:t>
      </w:r>
      <w:r w:rsidR="00576F3E">
        <w:rPr>
          <w:color w:val="000000"/>
        </w:rPr>
        <w:t>wprowadza</w:t>
      </w:r>
      <w:r>
        <w:rPr>
          <w:color w:val="000000"/>
        </w:rPr>
        <w:t xml:space="preserve"> następującą klasyfikację odpadów promieniotwórczych:</w:t>
      </w:r>
    </w:p>
    <w:p w14:paraId="03799B71" w14:textId="77777777" w:rsidR="002409E6" w:rsidRPr="0036181F" w:rsidRDefault="0036181F" w:rsidP="002409E6">
      <w:pPr>
        <w:rPr>
          <w:b/>
        </w:rPr>
      </w:pPr>
      <w:r w:rsidRPr="0036181F">
        <w:rPr>
          <w:b/>
        </w:rPr>
        <w:t>Tabela</w:t>
      </w:r>
      <w:r>
        <w:rPr>
          <w:b/>
        </w:rPr>
        <w:t xml:space="preserve"> nr 1.1. Kategorie odpadów promieniotwórczych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67"/>
        <w:gridCol w:w="1052"/>
        <w:gridCol w:w="1800"/>
        <w:gridCol w:w="1692"/>
        <w:gridCol w:w="2949"/>
      </w:tblGrid>
      <w:tr w:rsidR="002409E6" w14:paraId="7B98A44B" w14:textId="77777777" w:rsidTr="00385251">
        <w:trPr>
          <w:jc w:val="center"/>
        </w:trPr>
        <w:tc>
          <w:tcPr>
            <w:tcW w:w="2807" w:type="dxa"/>
            <w:gridSpan w:val="2"/>
            <w:vMerge w:val="restart"/>
            <w:vAlign w:val="center"/>
          </w:tcPr>
          <w:p w14:paraId="6B4CE443" w14:textId="77777777" w:rsidR="002409E6" w:rsidRDefault="002409E6" w:rsidP="00935516">
            <w:pPr>
              <w:jc w:val="center"/>
            </w:pPr>
            <w:r w:rsidRPr="007222F2">
              <w:rPr>
                <w:rFonts w:cs="Calibri"/>
                <w:b/>
                <w:bCs/>
              </w:rPr>
              <w:t>Kategoria</w:t>
            </w:r>
          </w:p>
        </w:tc>
        <w:tc>
          <w:tcPr>
            <w:tcW w:w="6371" w:type="dxa"/>
            <w:gridSpan w:val="3"/>
            <w:vAlign w:val="center"/>
          </w:tcPr>
          <w:p w14:paraId="7FDDD09A" w14:textId="77777777" w:rsidR="002409E6" w:rsidRDefault="002409E6" w:rsidP="00935516">
            <w:pPr>
              <w:jc w:val="center"/>
            </w:pPr>
            <w:r w:rsidRPr="007222F2">
              <w:rPr>
                <w:rFonts w:cs="Calibri"/>
                <w:b/>
                <w:bCs/>
              </w:rPr>
              <w:t>Podkategoria</w:t>
            </w:r>
          </w:p>
        </w:tc>
      </w:tr>
      <w:tr w:rsidR="00935516" w14:paraId="34C58192" w14:textId="77777777" w:rsidTr="00385251">
        <w:trPr>
          <w:jc w:val="center"/>
        </w:trPr>
        <w:tc>
          <w:tcPr>
            <w:tcW w:w="2807" w:type="dxa"/>
            <w:gridSpan w:val="2"/>
            <w:vMerge/>
            <w:vAlign w:val="center"/>
          </w:tcPr>
          <w:p w14:paraId="29E3D74B" w14:textId="77777777" w:rsidR="002409E6" w:rsidRDefault="002409E6" w:rsidP="00935516">
            <w:pPr>
              <w:jc w:val="center"/>
            </w:pPr>
          </w:p>
        </w:tc>
        <w:tc>
          <w:tcPr>
            <w:tcW w:w="1859" w:type="dxa"/>
            <w:vAlign w:val="center"/>
          </w:tcPr>
          <w:p w14:paraId="24C73070" w14:textId="77777777" w:rsidR="002409E6" w:rsidRDefault="002409E6" w:rsidP="00935516">
            <w:pPr>
              <w:jc w:val="center"/>
            </w:pPr>
            <w:r w:rsidRPr="00631973">
              <w:rPr>
                <w:rFonts w:cs="Calibri"/>
                <w:b/>
                <w:bCs/>
              </w:rPr>
              <w:t>Przejściowe</w:t>
            </w:r>
          </w:p>
        </w:tc>
        <w:tc>
          <w:tcPr>
            <w:tcW w:w="1713" w:type="dxa"/>
            <w:vAlign w:val="center"/>
          </w:tcPr>
          <w:p w14:paraId="089A0A83" w14:textId="77777777" w:rsidR="002409E6" w:rsidRDefault="002409E6" w:rsidP="00935516">
            <w:pPr>
              <w:jc w:val="center"/>
            </w:pPr>
            <w:r w:rsidRPr="00631973">
              <w:rPr>
                <w:rFonts w:cs="Calibri"/>
                <w:b/>
                <w:bCs/>
              </w:rPr>
              <w:t>Krótkożyciowe</w:t>
            </w:r>
          </w:p>
        </w:tc>
        <w:tc>
          <w:tcPr>
            <w:tcW w:w="0" w:type="auto"/>
            <w:vAlign w:val="center"/>
          </w:tcPr>
          <w:p w14:paraId="1892048E" w14:textId="77777777" w:rsidR="002409E6" w:rsidRDefault="002409E6" w:rsidP="00935516">
            <w:pPr>
              <w:jc w:val="center"/>
            </w:pPr>
            <w:r w:rsidRPr="00631973">
              <w:rPr>
                <w:rFonts w:cs="Calibri"/>
                <w:b/>
                <w:bCs/>
              </w:rPr>
              <w:t>Długożyciowe</w:t>
            </w:r>
          </w:p>
        </w:tc>
      </w:tr>
      <w:tr w:rsidR="00935516" w14:paraId="24B5C049" w14:textId="77777777" w:rsidTr="00AD6D12">
        <w:trPr>
          <w:jc w:val="center"/>
        </w:trPr>
        <w:tc>
          <w:tcPr>
            <w:tcW w:w="1459" w:type="dxa"/>
            <w:vAlign w:val="center"/>
          </w:tcPr>
          <w:p w14:paraId="18088A8B" w14:textId="77777777" w:rsidR="002409E6" w:rsidRDefault="002409E6" w:rsidP="00935516">
            <w:pPr>
              <w:jc w:val="center"/>
            </w:pPr>
            <w:r w:rsidRPr="00640B30">
              <w:rPr>
                <w:b/>
              </w:rPr>
              <w:t>Odpady</w:t>
            </w:r>
            <w:r>
              <w:t xml:space="preserve"> </w:t>
            </w:r>
            <w:r w:rsidRPr="007222F2">
              <w:rPr>
                <w:rFonts w:cs="Calibri"/>
                <w:b/>
              </w:rPr>
              <w:t>niskoaktywne</w:t>
            </w:r>
          </w:p>
        </w:tc>
        <w:tc>
          <w:tcPr>
            <w:tcW w:w="1348" w:type="dxa"/>
            <w:vAlign w:val="center"/>
          </w:tcPr>
          <w:p w14:paraId="1AB7BB6F" w14:textId="77777777" w:rsidR="002409E6" w:rsidRDefault="002409E6" w:rsidP="00935516">
            <w:pPr>
              <w:jc w:val="center"/>
            </w:pPr>
            <w:r w:rsidRPr="007222F2">
              <w:rPr>
                <w:rFonts w:cs="Calibri"/>
              </w:rPr>
              <w:t xml:space="preserve">EAC &lt; </w:t>
            </w:r>
            <w:r w:rsidRPr="007222F2">
              <w:rPr>
                <w:rFonts w:cs="Calibri"/>
                <w:b/>
              </w:rPr>
              <w:t>A</w:t>
            </w:r>
            <w:r w:rsidRPr="007222F2">
              <w:rPr>
                <w:rFonts w:cs="Calibri"/>
              </w:rPr>
              <w:t xml:space="preserve"> ≤ 10</w:t>
            </w:r>
            <w:r w:rsidRPr="007222F2">
              <w:rPr>
                <w:rFonts w:cs="Calibri"/>
                <w:vertAlign w:val="superscript"/>
              </w:rPr>
              <w:t xml:space="preserve">4 </w:t>
            </w:r>
            <w:r w:rsidRPr="007222F2">
              <w:rPr>
                <w:rFonts w:cs="Calibri"/>
              </w:rPr>
              <w:t>EAC</w:t>
            </w:r>
          </w:p>
        </w:tc>
        <w:tc>
          <w:tcPr>
            <w:tcW w:w="1859" w:type="dxa"/>
            <w:vAlign w:val="center"/>
          </w:tcPr>
          <w:p w14:paraId="159E4900" w14:textId="77777777" w:rsidR="002409E6" w:rsidRDefault="002409E6" w:rsidP="00935516">
            <w:pPr>
              <w:jc w:val="center"/>
            </w:pPr>
            <w:r w:rsidRPr="007222F2">
              <w:rPr>
                <w:rFonts w:cs="Calibri"/>
              </w:rPr>
              <w:t xml:space="preserve">Po trzech latach </w:t>
            </w:r>
            <w:r>
              <w:rPr>
                <w:rFonts w:cs="Calibri"/>
              </w:rPr>
              <w:t>stężenie</w:t>
            </w:r>
            <w:r w:rsidRPr="007222F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promieniotwórcze </w:t>
            </w:r>
            <w:r w:rsidR="00731B7E">
              <w:rPr>
                <w:rFonts w:cs="Calibri"/>
              </w:rPr>
              <w:t xml:space="preserve">izotopów </w:t>
            </w:r>
            <w:r>
              <w:rPr>
                <w:rFonts w:cs="Calibri"/>
              </w:rPr>
              <w:t xml:space="preserve">spadnie poniżej wartości określonej dla </w:t>
            </w:r>
            <w:r w:rsidRPr="007222F2">
              <w:rPr>
                <w:rFonts w:cs="Calibri"/>
              </w:rPr>
              <w:lastRenderedPageBreak/>
              <w:t>odpadów</w:t>
            </w:r>
            <w:r>
              <w:rPr>
                <w:rFonts w:cs="Calibri"/>
              </w:rPr>
              <w:t xml:space="preserve"> niskoaktywnych</w:t>
            </w:r>
            <w:r>
              <w:rPr>
                <w:rStyle w:val="Odwoanieprzypisudolnego"/>
                <w:rFonts w:cs="Calibri"/>
              </w:rPr>
              <w:footnoteReference w:id="7"/>
            </w:r>
          </w:p>
        </w:tc>
        <w:tc>
          <w:tcPr>
            <w:tcW w:w="1713" w:type="dxa"/>
            <w:vAlign w:val="center"/>
          </w:tcPr>
          <w:p w14:paraId="746336E6" w14:textId="77777777" w:rsidR="00187F60" w:rsidRDefault="002409E6" w:rsidP="00187F60">
            <w:pPr>
              <w:jc w:val="center"/>
              <w:rPr>
                <w:rFonts w:cs="Calibri"/>
              </w:rPr>
            </w:pPr>
            <w:r w:rsidRPr="007222F2">
              <w:rPr>
                <w:rFonts w:cs="Calibri"/>
              </w:rPr>
              <w:lastRenderedPageBreak/>
              <w:t>t</w:t>
            </w:r>
            <w:r w:rsidRPr="007222F2">
              <w:rPr>
                <w:rFonts w:cs="Calibri"/>
                <w:vertAlign w:val="subscript"/>
              </w:rPr>
              <w:t>1/2</w:t>
            </w:r>
            <w:r w:rsidRPr="007222F2">
              <w:rPr>
                <w:rFonts w:cs="Calibri"/>
              </w:rPr>
              <w:t xml:space="preserve"> ≤ 30 lat</w:t>
            </w:r>
            <w:r w:rsidRPr="007222F2">
              <w:rPr>
                <w:rFonts w:cs="Calibri"/>
              </w:rPr>
              <w:br/>
            </w:r>
            <w:r w:rsidR="00187F60">
              <w:rPr>
                <w:rFonts w:cs="Calibri"/>
              </w:rPr>
              <w:t xml:space="preserve">- </w:t>
            </w:r>
            <w:r w:rsidRPr="007222F2">
              <w:rPr>
                <w:rFonts w:cs="Calibri"/>
              </w:rPr>
              <w:t>A ≤ 400</w:t>
            </w:r>
            <w:r w:rsidR="00187F60">
              <w:rPr>
                <w:rFonts w:cs="Calibri"/>
              </w:rPr>
              <w:t xml:space="preserve"> </w:t>
            </w:r>
            <w:r w:rsidR="00187F60" w:rsidRPr="00187F60">
              <w:rPr>
                <w:rFonts w:cs="Calibri"/>
              </w:rPr>
              <w:t>kBq/kg dla izotopów długożyciowych</w:t>
            </w:r>
            <w:r w:rsidR="00187F60">
              <w:rPr>
                <w:rFonts w:cs="Calibri"/>
              </w:rPr>
              <w:t xml:space="preserve"> </w:t>
            </w:r>
          </w:p>
          <w:p w14:paraId="1D3E14B6" w14:textId="290E4DEB" w:rsidR="002409E6" w:rsidRDefault="00187F60" w:rsidP="00187F6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- max A </w:t>
            </w:r>
            <w:r w:rsidRPr="00187F60">
              <w:rPr>
                <w:rFonts w:cs="Calibri"/>
              </w:rPr>
              <w:t>≤</w:t>
            </w:r>
            <w:r>
              <w:rPr>
                <w:rFonts w:cs="Calibri"/>
              </w:rPr>
              <w:t xml:space="preserve"> 4000</w:t>
            </w:r>
            <w:r w:rsidR="002409E6" w:rsidRPr="007222F2">
              <w:rPr>
                <w:rFonts w:cs="Calibri"/>
              </w:rPr>
              <w:t xml:space="preserve"> kBq</w:t>
            </w:r>
            <w:r>
              <w:rPr>
                <w:rFonts w:cs="Calibri"/>
              </w:rPr>
              <w:t xml:space="preserve"> w 1 kg reprezentatywnej </w:t>
            </w:r>
            <w:r>
              <w:rPr>
                <w:rFonts w:cs="Calibri"/>
              </w:rPr>
              <w:lastRenderedPageBreak/>
              <w:t>próbki</w:t>
            </w:r>
            <w:r w:rsidR="002409E6" w:rsidRPr="007222F2">
              <w:rPr>
                <w:rFonts w:cs="Calibri"/>
              </w:rPr>
              <w:t xml:space="preserve"> dla </w:t>
            </w:r>
            <w:r w:rsidR="00935516">
              <w:rPr>
                <w:rFonts w:cs="Calibri"/>
              </w:rPr>
              <w:t>izotopów długożyciowych</w:t>
            </w:r>
          </w:p>
          <w:p w14:paraId="71AD4708" w14:textId="77777777" w:rsidR="00187F60" w:rsidRDefault="00187F60" w:rsidP="00187F6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lub</w:t>
            </w:r>
          </w:p>
          <w:p w14:paraId="1F8AF199" w14:textId="77777777" w:rsidR="00187F60" w:rsidRDefault="00187F60" w:rsidP="00187F60">
            <w:pPr>
              <w:jc w:val="center"/>
              <w:rPr>
                <w:rFonts w:cs="Calibri"/>
              </w:rPr>
            </w:pPr>
            <w:r w:rsidRPr="00187F60">
              <w:rPr>
                <w:rFonts w:cs="Calibri"/>
              </w:rPr>
              <w:t>t</w:t>
            </w:r>
            <w:r w:rsidRPr="00187F60">
              <w:rPr>
                <w:rFonts w:cs="Calibri"/>
                <w:vertAlign w:val="subscript"/>
              </w:rPr>
              <w:t>1/2</w:t>
            </w:r>
            <w:r w:rsidRPr="00187F60">
              <w:rPr>
                <w:rFonts w:cs="Calibri"/>
              </w:rPr>
              <w:t xml:space="preserve"> &gt; 30 lat  </w:t>
            </w:r>
          </w:p>
          <w:p w14:paraId="30633F71" w14:textId="77777777" w:rsidR="00187F60" w:rsidRPr="00187F60" w:rsidRDefault="00187F60" w:rsidP="00187F6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 </w:t>
            </w:r>
            <w:r w:rsidRPr="00187F60">
              <w:rPr>
                <w:rFonts w:cs="Calibri"/>
              </w:rPr>
              <w:t>≤</w:t>
            </w:r>
            <w:r>
              <w:rPr>
                <w:rFonts w:cs="Calibri"/>
              </w:rPr>
              <w:t xml:space="preserve"> 400 </w:t>
            </w:r>
            <w:r w:rsidRPr="00187F60">
              <w:rPr>
                <w:rFonts w:cs="Calibri"/>
              </w:rPr>
              <w:t>kBq/kg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A85A91D" w14:textId="77777777" w:rsidR="002409E6" w:rsidRDefault="002409E6" w:rsidP="00935516">
            <w:pPr>
              <w:jc w:val="center"/>
            </w:pPr>
            <w:r w:rsidRPr="007222F2">
              <w:rPr>
                <w:rFonts w:cs="Calibri"/>
              </w:rPr>
              <w:lastRenderedPageBreak/>
              <w:t>t</w:t>
            </w:r>
            <w:r w:rsidRPr="007222F2">
              <w:rPr>
                <w:rFonts w:cs="Calibri"/>
                <w:vertAlign w:val="subscript"/>
              </w:rPr>
              <w:t>1/2</w:t>
            </w:r>
            <w:r w:rsidRPr="007222F2">
              <w:rPr>
                <w:rFonts w:cs="Calibri"/>
              </w:rPr>
              <w:t xml:space="preserve"> &gt; 30 lat  </w:t>
            </w:r>
            <w:r w:rsidRPr="007222F2">
              <w:rPr>
                <w:rFonts w:cs="Calibri"/>
              </w:rPr>
              <w:br/>
              <w:t xml:space="preserve">A </w:t>
            </w:r>
            <w:r w:rsidR="00935516">
              <w:rPr>
                <w:rFonts w:cs="Calibri"/>
              </w:rPr>
              <w:t>&gt;</w:t>
            </w:r>
            <w:r w:rsidRPr="007222F2">
              <w:rPr>
                <w:rFonts w:cs="Calibri"/>
              </w:rPr>
              <w:t xml:space="preserve"> 400 kBq/kg dla </w:t>
            </w:r>
            <w:r w:rsidR="00935516">
              <w:rPr>
                <w:rFonts w:cs="Calibri"/>
              </w:rPr>
              <w:t>izotopów długożyciowych</w:t>
            </w:r>
          </w:p>
        </w:tc>
      </w:tr>
      <w:tr w:rsidR="00935516" w14:paraId="76FAF527" w14:textId="77777777" w:rsidTr="0009375A">
        <w:trPr>
          <w:jc w:val="center"/>
        </w:trPr>
        <w:tc>
          <w:tcPr>
            <w:tcW w:w="1459" w:type="dxa"/>
            <w:vAlign w:val="center"/>
          </w:tcPr>
          <w:p w14:paraId="6B9E88EF" w14:textId="77777777" w:rsidR="002409E6" w:rsidRDefault="002409E6" w:rsidP="00935516">
            <w:pPr>
              <w:jc w:val="center"/>
            </w:pPr>
            <w:r w:rsidRPr="00640B30">
              <w:rPr>
                <w:b/>
              </w:rPr>
              <w:t>Odpady</w:t>
            </w:r>
            <w:r w:rsidRPr="00631973">
              <w:rPr>
                <w:rFonts w:cs="Calibri"/>
                <w:b/>
              </w:rPr>
              <w:t xml:space="preserve"> średnioaktywne</w:t>
            </w:r>
          </w:p>
        </w:tc>
        <w:tc>
          <w:tcPr>
            <w:tcW w:w="1348" w:type="dxa"/>
            <w:vAlign w:val="center"/>
          </w:tcPr>
          <w:p w14:paraId="3BF81F8D" w14:textId="77777777" w:rsidR="002409E6" w:rsidRDefault="002409E6" w:rsidP="00935516">
            <w:pPr>
              <w:jc w:val="center"/>
            </w:pPr>
            <w:r w:rsidRPr="00631973">
              <w:rPr>
                <w:rFonts w:cs="Calibri"/>
              </w:rPr>
              <w:t>10</w:t>
            </w:r>
            <w:r w:rsidRPr="00631973">
              <w:rPr>
                <w:rFonts w:cs="Calibri"/>
                <w:vertAlign w:val="superscript"/>
              </w:rPr>
              <w:t xml:space="preserve">4 </w:t>
            </w:r>
            <w:r w:rsidRPr="00631973">
              <w:rPr>
                <w:rFonts w:cs="Calibri"/>
              </w:rPr>
              <w:t xml:space="preserve">EAC &lt; </w:t>
            </w:r>
            <w:r w:rsidRPr="00631973">
              <w:rPr>
                <w:rFonts w:cs="Calibri"/>
                <w:b/>
              </w:rPr>
              <w:t>A</w:t>
            </w:r>
            <w:r w:rsidRPr="00631973">
              <w:rPr>
                <w:rFonts w:cs="Calibri"/>
              </w:rPr>
              <w:t xml:space="preserve"> ≤ 10</w:t>
            </w:r>
            <w:r w:rsidRPr="00631973">
              <w:rPr>
                <w:rFonts w:cs="Calibri"/>
                <w:vertAlign w:val="superscript"/>
              </w:rPr>
              <w:t xml:space="preserve">7 </w:t>
            </w:r>
            <w:r w:rsidRPr="00631973">
              <w:rPr>
                <w:rFonts w:cs="Calibri"/>
              </w:rPr>
              <w:t>EAC</w:t>
            </w:r>
          </w:p>
        </w:tc>
        <w:tc>
          <w:tcPr>
            <w:tcW w:w="1859" w:type="dxa"/>
            <w:vAlign w:val="center"/>
          </w:tcPr>
          <w:p w14:paraId="38DF3F43" w14:textId="77777777" w:rsidR="002409E6" w:rsidRDefault="002409E6" w:rsidP="00935516">
            <w:pPr>
              <w:jc w:val="center"/>
            </w:pPr>
          </w:p>
        </w:tc>
        <w:tc>
          <w:tcPr>
            <w:tcW w:w="1713" w:type="dxa"/>
            <w:vAlign w:val="center"/>
          </w:tcPr>
          <w:p w14:paraId="678ABB6A" w14:textId="77777777" w:rsidR="002409E6" w:rsidRDefault="002409E6" w:rsidP="00935516">
            <w:pPr>
              <w:jc w:val="center"/>
            </w:pPr>
          </w:p>
        </w:tc>
        <w:tc>
          <w:tcPr>
            <w:tcW w:w="0" w:type="auto"/>
            <w:vAlign w:val="center"/>
          </w:tcPr>
          <w:p w14:paraId="5044B5B0" w14:textId="77777777" w:rsidR="002409E6" w:rsidRDefault="002409E6" w:rsidP="00935516">
            <w:pPr>
              <w:jc w:val="center"/>
            </w:pPr>
          </w:p>
        </w:tc>
      </w:tr>
      <w:tr w:rsidR="00935516" w14:paraId="0B06C178" w14:textId="77777777" w:rsidTr="0009375A">
        <w:trPr>
          <w:trHeight w:val="1284"/>
          <w:jc w:val="center"/>
        </w:trPr>
        <w:tc>
          <w:tcPr>
            <w:tcW w:w="1459" w:type="dxa"/>
            <w:vAlign w:val="center"/>
          </w:tcPr>
          <w:p w14:paraId="149BDFAB" w14:textId="77777777" w:rsidR="002409E6" w:rsidRDefault="002409E6" w:rsidP="00935516">
            <w:pPr>
              <w:jc w:val="center"/>
            </w:pPr>
            <w:r w:rsidRPr="00640B30">
              <w:rPr>
                <w:b/>
              </w:rPr>
              <w:t>Odpady</w:t>
            </w:r>
            <w:r w:rsidRPr="00640B30">
              <w:rPr>
                <w:rFonts w:cs="Calibri"/>
                <w:b/>
              </w:rPr>
              <w:t xml:space="preserve"> </w:t>
            </w:r>
            <w:r w:rsidRPr="00631973">
              <w:rPr>
                <w:rFonts w:cs="Calibri"/>
                <w:b/>
              </w:rPr>
              <w:t>wysokoaktywne</w:t>
            </w:r>
          </w:p>
        </w:tc>
        <w:tc>
          <w:tcPr>
            <w:tcW w:w="1348" w:type="dxa"/>
            <w:vAlign w:val="center"/>
          </w:tcPr>
          <w:p w14:paraId="3AE05865" w14:textId="77777777" w:rsidR="002409E6" w:rsidRDefault="002409E6" w:rsidP="00935516">
            <w:pPr>
              <w:jc w:val="center"/>
            </w:pPr>
            <w:r w:rsidRPr="00631973">
              <w:rPr>
                <w:rFonts w:cs="Calibri"/>
                <w:b/>
              </w:rPr>
              <w:t>A</w:t>
            </w:r>
            <w:r w:rsidRPr="00631973">
              <w:rPr>
                <w:rFonts w:cs="Calibri"/>
              </w:rPr>
              <w:t xml:space="preserve"> &gt;10</w:t>
            </w:r>
            <w:r w:rsidRPr="00631973">
              <w:rPr>
                <w:rFonts w:cs="Calibri"/>
                <w:vertAlign w:val="superscript"/>
              </w:rPr>
              <w:t xml:space="preserve">7 </w:t>
            </w:r>
            <w:r w:rsidRPr="00631973">
              <w:rPr>
                <w:rFonts w:cs="Calibri"/>
              </w:rPr>
              <w:t>EAC</w:t>
            </w:r>
          </w:p>
        </w:tc>
        <w:tc>
          <w:tcPr>
            <w:tcW w:w="1859" w:type="dxa"/>
            <w:vAlign w:val="center"/>
          </w:tcPr>
          <w:p w14:paraId="4BABFA26" w14:textId="77777777" w:rsidR="002409E6" w:rsidRDefault="002409E6" w:rsidP="00935516">
            <w:pPr>
              <w:jc w:val="center"/>
            </w:pPr>
          </w:p>
        </w:tc>
        <w:tc>
          <w:tcPr>
            <w:tcW w:w="1713" w:type="dxa"/>
            <w:vAlign w:val="center"/>
          </w:tcPr>
          <w:p w14:paraId="1FA86D62" w14:textId="77777777" w:rsidR="002409E6" w:rsidRDefault="002409E6" w:rsidP="00935516">
            <w:pPr>
              <w:jc w:val="center"/>
            </w:pPr>
          </w:p>
        </w:tc>
        <w:tc>
          <w:tcPr>
            <w:tcW w:w="0" w:type="auto"/>
            <w:vAlign w:val="center"/>
          </w:tcPr>
          <w:p w14:paraId="1B78F975" w14:textId="77777777" w:rsidR="002409E6" w:rsidRDefault="002409E6" w:rsidP="00935516">
            <w:pPr>
              <w:jc w:val="center"/>
            </w:pPr>
          </w:p>
        </w:tc>
      </w:tr>
    </w:tbl>
    <w:p w14:paraId="1D38C268" w14:textId="77777777" w:rsidR="002409E6" w:rsidRDefault="002409E6" w:rsidP="002409E6"/>
    <w:p w14:paraId="2586D0E5" w14:textId="77777777" w:rsidR="0036181F" w:rsidRPr="0036181F" w:rsidRDefault="0036181F" w:rsidP="002409E6">
      <w:pPr>
        <w:rPr>
          <w:b/>
        </w:rPr>
      </w:pPr>
      <w:r w:rsidRPr="0036181F">
        <w:rPr>
          <w:b/>
        </w:rPr>
        <w:t xml:space="preserve">Tabela </w:t>
      </w:r>
      <w:r>
        <w:rPr>
          <w:b/>
        </w:rPr>
        <w:t xml:space="preserve">nr 1.2. </w:t>
      </w:r>
      <w:r w:rsidRPr="007222F2">
        <w:rPr>
          <w:rFonts w:cs="Calibri"/>
          <w:b/>
          <w:bCs/>
        </w:rPr>
        <w:t>Zużyte zamknięte źródła</w:t>
      </w:r>
      <w:r>
        <w:rPr>
          <w:rFonts w:cs="Calibri"/>
          <w:b/>
          <w:bCs/>
        </w:rPr>
        <w:t xml:space="preserve"> promieniotwórcze</w:t>
      </w:r>
    </w:p>
    <w:tbl>
      <w:tblPr>
        <w:tblStyle w:val="Tabela-Siatka"/>
        <w:tblW w:w="9180" w:type="dxa"/>
        <w:jc w:val="center"/>
        <w:tblLook w:val="04A0" w:firstRow="1" w:lastRow="0" w:firstColumn="1" w:lastColumn="0" w:noHBand="0" w:noVBand="1"/>
      </w:tblPr>
      <w:tblGrid>
        <w:gridCol w:w="2035"/>
        <w:gridCol w:w="1789"/>
        <w:gridCol w:w="1615"/>
        <w:gridCol w:w="1599"/>
        <w:gridCol w:w="2142"/>
      </w:tblGrid>
      <w:tr w:rsidR="002409E6" w14:paraId="6B8262BC" w14:textId="77777777" w:rsidTr="00AD6D12">
        <w:trPr>
          <w:jc w:val="center"/>
        </w:trPr>
        <w:tc>
          <w:tcPr>
            <w:tcW w:w="2035" w:type="dxa"/>
            <w:vMerge w:val="restart"/>
            <w:vAlign w:val="center"/>
          </w:tcPr>
          <w:p w14:paraId="4008B51D" w14:textId="77777777" w:rsidR="002409E6" w:rsidRDefault="002409E6" w:rsidP="00935516">
            <w:pPr>
              <w:jc w:val="center"/>
            </w:pPr>
            <w:r w:rsidRPr="007222F2">
              <w:rPr>
                <w:rFonts w:cs="Calibri"/>
                <w:b/>
                <w:bCs/>
              </w:rPr>
              <w:t>Zużyte zamknięte źródła</w:t>
            </w:r>
            <w:r>
              <w:rPr>
                <w:rFonts w:cs="Calibri"/>
                <w:b/>
                <w:bCs/>
              </w:rPr>
              <w:t xml:space="preserve"> promieniotwórcze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8"/>
            </w:r>
            <w:r w:rsidRPr="007222F2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5003" w:type="dxa"/>
            <w:gridSpan w:val="3"/>
            <w:vAlign w:val="center"/>
          </w:tcPr>
          <w:p w14:paraId="2918DDCC" w14:textId="77777777" w:rsidR="002409E6" w:rsidRDefault="002409E6" w:rsidP="00935516">
            <w:pPr>
              <w:jc w:val="center"/>
            </w:pPr>
            <w:r w:rsidRPr="007222F2">
              <w:rPr>
                <w:rFonts w:cs="Calibri"/>
                <w:b/>
                <w:bCs/>
              </w:rPr>
              <w:t>Podkategoria</w:t>
            </w:r>
          </w:p>
        </w:tc>
        <w:tc>
          <w:tcPr>
            <w:tcW w:w="214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3A01A0CB" w14:textId="77777777" w:rsidR="002409E6" w:rsidRDefault="002409E6" w:rsidP="00935516">
            <w:pPr>
              <w:spacing w:after="200" w:line="276" w:lineRule="auto"/>
            </w:pPr>
          </w:p>
        </w:tc>
      </w:tr>
      <w:tr w:rsidR="002409E6" w14:paraId="27F24E07" w14:textId="77777777" w:rsidTr="00AD6D12">
        <w:trPr>
          <w:trHeight w:val="639"/>
          <w:jc w:val="center"/>
        </w:trPr>
        <w:tc>
          <w:tcPr>
            <w:tcW w:w="2035" w:type="dxa"/>
            <w:vMerge/>
            <w:vAlign w:val="center"/>
          </w:tcPr>
          <w:p w14:paraId="0412C215" w14:textId="77777777" w:rsidR="002409E6" w:rsidRDefault="002409E6" w:rsidP="00935516">
            <w:pPr>
              <w:jc w:val="center"/>
            </w:pPr>
          </w:p>
        </w:tc>
        <w:tc>
          <w:tcPr>
            <w:tcW w:w="1789" w:type="dxa"/>
            <w:vAlign w:val="center"/>
          </w:tcPr>
          <w:p w14:paraId="5EAC55CD" w14:textId="77777777" w:rsidR="002409E6" w:rsidRDefault="002409E6" w:rsidP="00935516">
            <w:pPr>
              <w:jc w:val="center"/>
            </w:pPr>
            <w:r w:rsidRPr="007222F2">
              <w:rPr>
                <w:rFonts w:cs="Calibri"/>
                <w:b/>
              </w:rPr>
              <w:t>Niskoaktywne</w:t>
            </w:r>
          </w:p>
        </w:tc>
        <w:tc>
          <w:tcPr>
            <w:tcW w:w="1615" w:type="dxa"/>
            <w:vAlign w:val="center"/>
          </w:tcPr>
          <w:p w14:paraId="14647FD4" w14:textId="77777777" w:rsidR="002409E6" w:rsidRDefault="002409E6" w:rsidP="00935516">
            <w:pPr>
              <w:jc w:val="center"/>
            </w:pPr>
            <w:r w:rsidRPr="00631973">
              <w:rPr>
                <w:rFonts w:cs="Calibri"/>
                <w:b/>
              </w:rPr>
              <w:t>Średnioaktywne</w:t>
            </w:r>
          </w:p>
        </w:tc>
        <w:tc>
          <w:tcPr>
            <w:tcW w:w="1599" w:type="dxa"/>
            <w:vAlign w:val="center"/>
          </w:tcPr>
          <w:p w14:paraId="6E88A022" w14:textId="77777777" w:rsidR="002409E6" w:rsidRDefault="002409E6" w:rsidP="00935516">
            <w:pPr>
              <w:jc w:val="center"/>
            </w:pPr>
            <w:r w:rsidRPr="00631973">
              <w:rPr>
                <w:rFonts w:cs="Calibri"/>
                <w:b/>
              </w:rPr>
              <w:t>Wysokoaktywne</w:t>
            </w:r>
          </w:p>
        </w:tc>
        <w:tc>
          <w:tcPr>
            <w:tcW w:w="2142" w:type="dxa"/>
            <w:vMerge/>
            <w:shd w:val="clear" w:color="auto" w:fill="auto"/>
          </w:tcPr>
          <w:p w14:paraId="0A743A6E" w14:textId="77777777" w:rsidR="002409E6" w:rsidRDefault="002409E6" w:rsidP="00935516">
            <w:pPr>
              <w:spacing w:after="200" w:line="276" w:lineRule="auto"/>
            </w:pPr>
          </w:p>
        </w:tc>
      </w:tr>
      <w:tr w:rsidR="002409E6" w14:paraId="4D50566A" w14:textId="77777777" w:rsidTr="00AD6D12">
        <w:trPr>
          <w:trHeight w:val="472"/>
          <w:jc w:val="center"/>
        </w:trPr>
        <w:tc>
          <w:tcPr>
            <w:tcW w:w="2035" w:type="dxa"/>
            <w:vMerge/>
            <w:vAlign w:val="center"/>
          </w:tcPr>
          <w:p w14:paraId="15A821A3" w14:textId="77777777" w:rsidR="002409E6" w:rsidRDefault="002409E6" w:rsidP="00935516">
            <w:pPr>
              <w:jc w:val="center"/>
            </w:pPr>
          </w:p>
        </w:tc>
        <w:tc>
          <w:tcPr>
            <w:tcW w:w="1789" w:type="dxa"/>
            <w:vMerge w:val="restart"/>
            <w:vAlign w:val="center"/>
          </w:tcPr>
          <w:p w14:paraId="6E1F1B71" w14:textId="77777777" w:rsidR="002409E6" w:rsidRDefault="002409E6" w:rsidP="00935516">
            <w:pPr>
              <w:jc w:val="center"/>
            </w:pPr>
            <w:r w:rsidRPr="007222F2">
              <w:rPr>
                <w:rFonts w:cs="Calibri"/>
              </w:rPr>
              <w:t xml:space="preserve">EA &lt; </w:t>
            </w:r>
            <w:r w:rsidRPr="007222F2">
              <w:rPr>
                <w:rFonts w:cs="Calibri"/>
                <w:b/>
              </w:rPr>
              <w:t>A</w:t>
            </w:r>
            <w:r w:rsidRPr="007222F2">
              <w:rPr>
                <w:rFonts w:cs="Calibri"/>
              </w:rPr>
              <w:t xml:space="preserve"> ≤ 10</w:t>
            </w:r>
            <w:r w:rsidRPr="007222F2">
              <w:rPr>
                <w:rFonts w:cs="Calibri"/>
                <w:vertAlign w:val="superscript"/>
              </w:rPr>
              <w:t>8</w:t>
            </w:r>
            <w:r w:rsidRPr="007222F2">
              <w:rPr>
                <w:rFonts w:cs="Calibri"/>
              </w:rPr>
              <w:t xml:space="preserve"> Bq</w:t>
            </w:r>
          </w:p>
        </w:tc>
        <w:tc>
          <w:tcPr>
            <w:tcW w:w="1615" w:type="dxa"/>
            <w:vMerge w:val="restart"/>
            <w:vAlign w:val="center"/>
          </w:tcPr>
          <w:p w14:paraId="3A6CA4DA" w14:textId="77777777" w:rsidR="002409E6" w:rsidRDefault="002409E6" w:rsidP="00935516">
            <w:pPr>
              <w:jc w:val="center"/>
            </w:pPr>
            <w:r w:rsidRPr="00631973">
              <w:rPr>
                <w:rFonts w:cs="Calibri"/>
              </w:rPr>
              <w:t>10</w:t>
            </w:r>
            <w:r w:rsidRPr="00631973">
              <w:rPr>
                <w:rFonts w:cs="Calibri"/>
                <w:vertAlign w:val="superscript"/>
              </w:rPr>
              <w:t>8</w:t>
            </w:r>
            <w:r w:rsidRPr="00631973">
              <w:rPr>
                <w:rFonts w:cs="Calibri"/>
              </w:rPr>
              <w:t xml:space="preserve"> &lt; </w:t>
            </w:r>
            <w:r w:rsidRPr="00631973">
              <w:rPr>
                <w:rFonts w:cs="Calibri"/>
                <w:b/>
              </w:rPr>
              <w:t>A</w:t>
            </w:r>
            <w:r w:rsidRPr="00631973">
              <w:rPr>
                <w:rFonts w:cs="Calibri"/>
              </w:rPr>
              <w:t xml:space="preserve"> ≤ 10</w:t>
            </w:r>
            <w:r w:rsidRPr="00631973">
              <w:rPr>
                <w:rFonts w:cs="Calibri"/>
                <w:vertAlign w:val="superscript"/>
              </w:rPr>
              <w:t>12</w:t>
            </w:r>
            <w:r w:rsidRPr="00631973">
              <w:rPr>
                <w:rFonts w:cs="Calibri"/>
              </w:rPr>
              <w:t xml:space="preserve"> Bq</w:t>
            </w:r>
            <w:r w:rsidRPr="007222F2">
              <w:rPr>
                <w:rFonts w:cs="Calibri"/>
              </w:rPr>
              <w:t xml:space="preserve"> </w:t>
            </w:r>
          </w:p>
        </w:tc>
        <w:tc>
          <w:tcPr>
            <w:tcW w:w="1599" w:type="dxa"/>
            <w:vMerge w:val="restart"/>
            <w:vAlign w:val="center"/>
          </w:tcPr>
          <w:p w14:paraId="74FD2120" w14:textId="77777777" w:rsidR="002409E6" w:rsidRDefault="002409E6" w:rsidP="00935516">
            <w:pPr>
              <w:jc w:val="center"/>
            </w:pPr>
            <w:r w:rsidRPr="00631973">
              <w:rPr>
                <w:rFonts w:cs="Calibri"/>
                <w:b/>
              </w:rPr>
              <w:t>A</w:t>
            </w:r>
            <w:r w:rsidRPr="00631973">
              <w:rPr>
                <w:rFonts w:cs="Calibri"/>
              </w:rPr>
              <w:t xml:space="preserve"> &gt;10</w:t>
            </w:r>
            <w:r w:rsidRPr="00631973">
              <w:rPr>
                <w:rFonts w:cs="Calibri"/>
                <w:vertAlign w:val="superscript"/>
              </w:rPr>
              <w:t>12</w:t>
            </w:r>
            <w:r w:rsidRPr="00631973">
              <w:rPr>
                <w:rFonts w:cs="Calibri"/>
              </w:rPr>
              <w:t xml:space="preserve"> Bq</w:t>
            </w:r>
          </w:p>
        </w:tc>
        <w:tc>
          <w:tcPr>
            <w:tcW w:w="2142" w:type="dxa"/>
          </w:tcPr>
          <w:p w14:paraId="2DECB1FA" w14:textId="77777777" w:rsidR="002409E6" w:rsidRDefault="002409E6" w:rsidP="00935516">
            <w:pPr>
              <w:jc w:val="center"/>
              <w:rPr>
                <w:rFonts w:cs="Calibri"/>
                <w:b/>
                <w:bCs/>
              </w:rPr>
            </w:pPr>
            <w:r w:rsidRPr="00631973">
              <w:rPr>
                <w:rFonts w:cs="Calibri"/>
                <w:b/>
                <w:bCs/>
              </w:rPr>
              <w:t>Krótkożyciowe</w:t>
            </w:r>
          </w:p>
          <w:p w14:paraId="6C748648" w14:textId="77777777" w:rsidR="002409E6" w:rsidRPr="00631973" w:rsidRDefault="002409E6" w:rsidP="00935516">
            <w:pPr>
              <w:jc w:val="center"/>
              <w:rPr>
                <w:rFonts w:cs="Calibri"/>
                <w:b/>
              </w:rPr>
            </w:pPr>
            <w:r w:rsidRPr="007222F2">
              <w:rPr>
                <w:rFonts w:cs="Calibri"/>
              </w:rPr>
              <w:t>t</w:t>
            </w:r>
            <w:r w:rsidRPr="007222F2">
              <w:rPr>
                <w:rFonts w:cs="Calibri"/>
                <w:vertAlign w:val="subscript"/>
              </w:rPr>
              <w:t>1/2</w:t>
            </w:r>
            <w:r w:rsidRPr="007222F2">
              <w:rPr>
                <w:rFonts w:cs="Calibri"/>
              </w:rPr>
              <w:t xml:space="preserve"> ≤ 30 lat</w:t>
            </w:r>
          </w:p>
        </w:tc>
      </w:tr>
      <w:tr w:rsidR="002409E6" w14:paraId="141AF319" w14:textId="77777777" w:rsidTr="00AD6D12">
        <w:trPr>
          <w:trHeight w:val="472"/>
          <w:jc w:val="center"/>
        </w:trPr>
        <w:tc>
          <w:tcPr>
            <w:tcW w:w="2035" w:type="dxa"/>
            <w:vMerge/>
            <w:tcBorders>
              <w:bottom w:val="single" w:sz="4" w:space="0" w:color="auto"/>
            </w:tcBorders>
            <w:vAlign w:val="center"/>
          </w:tcPr>
          <w:p w14:paraId="1E100DD5" w14:textId="77777777" w:rsidR="002409E6" w:rsidRDefault="002409E6" w:rsidP="00935516">
            <w:pPr>
              <w:jc w:val="center"/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  <w:vAlign w:val="center"/>
          </w:tcPr>
          <w:p w14:paraId="68EF5861" w14:textId="77777777" w:rsidR="002409E6" w:rsidRPr="007222F2" w:rsidRDefault="002409E6" w:rsidP="00935516">
            <w:pPr>
              <w:jc w:val="center"/>
              <w:rPr>
                <w:rFonts w:cs="Calibri"/>
              </w:rPr>
            </w:pPr>
          </w:p>
        </w:tc>
        <w:tc>
          <w:tcPr>
            <w:tcW w:w="1615" w:type="dxa"/>
            <w:vMerge/>
            <w:tcBorders>
              <w:bottom w:val="single" w:sz="4" w:space="0" w:color="auto"/>
            </w:tcBorders>
            <w:vAlign w:val="center"/>
          </w:tcPr>
          <w:p w14:paraId="411E5D53" w14:textId="77777777" w:rsidR="002409E6" w:rsidRPr="00631973" w:rsidRDefault="002409E6" w:rsidP="00935516">
            <w:pPr>
              <w:jc w:val="center"/>
              <w:rPr>
                <w:rFonts w:cs="Calibri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  <w:vAlign w:val="center"/>
          </w:tcPr>
          <w:p w14:paraId="44EF1C0F" w14:textId="77777777" w:rsidR="002409E6" w:rsidRPr="00631973" w:rsidRDefault="002409E6" w:rsidP="0093551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24143C4D" w14:textId="77777777" w:rsidR="002409E6" w:rsidRDefault="002409E6" w:rsidP="00935516">
            <w:pPr>
              <w:jc w:val="center"/>
              <w:rPr>
                <w:rFonts w:cs="Calibri"/>
                <w:b/>
                <w:bCs/>
              </w:rPr>
            </w:pPr>
            <w:r w:rsidRPr="00631973">
              <w:rPr>
                <w:rFonts w:cs="Calibri"/>
                <w:b/>
                <w:bCs/>
              </w:rPr>
              <w:t>Długożyciowe</w:t>
            </w:r>
          </w:p>
          <w:p w14:paraId="375A0913" w14:textId="77777777" w:rsidR="002409E6" w:rsidRPr="00631973" w:rsidRDefault="002409E6" w:rsidP="00935516">
            <w:pPr>
              <w:jc w:val="center"/>
              <w:rPr>
                <w:rFonts w:cs="Calibri"/>
                <w:b/>
              </w:rPr>
            </w:pPr>
            <w:r w:rsidRPr="007222F2">
              <w:rPr>
                <w:rFonts w:cs="Calibri"/>
              </w:rPr>
              <w:t>t</w:t>
            </w:r>
            <w:r w:rsidRPr="007222F2">
              <w:rPr>
                <w:rFonts w:cs="Calibri"/>
                <w:vertAlign w:val="subscript"/>
              </w:rPr>
              <w:t>1/2</w:t>
            </w:r>
            <w:r w:rsidRPr="007222F2">
              <w:rPr>
                <w:rFonts w:cs="Calibri"/>
              </w:rPr>
              <w:t xml:space="preserve"> &gt; 30lat</w:t>
            </w:r>
          </w:p>
        </w:tc>
      </w:tr>
    </w:tbl>
    <w:p w14:paraId="68ECCDB6" w14:textId="77777777" w:rsidR="002409E6" w:rsidRPr="00867DE4" w:rsidRDefault="002409E6" w:rsidP="004B54F5">
      <w:pPr>
        <w:rPr>
          <w:rFonts w:cs="Calibri"/>
        </w:rPr>
      </w:pPr>
    </w:p>
    <w:p w14:paraId="5F9CB1D5" w14:textId="77777777" w:rsidR="00084F8B" w:rsidRPr="004B54F5" w:rsidRDefault="00084F8B" w:rsidP="004B54F5">
      <w:pPr>
        <w:jc w:val="both"/>
        <w:rPr>
          <w:rFonts w:cs="Calibri"/>
        </w:rPr>
      </w:pPr>
      <w:r w:rsidRPr="004B54F5">
        <w:rPr>
          <w:rFonts w:cs="Calibri"/>
        </w:rPr>
        <w:t xml:space="preserve">A – </w:t>
      </w:r>
      <w:r w:rsidR="00935516" w:rsidRPr="004B54F5">
        <w:rPr>
          <w:rFonts w:cs="Calibri"/>
        </w:rPr>
        <w:t>stężeni</w:t>
      </w:r>
      <w:r w:rsidR="00935516">
        <w:rPr>
          <w:rFonts w:cs="Calibri"/>
        </w:rPr>
        <w:t>e</w:t>
      </w:r>
      <w:r w:rsidR="00935516" w:rsidRPr="004B54F5">
        <w:rPr>
          <w:rFonts w:cs="Calibri"/>
        </w:rPr>
        <w:t xml:space="preserve"> </w:t>
      </w:r>
      <w:r w:rsidR="00935516">
        <w:rPr>
          <w:rFonts w:cs="Calibri"/>
        </w:rPr>
        <w:t>promieniotwórcze izotopu w</w:t>
      </w:r>
      <w:r w:rsidR="00935516" w:rsidRPr="004B54F5">
        <w:rPr>
          <w:rFonts w:cs="Calibri"/>
        </w:rPr>
        <w:t xml:space="preserve"> odpad</w:t>
      </w:r>
      <w:r w:rsidR="00935516">
        <w:rPr>
          <w:rFonts w:cs="Calibri"/>
        </w:rPr>
        <w:t>zie</w:t>
      </w:r>
      <w:r w:rsidR="00935516" w:rsidRPr="004B54F5">
        <w:rPr>
          <w:rFonts w:cs="Calibri"/>
        </w:rPr>
        <w:t xml:space="preserve"> </w:t>
      </w:r>
      <w:r w:rsidRPr="004B54F5">
        <w:rPr>
          <w:rFonts w:cs="Calibri"/>
        </w:rPr>
        <w:t xml:space="preserve">(kBq/kg) lub </w:t>
      </w:r>
      <w:r w:rsidR="00935516" w:rsidRPr="004B54F5">
        <w:rPr>
          <w:rFonts w:cs="Calibri"/>
        </w:rPr>
        <w:t>aktywnoś</w:t>
      </w:r>
      <w:r w:rsidR="00935516">
        <w:rPr>
          <w:rFonts w:cs="Calibri"/>
        </w:rPr>
        <w:t>ć zawartych izotopów w</w:t>
      </w:r>
      <w:r w:rsidR="00935516" w:rsidRPr="004B54F5">
        <w:rPr>
          <w:rFonts w:cs="Calibri"/>
        </w:rPr>
        <w:t xml:space="preserve"> źród</w:t>
      </w:r>
      <w:r w:rsidR="00935516">
        <w:rPr>
          <w:rFonts w:cs="Calibri"/>
        </w:rPr>
        <w:t>le</w:t>
      </w:r>
      <w:r w:rsidR="00935516" w:rsidRPr="004B54F5">
        <w:rPr>
          <w:rFonts w:cs="Calibri"/>
        </w:rPr>
        <w:t xml:space="preserve"> </w:t>
      </w:r>
      <w:r w:rsidRPr="004B54F5">
        <w:rPr>
          <w:rFonts w:cs="Calibri"/>
        </w:rPr>
        <w:t>(Bq),</w:t>
      </w:r>
    </w:p>
    <w:p w14:paraId="195F15BE" w14:textId="77777777" w:rsidR="00084F8B" w:rsidRPr="00631973" w:rsidRDefault="00084F8B" w:rsidP="004B54F5">
      <w:pPr>
        <w:jc w:val="both"/>
        <w:rPr>
          <w:rFonts w:cs="Calibri"/>
        </w:rPr>
      </w:pPr>
      <w:r w:rsidRPr="00631973">
        <w:rPr>
          <w:rFonts w:cs="Calibri"/>
        </w:rPr>
        <w:t xml:space="preserve">EAC – wartość stężenia promieniotwórczego </w:t>
      </w:r>
      <w:r w:rsidR="00935516" w:rsidRPr="00631973">
        <w:rPr>
          <w:rFonts w:cs="Calibri"/>
        </w:rPr>
        <w:t>izotop</w:t>
      </w:r>
      <w:r w:rsidR="00935516">
        <w:rPr>
          <w:rFonts w:cs="Calibri"/>
        </w:rPr>
        <w:t>u</w:t>
      </w:r>
      <w:r w:rsidR="00935516" w:rsidRPr="00631973">
        <w:rPr>
          <w:rFonts w:cs="Calibri"/>
        </w:rPr>
        <w:t xml:space="preserve"> </w:t>
      </w:r>
      <w:r w:rsidRPr="00631973">
        <w:rPr>
          <w:rFonts w:cs="Calibri"/>
        </w:rPr>
        <w:t xml:space="preserve">stanowiąca podstawę kwalifikowania </w:t>
      </w:r>
      <w:r w:rsidR="00935516">
        <w:rPr>
          <w:rFonts w:cs="Calibri"/>
        </w:rPr>
        <w:t xml:space="preserve">odpadów </w:t>
      </w:r>
      <w:r w:rsidRPr="00631973">
        <w:rPr>
          <w:rFonts w:cs="Calibri"/>
        </w:rPr>
        <w:t xml:space="preserve">do </w:t>
      </w:r>
      <w:r w:rsidR="00935516">
        <w:rPr>
          <w:rFonts w:cs="Calibri"/>
        </w:rPr>
        <w:t xml:space="preserve">kategorii </w:t>
      </w:r>
      <w:r w:rsidRPr="00631973">
        <w:rPr>
          <w:rFonts w:cs="Calibri"/>
        </w:rPr>
        <w:t xml:space="preserve">odpadów </w:t>
      </w:r>
      <w:r w:rsidR="00935516">
        <w:rPr>
          <w:rFonts w:cs="Calibri"/>
        </w:rPr>
        <w:t>promieniotwórczych</w:t>
      </w:r>
      <w:r w:rsidRPr="00631973">
        <w:rPr>
          <w:rFonts w:cs="Calibri"/>
        </w:rPr>
        <w:t xml:space="preserve"> (kBq/kg),</w:t>
      </w:r>
    </w:p>
    <w:p w14:paraId="6FD1D9EF" w14:textId="77777777" w:rsidR="00084F8B" w:rsidRDefault="00084F8B" w:rsidP="004B54F5">
      <w:pPr>
        <w:jc w:val="both"/>
        <w:rPr>
          <w:rFonts w:cs="Calibri"/>
        </w:rPr>
      </w:pPr>
      <w:r w:rsidRPr="00631973">
        <w:rPr>
          <w:rFonts w:cs="Calibri"/>
        </w:rPr>
        <w:t xml:space="preserve">EA – wartość aktywności stanowiącą podstawę </w:t>
      </w:r>
      <w:r w:rsidR="00935516" w:rsidRPr="00631973">
        <w:rPr>
          <w:rFonts w:cs="Calibri"/>
        </w:rPr>
        <w:t>kwalifik</w:t>
      </w:r>
      <w:r w:rsidR="00935516">
        <w:rPr>
          <w:rFonts w:cs="Calibri"/>
        </w:rPr>
        <w:t>owania</w:t>
      </w:r>
      <w:r w:rsidR="00935516" w:rsidRPr="00631973">
        <w:rPr>
          <w:rFonts w:cs="Calibri"/>
        </w:rPr>
        <w:t xml:space="preserve"> </w:t>
      </w:r>
      <w:r w:rsidR="00935516">
        <w:rPr>
          <w:rFonts w:cs="Calibri"/>
        </w:rPr>
        <w:t xml:space="preserve">odpadów </w:t>
      </w:r>
      <w:r w:rsidRPr="00631973">
        <w:rPr>
          <w:rFonts w:cs="Calibri"/>
        </w:rPr>
        <w:t xml:space="preserve">do </w:t>
      </w:r>
      <w:r w:rsidR="00935516">
        <w:rPr>
          <w:rFonts w:cs="Calibri"/>
        </w:rPr>
        <w:t xml:space="preserve">kategorii </w:t>
      </w:r>
      <w:r w:rsidRPr="00631973">
        <w:rPr>
          <w:rFonts w:cs="Calibri"/>
        </w:rPr>
        <w:t xml:space="preserve">odpadów </w:t>
      </w:r>
      <w:r w:rsidR="00935516">
        <w:rPr>
          <w:rFonts w:cs="Calibri"/>
        </w:rPr>
        <w:t xml:space="preserve">promieniotwórczych </w:t>
      </w:r>
      <w:r w:rsidRPr="00631973">
        <w:rPr>
          <w:rFonts w:cs="Calibri"/>
        </w:rPr>
        <w:t>(Bq).</w:t>
      </w:r>
    </w:p>
    <w:p w14:paraId="60A2A3B4" w14:textId="77777777" w:rsidR="00084F8B" w:rsidRDefault="00084F8B" w:rsidP="004B54F5">
      <w:pPr>
        <w:jc w:val="both"/>
        <w:rPr>
          <w:rFonts w:cs="Calibri"/>
        </w:rPr>
      </w:pPr>
    </w:p>
    <w:p w14:paraId="5A6F1039" w14:textId="2CE4F3F8" w:rsidR="00084F8B" w:rsidRPr="003B105E" w:rsidRDefault="00084F8B" w:rsidP="003B105E">
      <w:pPr>
        <w:spacing w:after="120"/>
        <w:jc w:val="both"/>
        <w:rPr>
          <w:rFonts w:cs="Calibri"/>
        </w:rPr>
      </w:pPr>
      <w:bookmarkStart w:id="48" w:name="_Toc397696996"/>
      <w:r w:rsidRPr="003B105E">
        <w:rPr>
          <w:rFonts w:cs="Calibri"/>
        </w:rPr>
        <w:t xml:space="preserve">Zakresem Krajowego planu nie są objęte odpady powstałe w wyniku eksploatacji </w:t>
      </w:r>
      <w:r w:rsidR="00FB05C0" w:rsidRPr="003B105E">
        <w:rPr>
          <w:rFonts w:cs="Calibri"/>
        </w:rPr>
        <w:t>kopaln</w:t>
      </w:r>
      <w:r w:rsidR="00FB05C0">
        <w:rPr>
          <w:rFonts w:cs="Calibri"/>
        </w:rPr>
        <w:t>i</w:t>
      </w:r>
      <w:r w:rsidRPr="003B105E">
        <w:rPr>
          <w:rFonts w:cs="Calibri"/>
        </w:rPr>
        <w:t xml:space="preserve">, ponieważ </w:t>
      </w:r>
      <w:r>
        <w:rPr>
          <w:rFonts w:cs="Arial"/>
        </w:rPr>
        <w:t>zgodnie z </w:t>
      </w:r>
      <w:r w:rsidR="00B3742E">
        <w:rPr>
          <w:rFonts w:cs="Arial"/>
        </w:rPr>
        <w:t>art. 47 ust. 4 ustawy</w:t>
      </w:r>
      <w:r w:rsidR="00681108">
        <w:rPr>
          <w:rFonts w:cs="Arial"/>
        </w:rPr>
        <w:t xml:space="preserve"> </w:t>
      </w:r>
      <w:r w:rsidR="00681108">
        <w:rPr>
          <w:rFonts w:cs="Arial"/>
        </w:rPr>
        <w:sym w:font="Symbol" w:char="F02D"/>
      </w:r>
      <w:r w:rsidR="00B3742E">
        <w:rPr>
          <w:rFonts w:cs="Arial"/>
        </w:rPr>
        <w:t xml:space="preserve"> </w:t>
      </w:r>
      <w:r w:rsidR="00681108">
        <w:rPr>
          <w:rFonts w:cs="Arial"/>
        </w:rPr>
        <w:t xml:space="preserve">Prawo </w:t>
      </w:r>
      <w:r w:rsidR="00B3742E">
        <w:rPr>
          <w:rFonts w:cs="Arial"/>
        </w:rPr>
        <w:t xml:space="preserve">atomowe </w:t>
      </w:r>
      <w:r w:rsidR="00552179">
        <w:rPr>
          <w:rFonts w:cs="Arial"/>
        </w:rPr>
        <w:t>n</w:t>
      </w:r>
      <w:r w:rsidR="00B3742E" w:rsidRPr="00B3742E">
        <w:rPr>
          <w:rFonts w:cs="Arial"/>
        </w:rPr>
        <w:t>ie kwalifikuje się do odpadów promieniotwórczych</w:t>
      </w:r>
      <w:r w:rsidR="00486D9A" w:rsidRPr="00B3742E">
        <w:rPr>
          <w:rFonts w:cs="Arial"/>
        </w:rPr>
        <w:t>: 1) mas</w:t>
      </w:r>
      <w:r w:rsidR="00B3742E" w:rsidRPr="00B3742E">
        <w:rPr>
          <w:rFonts w:cs="Arial"/>
        </w:rPr>
        <w:t xml:space="preserve"> ziemnych lub skalnych przemieszczanych w związku z wydobywaniem kopalin ze złóż</w:t>
      </w:r>
      <w:r w:rsidR="00486D9A" w:rsidRPr="00B3742E">
        <w:rPr>
          <w:rFonts w:cs="Arial"/>
        </w:rPr>
        <w:t>, 2) odpadów</w:t>
      </w:r>
      <w:r w:rsidR="00B3742E" w:rsidRPr="00B3742E">
        <w:rPr>
          <w:rFonts w:cs="Arial"/>
        </w:rPr>
        <w:t xml:space="preserve"> wydobywczych, 3) niezanieczyszczonej gleby i innych materiałów występujących w stanie naturalnym, wydobytych w trakcie robót budowlanych</w:t>
      </w:r>
      <w:r w:rsidR="00486D9A" w:rsidRPr="00B3742E">
        <w:rPr>
          <w:rFonts w:cs="Arial"/>
        </w:rPr>
        <w:t>, 4) odpadów</w:t>
      </w:r>
      <w:r w:rsidR="00B3742E" w:rsidRPr="00B3742E">
        <w:rPr>
          <w:rFonts w:cs="Arial"/>
        </w:rPr>
        <w:t xml:space="preserve"> w postaci osadów z oczyszczania ścieków przemysłowych– zawierających naturalnie występujące izotopy promieniotwórcze o sumarycznym stężeniu promieniotwórczym izotopów Ra-226 i Ra-228 nieprzekraczającym 1000 kBq/kg. </w:t>
      </w:r>
    </w:p>
    <w:p w14:paraId="71CE40C2" w14:textId="77777777" w:rsidR="00084F8B" w:rsidRPr="003B105E" w:rsidRDefault="00084F8B" w:rsidP="003B105E">
      <w:pPr>
        <w:jc w:val="both"/>
        <w:rPr>
          <w:rFonts w:cs="Calibri"/>
        </w:rPr>
      </w:pPr>
      <w:r w:rsidRPr="003B105E">
        <w:t xml:space="preserve">Na terenie Polski w latach </w:t>
      </w:r>
      <w:r>
        <w:t>powojennych, tj</w:t>
      </w:r>
      <w:r w:rsidR="003360EE">
        <w:t>.</w:t>
      </w:r>
      <w:r>
        <w:t xml:space="preserve"> do lat 70-tych,</w:t>
      </w:r>
      <w:r w:rsidRPr="003B105E">
        <w:t xml:space="preserve"> wydobywano </w:t>
      </w:r>
      <w:r>
        <w:t xml:space="preserve">i przerabiano </w:t>
      </w:r>
      <w:r w:rsidRPr="003B105E">
        <w:t>rudę uranu. Obecnie na terenie dawnego kopalnictwa rud uranu realizowany jest przez PAA ,,Program monitoringu radiacyjnego terenów zdegradowanych w wyniku działalności wydobywczej i przeróbczej rud uranu</w:t>
      </w:r>
      <w:r w:rsidR="00EF3A75">
        <w:t>”</w:t>
      </w:r>
      <w:r w:rsidRPr="003B105E">
        <w:t xml:space="preserve">.    </w:t>
      </w:r>
    </w:p>
    <w:p w14:paraId="10973B74" w14:textId="3401E272" w:rsidR="00084F8B" w:rsidRPr="00F74164" w:rsidRDefault="00084F8B" w:rsidP="008D5796">
      <w:pPr>
        <w:pStyle w:val="Nagwek3"/>
      </w:pPr>
      <w:bookmarkStart w:id="49" w:name="_Toc424116682"/>
      <w:r>
        <w:lastRenderedPageBreak/>
        <w:t>1</w:t>
      </w:r>
      <w:r w:rsidRPr="00F74164">
        <w:t>.1.</w:t>
      </w:r>
      <w:r>
        <w:t>2.</w:t>
      </w:r>
      <w:r w:rsidRPr="00C31157">
        <w:t xml:space="preserve"> </w:t>
      </w:r>
      <w:r>
        <w:t>Z</w:t>
      </w:r>
      <w:r w:rsidRPr="00C31157">
        <w:t xml:space="preserve">adania związane z </w:t>
      </w:r>
      <w:r>
        <w:t>postępowaniem z</w:t>
      </w:r>
      <w:r w:rsidRPr="00C31157">
        <w:t xml:space="preserve"> odpadami </w:t>
      </w:r>
      <w:r w:rsidR="00486D9A" w:rsidRPr="00DA2A8F">
        <w:t xml:space="preserve">PROMIENIOTWÓRCZYMI </w:t>
      </w:r>
      <w:r w:rsidR="00500C53">
        <w:br/>
      </w:r>
      <w:r w:rsidR="00486D9A" w:rsidRPr="00DA2A8F">
        <w:t>I</w:t>
      </w:r>
      <w:r>
        <w:t xml:space="preserve"> wypalonym paliwem jądrowym </w:t>
      </w:r>
      <w:r w:rsidRPr="00DA2A8F">
        <w:t>wskazane</w:t>
      </w:r>
      <w:r w:rsidRPr="00C31157">
        <w:t xml:space="preserve"> w Krajowym planie</w:t>
      </w:r>
      <w:bookmarkEnd w:id="48"/>
      <w:bookmarkEnd w:id="49"/>
    </w:p>
    <w:p w14:paraId="14D0970D" w14:textId="77777777" w:rsidR="00084F8B" w:rsidRDefault="00084F8B" w:rsidP="006341DE">
      <w:pPr>
        <w:tabs>
          <w:tab w:val="left" w:pos="284"/>
        </w:tabs>
        <w:spacing w:before="120" w:after="120" w:line="240" w:lineRule="auto"/>
        <w:ind w:firstLine="567"/>
      </w:pPr>
      <w:r>
        <w:t>Kluczowymi zadaniami są:</w:t>
      </w:r>
    </w:p>
    <w:p w14:paraId="307C781F" w14:textId="77777777" w:rsidR="00C04B5A" w:rsidRPr="00E45810" w:rsidRDefault="00C04B5A" w:rsidP="00C04B5A">
      <w:pPr>
        <w:numPr>
          <w:ilvl w:val="0"/>
          <w:numId w:val="78"/>
        </w:numPr>
        <w:spacing w:line="240" w:lineRule="auto"/>
        <w:ind w:left="709" w:hanging="425"/>
        <w:jc w:val="both"/>
      </w:pPr>
      <w:r>
        <w:t xml:space="preserve">aktualizacja eksploatacyjnego raportu bezpieczeństwa </w:t>
      </w:r>
      <w:r w:rsidRPr="00E45810">
        <w:t>K</w:t>
      </w:r>
      <w:r>
        <w:t xml:space="preserve">rajowego </w:t>
      </w:r>
      <w:r w:rsidRPr="00E45810">
        <w:t>S</w:t>
      </w:r>
      <w:r>
        <w:t xml:space="preserve">kładowiska </w:t>
      </w:r>
      <w:r w:rsidRPr="00E45810">
        <w:t>O</w:t>
      </w:r>
      <w:r>
        <w:t xml:space="preserve">dpadów </w:t>
      </w:r>
      <w:r w:rsidRPr="00E45810">
        <w:t>P</w:t>
      </w:r>
      <w:r>
        <w:t>romieniotwórczych</w:t>
      </w:r>
      <w:r w:rsidRPr="00E45810">
        <w:t xml:space="preserve"> </w:t>
      </w:r>
      <w:r>
        <w:t xml:space="preserve">(KSOP) </w:t>
      </w:r>
      <w:r w:rsidRPr="00E45810">
        <w:t>w Różanie</w:t>
      </w:r>
      <w:r>
        <w:t>;</w:t>
      </w:r>
    </w:p>
    <w:p w14:paraId="6BFFBAA4" w14:textId="47590C7A" w:rsidR="00395C6C" w:rsidRDefault="00C04B5A" w:rsidP="00844623">
      <w:pPr>
        <w:numPr>
          <w:ilvl w:val="0"/>
          <w:numId w:val="78"/>
        </w:numPr>
        <w:spacing w:line="240" w:lineRule="auto"/>
        <w:ind w:left="709" w:hanging="425"/>
        <w:jc w:val="both"/>
      </w:pPr>
      <w:r>
        <w:t>w</w:t>
      </w:r>
      <w:r w:rsidR="00EE3E4B">
        <w:t>ydobycie</w:t>
      </w:r>
      <w:r>
        <w:t xml:space="preserve"> </w:t>
      </w:r>
      <w:r w:rsidR="00EE3E4B">
        <w:t xml:space="preserve">i przetworzenie </w:t>
      </w:r>
      <w:r w:rsidR="00395C6C">
        <w:t>odpadów historycznych</w:t>
      </w:r>
      <w:r w:rsidR="00500C53">
        <w:t>;</w:t>
      </w:r>
    </w:p>
    <w:p w14:paraId="213F9342" w14:textId="77777777" w:rsidR="00084F8B" w:rsidRPr="00E45810" w:rsidRDefault="00084F8B" w:rsidP="00844623">
      <w:pPr>
        <w:numPr>
          <w:ilvl w:val="0"/>
          <w:numId w:val="78"/>
        </w:numPr>
        <w:spacing w:line="240" w:lineRule="auto"/>
        <w:ind w:left="709" w:hanging="425"/>
        <w:jc w:val="both"/>
      </w:pPr>
      <w:r>
        <w:t>p</w:t>
      </w:r>
      <w:r w:rsidRPr="00E45810">
        <w:t>rzygotowanie do zamknięcia</w:t>
      </w:r>
      <w:r>
        <w:t>, ostateczne zamknięcie</w:t>
      </w:r>
      <w:r w:rsidRPr="00E45810">
        <w:t xml:space="preserve"> i długotrwał</w:t>
      </w:r>
      <w:r>
        <w:t>y</w:t>
      </w:r>
      <w:r w:rsidRPr="00E45810">
        <w:t xml:space="preserve"> monitoring K</w:t>
      </w:r>
      <w:r>
        <w:t xml:space="preserve">rajowego </w:t>
      </w:r>
      <w:r w:rsidRPr="00E45810">
        <w:t>S</w:t>
      </w:r>
      <w:r>
        <w:t xml:space="preserve">kładowiska </w:t>
      </w:r>
      <w:r w:rsidRPr="00E45810">
        <w:t>O</w:t>
      </w:r>
      <w:r>
        <w:t xml:space="preserve">dpadów </w:t>
      </w:r>
      <w:r w:rsidRPr="00E45810">
        <w:t>P</w:t>
      </w:r>
      <w:r>
        <w:t>romieniotwórczych</w:t>
      </w:r>
      <w:r w:rsidRPr="00E45810">
        <w:t xml:space="preserve"> </w:t>
      </w:r>
      <w:r>
        <w:t xml:space="preserve">(KSOP) </w:t>
      </w:r>
      <w:r w:rsidRPr="00E45810">
        <w:t>w Różanie</w:t>
      </w:r>
      <w:r>
        <w:t>;</w:t>
      </w:r>
    </w:p>
    <w:p w14:paraId="1F011409" w14:textId="77777777" w:rsidR="00084F8B" w:rsidRPr="00E45810" w:rsidRDefault="00084F8B" w:rsidP="00844623">
      <w:pPr>
        <w:numPr>
          <w:ilvl w:val="0"/>
          <w:numId w:val="78"/>
        </w:numPr>
        <w:spacing w:line="240" w:lineRule="auto"/>
        <w:ind w:left="709" w:hanging="425"/>
        <w:jc w:val="both"/>
      </w:pPr>
      <w:r>
        <w:t>wybór</w:t>
      </w:r>
      <w:r w:rsidRPr="00E45810">
        <w:t xml:space="preserve"> lokalizacji</w:t>
      </w:r>
      <w:r>
        <w:t>,</w:t>
      </w:r>
      <w:r w:rsidRPr="00E45810">
        <w:t xml:space="preserve"> budowa </w:t>
      </w:r>
      <w:r>
        <w:t xml:space="preserve">i rozpoczęcie eksploatacji </w:t>
      </w:r>
      <w:r w:rsidRPr="00E45810">
        <w:t xml:space="preserve">nowego </w:t>
      </w:r>
      <w:r>
        <w:t>składowiska</w:t>
      </w:r>
      <w:r w:rsidRPr="00E45810">
        <w:t xml:space="preserve"> </w:t>
      </w:r>
      <w:r w:rsidR="00844623">
        <w:t>powierzchniowego</w:t>
      </w:r>
      <w:r w:rsidR="00844623" w:rsidRPr="00E45810">
        <w:t xml:space="preserve"> </w:t>
      </w:r>
      <w:r w:rsidRPr="00E45810">
        <w:t>odpadów</w:t>
      </w:r>
      <w:r>
        <w:t xml:space="preserve"> promieniotwórczych (NSPOP);</w:t>
      </w:r>
    </w:p>
    <w:p w14:paraId="076A5492" w14:textId="61DCCD49" w:rsidR="00084F8B" w:rsidRDefault="00084F8B" w:rsidP="00844623">
      <w:pPr>
        <w:numPr>
          <w:ilvl w:val="0"/>
          <w:numId w:val="78"/>
        </w:numPr>
        <w:spacing w:line="240" w:lineRule="auto"/>
        <w:ind w:left="709" w:hanging="425"/>
        <w:jc w:val="both"/>
      </w:pPr>
      <w:r>
        <w:t>p</w:t>
      </w:r>
      <w:r w:rsidRPr="00E45810">
        <w:t>rzygotowanie do budowy składowiska głębokiego</w:t>
      </w:r>
      <w:r>
        <w:t xml:space="preserve"> </w:t>
      </w:r>
      <w:r w:rsidRPr="00E45810">
        <w:t xml:space="preserve">odpadów </w:t>
      </w:r>
      <w:r>
        <w:t>promieniotwórczych (SGOP)</w:t>
      </w:r>
      <w:r w:rsidRPr="00E45810">
        <w:t xml:space="preserve"> </w:t>
      </w:r>
      <w:r>
        <w:t>-</w:t>
      </w:r>
      <w:r w:rsidRPr="00E45810">
        <w:t xml:space="preserve"> </w:t>
      </w:r>
      <w:r w:rsidR="00187F60">
        <w:t xml:space="preserve">w </w:t>
      </w:r>
      <w:r>
        <w:t>tym realizacja programu Polskiego Podziemnego Laboratorium Badawczego (</w:t>
      </w:r>
      <w:r w:rsidRPr="00E45810">
        <w:t>PURL</w:t>
      </w:r>
      <w:r>
        <w:t xml:space="preserve">); </w:t>
      </w:r>
    </w:p>
    <w:p w14:paraId="153B1A77" w14:textId="77777777" w:rsidR="00084F8B" w:rsidRDefault="00084F8B" w:rsidP="00844623">
      <w:pPr>
        <w:numPr>
          <w:ilvl w:val="0"/>
          <w:numId w:val="78"/>
        </w:numPr>
        <w:spacing w:line="240" w:lineRule="auto"/>
        <w:ind w:left="709" w:hanging="425"/>
        <w:jc w:val="both"/>
      </w:pPr>
      <w:r>
        <w:t>uruchomienie SGOP przed rozpoczęciem likwidacji pierwszej polskiej elektrowni jądrowej;</w:t>
      </w:r>
    </w:p>
    <w:p w14:paraId="17730E44" w14:textId="77777777" w:rsidR="00084F8B" w:rsidRPr="00E45810" w:rsidRDefault="00084F8B" w:rsidP="00844623">
      <w:pPr>
        <w:numPr>
          <w:ilvl w:val="0"/>
          <w:numId w:val="78"/>
        </w:numPr>
        <w:spacing w:line="240" w:lineRule="auto"/>
        <w:ind w:left="709" w:hanging="425"/>
        <w:jc w:val="both"/>
      </w:pPr>
      <w:r>
        <w:t>modyfikacja</w:t>
      </w:r>
      <w:r w:rsidRPr="00E45810">
        <w:t xml:space="preserve"> </w:t>
      </w:r>
      <w:r>
        <w:t>zasad</w:t>
      </w:r>
      <w:r w:rsidRPr="00E45810">
        <w:t xml:space="preserve"> </w:t>
      </w:r>
      <w:r>
        <w:t xml:space="preserve">postępowania z </w:t>
      </w:r>
      <w:r w:rsidRPr="00E45810">
        <w:t>odpadami promieniotwórczymi</w:t>
      </w:r>
      <w:r>
        <w:t xml:space="preserve"> pod kątem uwzględnienia odpadów promieniotwórczych pochodzących z </w:t>
      </w:r>
      <w:r w:rsidRPr="00E45810">
        <w:t>energetyki jądrowej</w:t>
      </w:r>
      <w:r>
        <w:t>;</w:t>
      </w:r>
    </w:p>
    <w:p w14:paraId="33F701AC" w14:textId="77777777" w:rsidR="00084F8B" w:rsidRDefault="00084F8B" w:rsidP="00844623">
      <w:pPr>
        <w:numPr>
          <w:ilvl w:val="0"/>
          <w:numId w:val="78"/>
        </w:numPr>
        <w:spacing w:line="240" w:lineRule="auto"/>
        <w:ind w:left="709" w:hanging="425"/>
        <w:jc w:val="both"/>
      </w:pPr>
      <w:r>
        <w:t>modyfikacja</w:t>
      </w:r>
      <w:r w:rsidRPr="00E45810">
        <w:t xml:space="preserve"> systemu finansowania </w:t>
      </w:r>
      <w:r>
        <w:t>postępowania z</w:t>
      </w:r>
      <w:r w:rsidRPr="00E45810">
        <w:t xml:space="preserve"> odpadami promieniotwórczymi, opartego na zasadzie „zanieczyszczający płaci”</w:t>
      </w:r>
      <w:r>
        <w:t>;</w:t>
      </w:r>
      <w:r w:rsidRPr="00E45810" w:rsidDel="001E19A0">
        <w:t xml:space="preserve"> </w:t>
      </w:r>
    </w:p>
    <w:p w14:paraId="2607FB74" w14:textId="77777777" w:rsidR="00084F8B" w:rsidRPr="003A38AD" w:rsidRDefault="00084F8B" w:rsidP="00844623">
      <w:pPr>
        <w:numPr>
          <w:ilvl w:val="0"/>
          <w:numId w:val="78"/>
        </w:numPr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>s</w:t>
      </w:r>
      <w:r w:rsidRPr="003A38AD">
        <w:rPr>
          <w:rFonts w:cs="Calibri"/>
        </w:rPr>
        <w:t>tworzenie programu naukowo-badawczego dotyczącego postępowania z odpadami promieniotwórczymi i wypalonym paliwem jądrowym</w:t>
      </w:r>
      <w:r>
        <w:rPr>
          <w:rFonts w:cs="Calibri"/>
        </w:rPr>
        <w:t>;</w:t>
      </w:r>
    </w:p>
    <w:p w14:paraId="1B464E0F" w14:textId="77777777" w:rsidR="00084F8B" w:rsidRPr="00E45810" w:rsidRDefault="00084F8B" w:rsidP="00844623">
      <w:pPr>
        <w:numPr>
          <w:ilvl w:val="0"/>
          <w:numId w:val="78"/>
        </w:numPr>
        <w:ind w:left="709" w:hanging="425"/>
        <w:jc w:val="both"/>
      </w:pPr>
      <w:r>
        <w:t>przygotowanie kadr dla krajowych instytucji i podmiotów gospodarczych zaangażowanych w postępowanie z odpadami promieniotwórczymi</w:t>
      </w:r>
      <w:r w:rsidRPr="008B15C9">
        <w:rPr>
          <w:rFonts w:cs="Calibri"/>
        </w:rPr>
        <w:t xml:space="preserve"> </w:t>
      </w:r>
      <w:r>
        <w:rPr>
          <w:rFonts w:cs="Calibri"/>
        </w:rPr>
        <w:t>oraz nadzór nad tym postępowaniem</w:t>
      </w:r>
      <w:r>
        <w:t xml:space="preserve">. </w:t>
      </w:r>
    </w:p>
    <w:p w14:paraId="732D62C6" w14:textId="77777777" w:rsidR="00084F8B" w:rsidRPr="00F74164" w:rsidRDefault="00084F8B" w:rsidP="00844623">
      <w:pPr>
        <w:pStyle w:val="Nagwek3"/>
        <w:ind w:left="709" w:hanging="425"/>
      </w:pPr>
      <w:bookmarkStart w:id="50" w:name="_Toc397696997"/>
      <w:bookmarkStart w:id="51" w:name="_Toc424116683"/>
      <w:r>
        <w:t>1</w:t>
      </w:r>
      <w:r w:rsidRPr="00F74164">
        <w:t>.1.</w:t>
      </w:r>
      <w:r>
        <w:t>3.</w:t>
      </w:r>
      <w:r w:rsidRPr="00F74164">
        <w:t xml:space="preserve"> Zasady </w:t>
      </w:r>
      <w:r>
        <w:t xml:space="preserve">postępowania z </w:t>
      </w:r>
      <w:r w:rsidRPr="00F74164">
        <w:t>odpadami promieniotwórczymi</w:t>
      </w:r>
      <w:bookmarkEnd w:id="50"/>
      <w:bookmarkEnd w:id="51"/>
      <w:r w:rsidRPr="00F74164">
        <w:t xml:space="preserve"> </w:t>
      </w:r>
    </w:p>
    <w:p w14:paraId="2F333127" w14:textId="7AFE4506" w:rsidR="00084F8B" w:rsidRPr="00E45810" w:rsidRDefault="00084F8B" w:rsidP="00C87B85">
      <w:pPr>
        <w:ind w:firstLine="567"/>
        <w:jc w:val="both"/>
      </w:pPr>
      <w:r w:rsidRPr="00E45810">
        <w:t xml:space="preserve">System </w:t>
      </w:r>
      <w:r>
        <w:t xml:space="preserve">postępowania z </w:t>
      </w:r>
      <w:r w:rsidRPr="00E45810">
        <w:t xml:space="preserve">odpadami promieniotwórczymi i wypalonym paliwem jądrowym </w:t>
      </w:r>
      <w:r w:rsidR="00187F60" w:rsidRPr="00E45810">
        <w:t>w</w:t>
      </w:r>
      <w:r w:rsidR="00187F60">
        <w:t xml:space="preserve"> </w:t>
      </w:r>
      <w:r w:rsidRPr="00E45810">
        <w:t xml:space="preserve">Polsce </w:t>
      </w:r>
      <w:r>
        <w:t xml:space="preserve">oparty jest na następujących zasadach: </w:t>
      </w:r>
    </w:p>
    <w:p w14:paraId="59F17C4F" w14:textId="73F7665A" w:rsidR="00084F8B" w:rsidRPr="00E45810" w:rsidRDefault="00084F8B" w:rsidP="008D5796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Pr="00E45810">
        <w:rPr>
          <w:color w:val="000000"/>
        </w:rPr>
        <w:t>rojektowanie</w:t>
      </w:r>
      <w:r>
        <w:rPr>
          <w:color w:val="000000"/>
        </w:rPr>
        <w:t>,</w:t>
      </w:r>
      <w:r w:rsidRPr="00E45810">
        <w:rPr>
          <w:color w:val="000000"/>
        </w:rPr>
        <w:t xml:space="preserve"> budowa</w:t>
      </w:r>
      <w:r>
        <w:rPr>
          <w:color w:val="000000"/>
        </w:rPr>
        <w:t>, eksploatacja i zamknięcie</w:t>
      </w:r>
      <w:r w:rsidRPr="00E45810">
        <w:rPr>
          <w:color w:val="000000"/>
        </w:rPr>
        <w:t xml:space="preserve"> obiektów</w:t>
      </w:r>
      <w:r w:rsidR="00AD665A">
        <w:rPr>
          <w:color w:val="000000"/>
        </w:rPr>
        <w:t>,</w:t>
      </w:r>
      <w:r w:rsidRPr="00E45810">
        <w:rPr>
          <w:color w:val="000000"/>
        </w:rPr>
        <w:t xml:space="preserve"> </w:t>
      </w:r>
      <w:r>
        <w:rPr>
          <w:color w:val="000000"/>
        </w:rPr>
        <w:t>zapewniające</w:t>
      </w:r>
      <w:r w:rsidRPr="00E45810">
        <w:rPr>
          <w:color w:val="000000"/>
        </w:rPr>
        <w:t xml:space="preserve"> bezpieczeństw</w:t>
      </w:r>
      <w:r>
        <w:rPr>
          <w:color w:val="000000"/>
        </w:rPr>
        <w:t>o</w:t>
      </w:r>
      <w:r w:rsidRPr="00E45810">
        <w:rPr>
          <w:color w:val="000000"/>
        </w:rPr>
        <w:t xml:space="preserve"> jądrowe</w:t>
      </w:r>
      <w:r>
        <w:rPr>
          <w:color w:val="000000"/>
        </w:rPr>
        <w:t xml:space="preserve"> i ochronę radiologiczną</w:t>
      </w:r>
      <w:r w:rsidRPr="00E45810">
        <w:rPr>
          <w:color w:val="000000"/>
        </w:rPr>
        <w:t>;</w:t>
      </w:r>
    </w:p>
    <w:p w14:paraId="203AC60E" w14:textId="77777777" w:rsidR="00084F8B" w:rsidRPr="00E45810" w:rsidRDefault="00084F8B" w:rsidP="008D5796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m</w:t>
      </w:r>
      <w:r w:rsidRPr="00E45810">
        <w:rPr>
          <w:color w:val="000000"/>
        </w:rPr>
        <w:t xml:space="preserve">inimalizacja ilości, objętości i aktywności odpadów promieniotwórczych oraz </w:t>
      </w:r>
      <w:r>
        <w:rPr>
          <w:color w:val="000000"/>
        </w:rPr>
        <w:t>segregowanie, kwalifikowanie</w:t>
      </w:r>
      <w:r w:rsidRPr="00E45810">
        <w:rPr>
          <w:color w:val="000000"/>
        </w:rPr>
        <w:t xml:space="preserve">, przetwarzanie, pakowanie i odpowiednie znakowanie opakowanych odpadów promieniotwórczych </w:t>
      </w:r>
      <w:r>
        <w:rPr>
          <w:color w:val="000000"/>
        </w:rPr>
        <w:t>uwzględniające</w:t>
      </w:r>
      <w:r w:rsidRPr="00E45810">
        <w:rPr>
          <w:color w:val="000000"/>
        </w:rPr>
        <w:t xml:space="preserve"> ich </w:t>
      </w:r>
      <w:r>
        <w:rPr>
          <w:color w:val="000000"/>
        </w:rPr>
        <w:t>skład</w:t>
      </w:r>
      <w:r w:rsidRPr="00E45810">
        <w:rPr>
          <w:color w:val="000000"/>
        </w:rPr>
        <w:t xml:space="preserve">; </w:t>
      </w:r>
    </w:p>
    <w:p w14:paraId="09CCDB62" w14:textId="77777777" w:rsidR="00084F8B" w:rsidRDefault="00084F8B" w:rsidP="008D5796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E45810">
        <w:rPr>
          <w:color w:val="000000"/>
        </w:rPr>
        <w:t xml:space="preserve"> „zanieczyszczający płaci”;</w:t>
      </w:r>
    </w:p>
    <w:p w14:paraId="1308FF58" w14:textId="77777777" w:rsidR="00084F8B" w:rsidRPr="00E45810" w:rsidRDefault="00084F8B" w:rsidP="008D5796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stosowanie na wszystkich etapach postępowania z odpadami promieniotwórczymi i wypalonym paliwem jądrowym opartego na dowodach i udokumentowanego procesu decyzyjnego;  </w:t>
      </w:r>
    </w:p>
    <w:p w14:paraId="5B38840C" w14:textId="77777777" w:rsidR="00084F8B" w:rsidRPr="002B6F8A" w:rsidRDefault="00084F8B" w:rsidP="0012437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2B6F8A">
        <w:rPr>
          <w:color w:val="000000"/>
        </w:rPr>
        <w:t>stosowanie otwartego cyklu paliwowego oraz monitorowanie trendów w zakresie cyklu paliwowego. W przypadku powstania ekonomicznych i technicznych warunków korzystnych dla wprowadzenia cyklu zamkniętego</w:t>
      </w:r>
      <w:r>
        <w:rPr>
          <w:color w:val="000000"/>
        </w:rPr>
        <w:t>,</w:t>
      </w:r>
      <w:r w:rsidRPr="002B6F8A">
        <w:rPr>
          <w:color w:val="000000"/>
        </w:rPr>
        <w:t xml:space="preserve"> zostanie dokonana</w:t>
      </w:r>
      <w:r>
        <w:rPr>
          <w:color w:val="000000"/>
        </w:rPr>
        <w:t xml:space="preserve"> analiza</w:t>
      </w:r>
      <w:r w:rsidRPr="002B6F8A">
        <w:rPr>
          <w:color w:val="000000"/>
        </w:rPr>
        <w:t xml:space="preserve"> zasadności i celowości jego wprowadzenia w Polsce;</w:t>
      </w:r>
    </w:p>
    <w:p w14:paraId="222E993A" w14:textId="77777777" w:rsidR="00084F8B" w:rsidRPr="00E45810" w:rsidRDefault="00084F8B" w:rsidP="0012437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m</w:t>
      </w:r>
      <w:r w:rsidRPr="00E45810">
        <w:rPr>
          <w:color w:val="000000"/>
        </w:rPr>
        <w:t>onitorowanie przechowywania, składowania oraz transportu odpadów promieniotwórczych i</w:t>
      </w:r>
      <w:r>
        <w:rPr>
          <w:color w:val="000000"/>
        </w:rPr>
        <w:t> </w:t>
      </w:r>
      <w:r w:rsidRPr="00E45810">
        <w:rPr>
          <w:color w:val="000000"/>
        </w:rPr>
        <w:t>wypalonego paliwa jądrowego;</w:t>
      </w:r>
    </w:p>
    <w:p w14:paraId="70B909E1" w14:textId="458DB497" w:rsidR="00084F8B" w:rsidRPr="00E45810" w:rsidRDefault="00084F8B" w:rsidP="0012437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z</w:t>
      </w:r>
      <w:r w:rsidRPr="00E45810">
        <w:rPr>
          <w:color w:val="000000"/>
        </w:rPr>
        <w:t xml:space="preserve">akaz </w:t>
      </w:r>
      <w:r>
        <w:rPr>
          <w:color w:val="000000"/>
        </w:rPr>
        <w:t xml:space="preserve">wwozu do Polski odpadów promieniotwórczych w celu składowania oraz wywozu, </w:t>
      </w:r>
      <w:r w:rsidR="002A457A" w:rsidRPr="00E45810">
        <w:rPr>
          <w:color w:val="000000"/>
        </w:rPr>
        <w:t>z</w:t>
      </w:r>
      <w:r w:rsidR="002A457A">
        <w:rPr>
          <w:color w:val="000000"/>
        </w:rPr>
        <w:t xml:space="preserve"> </w:t>
      </w:r>
      <w:r w:rsidRPr="00E45810">
        <w:rPr>
          <w:color w:val="000000"/>
        </w:rPr>
        <w:t xml:space="preserve">wyjątkiem </w:t>
      </w:r>
      <w:r>
        <w:rPr>
          <w:color w:val="000000"/>
        </w:rPr>
        <w:t>wywozu do kraju, z którym zawarto porozumienie w sprawie składowania odpadów promieniotwórczych w składowiskach odpadów promieniotwórczych</w:t>
      </w:r>
      <w:r w:rsidRPr="00E45810">
        <w:rPr>
          <w:color w:val="000000"/>
        </w:rPr>
        <w:t xml:space="preserve">; </w:t>
      </w:r>
    </w:p>
    <w:p w14:paraId="05BCE558" w14:textId="77777777" w:rsidR="00084F8B" w:rsidRPr="00E45810" w:rsidRDefault="00084F8B" w:rsidP="0012437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stosowanie, zgodnego ze standardami międzynarodowymi, </w:t>
      </w:r>
      <w:r w:rsidRPr="00E45810">
        <w:rPr>
          <w:color w:val="000000"/>
        </w:rPr>
        <w:t>podejści</w:t>
      </w:r>
      <w:r>
        <w:rPr>
          <w:color w:val="000000"/>
        </w:rPr>
        <w:t>a</w:t>
      </w:r>
      <w:r w:rsidRPr="00E45810">
        <w:rPr>
          <w:color w:val="000000"/>
        </w:rPr>
        <w:t xml:space="preserve"> do zagrożeń</w:t>
      </w:r>
      <w:r>
        <w:rPr>
          <w:color w:val="000000"/>
        </w:rPr>
        <w:t xml:space="preserve"> radiacyjnych</w:t>
      </w:r>
      <w:r w:rsidRPr="00E45810">
        <w:rPr>
          <w:color w:val="000000"/>
        </w:rPr>
        <w:t xml:space="preserve"> i</w:t>
      </w:r>
      <w:r>
        <w:rPr>
          <w:color w:val="000000"/>
        </w:rPr>
        <w:t> </w:t>
      </w:r>
      <w:r w:rsidRPr="00E45810">
        <w:rPr>
          <w:color w:val="000000"/>
        </w:rPr>
        <w:t>postępowania awaryjnego oraz zarządzania kryzysowego</w:t>
      </w:r>
      <w:r>
        <w:rPr>
          <w:color w:val="000000"/>
        </w:rPr>
        <w:t xml:space="preserve">; </w:t>
      </w:r>
    </w:p>
    <w:p w14:paraId="3AB703F6" w14:textId="77777777" w:rsidR="00084F8B" w:rsidRPr="00E45810" w:rsidRDefault="00084F8B" w:rsidP="0012437C">
      <w:pPr>
        <w:numPr>
          <w:ilvl w:val="0"/>
          <w:numId w:val="2"/>
        </w:numPr>
        <w:spacing w:line="240" w:lineRule="auto"/>
        <w:ind w:left="714" w:hanging="357"/>
        <w:jc w:val="both"/>
        <w:rPr>
          <w:color w:val="000000"/>
        </w:rPr>
      </w:pPr>
      <w:r w:rsidRPr="00474E5C">
        <w:rPr>
          <w:rFonts w:cs="Calibri"/>
          <w:szCs w:val="24"/>
        </w:rPr>
        <w:t>realizowane w sposób ciągły</w:t>
      </w:r>
      <w:r w:rsidRPr="00474E5C">
        <w:rPr>
          <w:color w:val="000000"/>
          <w:sz w:val="16"/>
        </w:rPr>
        <w:t xml:space="preserve"> </w:t>
      </w:r>
      <w:r w:rsidRPr="00474E5C">
        <w:rPr>
          <w:rFonts w:cs="Calibri"/>
          <w:szCs w:val="24"/>
        </w:rPr>
        <w:t>szkolenie kadr gwarantujących zachowanie bezpieczeństwa w postępowaniu z odpadami promieniotwórczymi i wypalonym paliwem jądrowym</w:t>
      </w:r>
      <w:r w:rsidR="00EF3A75">
        <w:rPr>
          <w:rFonts w:cs="Calibri"/>
          <w:szCs w:val="24"/>
        </w:rPr>
        <w:t>;</w:t>
      </w:r>
      <w:r w:rsidRPr="00474E5C">
        <w:rPr>
          <w:rFonts w:cs="Calibri"/>
          <w:szCs w:val="24"/>
        </w:rPr>
        <w:t xml:space="preserve"> </w:t>
      </w:r>
    </w:p>
    <w:p w14:paraId="1A1FC78A" w14:textId="77777777" w:rsidR="00084F8B" w:rsidRPr="00E45810" w:rsidRDefault="00084F8B" w:rsidP="0012437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r</w:t>
      </w:r>
      <w:r w:rsidRPr="00E45810">
        <w:rPr>
          <w:color w:val="000000"/>
        </w:rPr>
        <w:t>ozwijanie działalności szkoleniowo-informacyjnej</w:t>
      </w:r>
      <w:r>
        <w:rPr>
          <w:color w:val="000000"/>
        </w:rPr>
        <w:t>;</w:t>
      </w:r>
    </w:p>
    <w:p w14:paraId="5036C46F" w14:textId="77777777" w:rsidR="00084F8B" w:rsidRPr="00E45810" w:rsidRDefault="00084F8B" w:rsidP="0012437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Pr="00E45810">
        <w:rPr>
          <w:color w:val="000000"/>
        </w:rPr>
        <w:t xml:space="preserve">rzejrzystość </w:t>
      </w:r>
      <w:r>
        <w:rPr>
          <w:color w:val="000000"/>
        </w:rPr>
        <w:t xml:space="preserve">prowadzonych działań </w:t>
      </w:r>
      <w:r w:rsidRPr="00E45810">
        <w:rPr>
          <w:color w:val="000000"/>
        </w:rPr>
        <w:t xml:space="preserve">i </w:t>
      </w:r>
      <w:r>
        <w:rPr>
          <w:color w:val="000000"/>
        </w:rPr>
        <w:t xml:space="preserve">informowanie </w:t>
      </w:r>
      <w:r w:rsidRPr="00E45810">
        <w:rPr>
          <w:color w:val="000000"/>
        </w:rPr>
        <w:t>społeczeństwa</w:t>
      </w:r>
      <w:r>
        <w:rPr>
          <w:color w:val="000000"/>
        </w:rPr>
        <w:t>;</w:t>
      </w:r>
      <w:r w:rsidRPr="00E45810">
        <w:rPr>
          <w:color w:val="000000"/>
        </w:rPr>
        <w:t xml:space="preserve"> </w:t>
      </w:r>
    </w:p>
    <w:p w14:paraId="601AC537" w14:textId="77777777" w:rsidR="00084F8B" w:rsidRPr="00E45810" w:rsidRDefault="00084F8B" w:rsidP="0012437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zapewnienie udziału społeczeństwa w podejmowaniu decyzji;</w:t>
      </w:r>
      <w:r w:rsidRPr="00E45810">
        <w:rPr>
          <w:color w:val="000000"/>
        </w:rPr>
        <w:t xml:space="preserve"> </w:t>
      </w:r>
    </w:p>
    <w:p w14:paraId="7E0CC896" w14:textId="77777777" w:rsidR="00084F8B" w:rsidRDefault="00084F8B" w:rsidP="0012437C">
      <w:pPr>
        <w:numPr>
          <w:ilvl w:val="0"/>
          <w:numId w:val="2"/>
        </w:numPr>
        <w:spacing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stała </w:t>
      </w:r>
      <w:r w:rsidRPr="00E45810">
        <w:rPr>
          <w:color w:val="000000"/>
        </w:rPr>
        <w:t>współprac</w:t>
      </w:r>
      <w:r>
        <w:rPr>
          <w:color w:val="000000"/>
        </w:rPr>
        <w:t>a</w:t>
      </w:r>
      <w:r w:rsidRPr="00E45810">
        <w:rPr>
          <w:color w:val="000000"/>
        </w:rPr>
        <w:t xml:space="preserve"> z organizacjami międzynarodowymi i instytucjami zajmującymi się </w:t>
      </w:r>
      <w:r>
        <w:rPr>
          <w:color w:val="000000"/>
        </w:rPr>
        <w:t>postępowaniem z </w:t>
      </w:r>
      <w:r w:rsidRPr="00E45810">
        <w:rPr>
          <w:color w:val="000000"/>
        </w:rPr>
        <w:t>odpadami promieniotwórczymi i wypalonym paliwem jądrowym</w:t>
      </w:r>
      <w:r>
        <w:rPr>
          <w:color w:val="000000"/>
        </w:rPr>
        <w:t xml:space="preserve">; </w:t>
      </w:r>
    </w:p>
    <w:p w14:paraId="4B781B20" w14:textId="77777777" w:rsidR="00084F8B" w:rsidRDefault="00084F8B" w:rsidP="0012437C">
      <w:pPr>
        <w:numPr>
          <w:ilvl w:val="0"/>
          <w:numId w:val="2"/>
        </w:numPr>
        <w:spacing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stosowanie najnowszych osiągnięć nauki i techniki w dziedzinie postępowania z odpadami promieniotwórczymi i wypalonym paliwem jądrowym.</w:t>
      </w:r>
    </w:p>
    <w:p w14:paraId="59B5858C" w14:textId="77777777" w:rsidR="00084F8B" w:rsidRPr="00E45810" w:rsidRDefault="00084F8B" w:rsidP="005E7970">
      <w:pPr>
        <w:spacing w:line="240" w:lineRule="auto"/>
        <w:ind w:left="714"/>
        <w:jc w:val="both"/>
        <w:rPr>
          <w:color w:val="000000"/>
        </w:rPr>
      </w:pPr>
    </w:p>
    <w:p w14:paraId="23D12D6B" w14:textId="77777777" w:rsidR="00084F8B" w:rsidRPr="00F74164" w:rsidRDefault="00084F8B" w:rsidP="008D5796">
      <w:pPr>
        <w:pStyle w:val="Nagwek2"/>
      </w:pPr>
      <w:bookmarkStart w:id="52" w:name="_Toc397696998"/>
      <w:bookmarkStart w:id="53" w:name="_Toc424116684"/>
      <w:r>
        <w:t>1</w:t>
      </w:r>
      <w:r w:rsidRPr="00F74164">
        <w:t xml:space="preserve">.2. Sposób monitorowania i oceny stopnia realizacji </w:t>
      </w:r>
      <w:r>
        <w:t>Krajowego p</w:t>
      </w:r>
      <w:r w:rsidRPr="00F74164">
        <w:t>lanu</w:t>
      </w:r>
      <w:bookmarkEnd w:id="52"/>
      <w:bookmarkEnd w:id="53"/>
    </w:p>
    <w:p w14:paraId="2AC82861" w14:textId="3FB7D692" w:rsidR="00084F8B" w:rsidRPr="00E45810" w:rsidRDefault="00084F8B" w:rsidP="00C87B85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Minister właściwy ds. </w:t>
      </w:r>
      <w:r w:rsidR="00100ECE">
        <w:rPr>
          <w:color w:val="000000"/>
        </w:rPr>
        <w:t>energii</w:t>
      </w:r>
      <w:r>
        <w:rPr>
          <w:color w:val="000000"/>
        </w:rPr>
        <w:t xml:space="preserve"> monitoruje realizację Krajowego planu. </w:t>
      </w:r>
      <w:r w:rsidR="002A457A" w:rsidRPr="00E45810">
        <w:rPr>
          <w:color w:val="000000"/>
        </w:rPr>
        <w:t>W</w:t>
      </w:r>
      <w:r w:rsidR="002A457A">
        <w:rPr>
          <w:color w:val="000000"/>
        </w:rPr>
        <w:t xml:space="preserve"> </w:t>
      </w:r>
      <w:r w:rsidRPr="00E45810">
        <w:rPr>
          <w:color w:val="000000"/>
        </w:rPr>
        <w:t>przypadku wystąpienia od</w:t>
      </w:r>
      <w:r>
        <w:rPr>
          <w:color w:val="000000"/>
        </w:rPr>
        <w:t>stępstw</w:t>
      </w:r>
      <w:r w:rsidRPr="00E45810">
        <w:rPr>
          <w:color w:val="000000"/>
        </w:rPr>
        <w:t xml:space="preserve"> od zamierzonych rezultatów przeprowadza analiz</w:t>
      </w:r>
      <w:r>
        <w:rPr>
          <w:color w:val="000000"/>
        </w:rPr>
        <w:t>ę</w:t>
      </w:r>
      <w:r w:rsidRPr="00E45810">
        <w:rPr>
          <w:color w:val="000000"/>
        </w:rPr>
        <w:t xml:space="preserve"> przyczyn ich powstania oraz </w:t>
      </w:r>
      <w:r>
        <w:rPr>
          <w:color w:val="000000"/>
        </w:rPr>
        <w:t xml:space="preserve">podejmuje </w:t>
      </w:r>
      <w:r w:rsidRPr="00E45810">
        <w:rPr>
          <w:color w:val="000000"/>
        </w:rPr>
        <w:t>stosowne działania korygujące.</w:t>
      </w:r>
    </w:p>
    <w:p w14:paraId="5BC1E827" w14:textId="77777777" w:rsidR="00084F8B" w:rsidRPr="00E45810" w:rsidRDefault="00084F8B" w:rsidP="00C5578D">
      <w:pPr>
        <w:tabs>
          <w:tab w:val="left" w:pos="0"/>
        </w:tabs>
        <w:jc w:val="both"/>
      </w:pPr>
      <w:r w:rsidRPr="00E45810">
        <w:rPr>
          <w:color w:val="000000"/>
        </w:rPr>
        <w:t xml:space="preserve">Wyniki monitoringu oraz </w:t>
      </w:r>
      <w:r>
        <w:rPr>
          <w:color w:val="000000"/>
        </w:rPr>
        <w:t xml:space="preserve">ocena </w:t>
      </w:r>
      <w:r w:rsidRPr="00E45810">
        <w:rPr>
          <w:color w:val="000000"/>
        </w:rPr>
        <w:t>stan</w:t>
      </w:r>
      <w:r>
        <w:rPr>
          <w:color w:val="000000"/>
        </w:rPr>
        <w:t>u</w:t>
      </w:r>
      <w:r w:rsidRPr="00E45810">
        <w:rPr>
          <w:color w:val="000000"/>
        </w:rPr>
        <w:t xml:space="preserve"> realizacji </w:t>
      </w:r>
      <w:r>
        <w:rPr>
          <w:color w:val="000000"/>
        </w:rPr>
        <w:t xml:space="preserve">Krajowego planu </w:t>
      </w:r>
      <w:r w:rsidRPr="00E45810">
        <w:rPr>
          <w:color w:val="000000"/>
        </w:rPr>
        <w:t xml:space="preserve">będą zawarte w sprawozdaniach </w:t>
      </w:r>
      <w:r>
        <w:rPr>
          <w:color w:val="000000"/>
        </w:rPr>
        <w:t>m</w:t>
      </w:r>
      <w:r w:rsidRPr="00E45810">
        <w:rPr>
          <w:color w:val="000000"/>
        </w:rPr>
        <w:t xml:space="preserve">inistra </w:t>
      </w:r>
      <w:r>
        <w:rPr>
          <w:color w:val="000000"/>
        </w:rPr>
        <w:t xml:space="preserve">właściwego ds. </w:t>
      </w:r>
      <w:r w:rsidR="00100ECE">
        <w:rPr>
          <w:color w:val="000000"/>
        </w:rPr>
        <w:t xml:space="preserve">energii </w:t>
      </w:r>
      <w:r w:rsidRPr="00E45810">
        <w:rPr>
          <w:color w:val="000000"/>
        </w:rPr>
        <w:t>przedkładanych</w:t>
      </w:r>
      <w:r>
        <w:rPr>
          <w:color w:val="000000"/>
        </w:rPr>
        <w:t xml:space="preserve"> do akceptacji</w:t>
      </w:r>
      <w:r w:rsidRPr="00E45810">
        <w:rPr>
          <w:color w:val="000000"/>
        </w:rPr>
        <w:t xml:space="preserve"> Radzie Ministrów, stosownie do wymogów </w:t>
      </w:r>
      <w:r>
        <w:rPr>
          <w:color w:val="000000"/>
        </w:rPr>
        <w:t xml:space="preserve">określonych w art. 57f </w:t>
      </w:r>
      <w:r w:rsidRPr="00E45810">
        <w:rPr>
          <w:color w:val="000000"/>
        </w:rPr>
        <w:t>ustawy – Prawo atomowe.</w:t>
      </w:r>
    </w:p>
    <w:p w14:paraId="38F414FB" w14:textId="77777777" w:rsidR="00084F8B" w:rsidRDefault="00084F8B" w:rsidP="00536F44">
      <w:pPr>
        <w:jc w:val="both"/>
        <w:rPr>
          <w:color w:val="000000"/>
        </w:rPr>
      </w:pPr>
      <w:r w:rsidRPr="00E45810">
        <w:rPr>
          <w:color w:val="000000"/>
        </w:rPr>
        <w:t>Zgodnie z art. 57</w:t>
      </w:r>
      <w:r>
        <w:rPr>
          <w:color w:val="000000"/>
        </w:rPr>
        <w:t>c</w:t>
      </w:r>
      <w:r w:rsidRPr="00E45810">
        <w:rPr>
          <w:color w:val="000000"/>
        </w:rPr>
        <w:t xml:space="preserve"> ust</w:t>
      </w:r>
      <w:r>
        <w:rPr>
          <w:color w:val="000000"/>
        </w:rPr>
        <w:t>.</w:t>
      </w:r>
      <w:r w:rsidRPr="00E45810">
        <w:rPr>
          <w:color w:val="000000"/>
        </w:rPr>
        <w:t xml:space="preserve"> </w:t>
      </w:r>
      <w:r>
        <w:rPr>
          <w:color w:val="000000"/>
        </w:rPr>
        <w:t>4</w:t>
      </w:r>
      <w:r w:rsidRPr="00E45810">
        <w:rPr>
          <w:color w:val="000000"/>
        </w:rPr>
        <w:t xml:space="preserve"> </w:t>
      </w:r>
      <w:r>
        <w:rPr>
          <w:color w:val="000000"/>
        </w:rPr>
        <w:t>ustawy – Prawo atomowe</w:t>
      </w:r>
      <w:r w:rsidRPr="00E45810">
        <w:rPr>
          <w:color w:val="000000"/>
        </w:rPr>
        <w:t xml:space="preserve">, </w:t>
      </w:r>
      <w:r>
        <w:rPr>
          <w:color w:val="000000"/>
        </w:rPr>
        <w:t>Krajowy p</w:t>
      </w:r>
      <w:r w:rsidRPr="00E45810">
        <w:rPr>
          <w:color w:val="000000"/>
        </w:rPr>
        <w:t xml:space="preserve">lan jest </w:t>
      </w:r>
      <w:r>
        <w:rPr>
          <w:color w:val="000000"/>
        </w:rPr>
        <w:t xml:space="preserve">aktualizowany nie rzadziej niż raz na cztery lata, </w:t>
      </w:r>
      <w:r w:rsidRPr="00E45810">
        <w:rPr>
          <w:color w:val="000000"/>
        </w:rPr>
        <w:t xml:space="preserve">a jego kolejne wersje uwzględniać mają </w:t>
      </w:r>
      <w:r>
        <w:rPr>
          <w:color w:val="000000"/>
        </w:rPr>
        <w:t xml:space="preserve">postęp techniczny i naukowy, dobre praktyki w zakresie gospodarowania wypalonym paliwem i odpadami promieniotwórczymi oraz wnioski i zalecenia będące wynikiem międzynarodowego przeglądu zewnętrznego. </w:t>
      </w:r>
    </w:p>
    <w:p w14:paraId="06D5C1D8" w14:textId="3E406EB9" w:rsidR="00084F8B" w:rsidRDefault="00084F8B" w:rsidP="008D5796">
      <w:pPr>
        <w:pStyle w:val="Nagwek2"/>
      </w:pPr>
      <w:bookmarkStart w:id="54" w:name="_Toc397696999"/>
      <w:bookmarkStart w:id="55" w:name="_Toc424116685"/>
      <w:r w:rsidRPr="00B7178B">
        <w:t>1.3</w:t>
      </w:r>
      <w:r>
        <w:t>.</w:t>
      </w:r>
      <w:r w:rsidRPr="00B7178B">
        <w:t xml:space="preserve"> Zadania</w:t>
      </w:r>
      <w:r>
        <w:t>,</w:t>
      </w:r>
      <w:r w:rsidRPr="00B7178B">
        <w:t xml:space="preserve"> których realizacja jest niezbędna dla prawidłowe</w:t>
      </w:r>
      <w:r>
        <w:t xml:space="preserve">go postępowania </w:t>
      </w:r>
      <w:r w:rsidR="00500C53">
        <w:br/>
      </w:r>
      <w:r>
        <w:t xml:space="preserve">z </w:t>
      </w:r>
      <w:r w:rsidRPr="00B7178B">
        <w:t>odpadami promieniotwórczymi w Polsce</w:t>
      </w:r>
      <w:bookmarkEnd w:id="54"/>
      <w:bookmarkEnd w:id="55"/>
      <w:r w:rsidRPr="00B7178B">
        <w:t xml:space="preserve"> </w:t>
      </w:r>
    </w:p>
    <w:p w14:paraId="517A3B15" w14:textId="0489AA98" w:rsidR="00084F8B" w:rsidRDefault="00084F8B" w:rsidP="008D5796">
      <w:pPr>
        <w:pStyle w:val="Nagwek3"/>
      </w:pPr>
      <w:bookmarkStart w:id="56" w:name="_Toc397697000"/>
      <w:bookmarkStart w:id="57" w:name="_Toc424116686"/>
      <w:r>
        <w:t>1</w:t>
      </w:r>
      <w:r w:rsidRPr="00F74164">
        <w:t>.3.1</w:t>
      </w:r>
      <w:r>
        <w:t>.</w:t>
      </w:r>
      <w:r w:rsidRPr="00F74164">
        <w:t xml:space="preserve"> Zadania w zakresie</w:t>
      </w:r>
      <w:r>
        <w:t xml:space="preserve"> postępowania z </w:t>
      </w:r>
      <w:r w:rsidRPr="00F74164">
        <w:t>odpad</w:t>
      </w:r>
      <w:r>
        <w:t>ami</w:t>
      </w:r>
      <w:r w:rsidRPr="00F74164">
        <w:t xml:space="preserve"> promieniotwórczy</w:t>
      </w:r>
      <w:r>
        <w:t xml:space="preserve">mi </w:t>
      </w:r>
      <w:r w:rsidRPr="00F74164">
        <w:t>nisko</w:t>
      </w:r>
      <w:r w:rsidR="00500C53">
        <w:t xml:space="preserve"> </w:t>
      </w:r>
      <w:r w:rsidRPr="00F74164">
        <w:t xml:space="preserve">- </w:t>
      </w:r>
      <w:r w:rsidR="00500C53">
        <w:br/>
      </w:r>
      <w:r w:rsidRPr="00F74164">
        <w:t>i średnioaktywny</w:t>
      </w:r>
      <w:r>
        <w:t>mi</w:t>
      </w:r>
      <w:bookmarkEnd w:id="56"/>
      <w:bookmarkEnd w:id="57"/>
      <w:r w:rsidRPr="00F74164">
        <w:t xml:space="preserve"> </w:t>
      </w:r>
    </w:p>
    <w:p w14:paraId="593976A2" w14:textId="77777777" w:rsidR="00084F8B" w:rsidRPr="006020AF" w:rsidRDefault="00084F8B" w:rsidP="008D5796">
      <w:pPr>
        <w:pStyle w:val="Nagwek4"/>
      </w:pPr>
      <w:r>
        <w:t>1</w:t>
      </w:r>
      <w:r w:rsidRPr="00F74164">
        <w:t>.3.1.1</w:t>
      </w:r>
      <w:r>
        <w:t>.</w:t>
      </w:r>
      <w:r w:rsidRPr="00F74164">
        <w:t xml:space="preserve"> Przygotowanie </w:t>
      </w:r>
      <w:r>
        <w:t xml:space="preserve">do </w:t>
      </w:r>
      <w:r w:rsidRPr="00F74164">
        <w:t>zamknięcia</w:t>
      </w:r>
      <w:r>
        <w:t>,</w:t>
      </w:r>
      <w:r w:rsidRPr="00F74164">
        <w:t xml:space="preserve"> </w:t>
      </w:r>
      <w:r>
        <w:t>ostateczne</w:t>
      </w:r>
      <w:r w:rsidRPr="00F74164">
        <w:t xml:space="preserve"> zamknięcie </w:t>
      </w:r>
      <w:r>
        <w:t xml:space="preserve">I DŁUGOTRWAŁY MONITORING </w:t>
      </w:r>
      <w:r w:rsidRPr="00F74164">
        <w:t>Krajowego Składowiska Odpadów Promieniotwórczych w Różanie</w:t>
      </w:r>
    </w:p>
    <w:p w14:paraId="0C89152C" w14:textId="77777777" w:rsidR="00084F8B" w:rsidRPr="00042FD4" w:rsidRDefault="00084F8B" w:rsidP="00042FD4">
      <w:pPr>
        <w:ind w:firstLine="357"/>
      </w:pPr>
    </w:p>
    <w:p w14:paraId="01FDF72E" w14:textId="74584CA6" w:rsidR="00084F8B" w:rsidRPr="00E45810" w:rsidRDefault="00084F8B" w:rsidP="00C87B85">
      <w:pPr>
        <w:spacing w:after="240"/>
        <w:ind w:firstLine="567"/>
        <w:jc w:val="both"/>
      </w:pPr>
      <w:r w:rsidRPr="00E45810">
        <w:t>Celem podejmowanych działań jest przygotowanie</w:t>
      </w:r>
      <w:r>
        <w:t xml:space="preserve"> do zamknięcia</w:t>
      </w:r>
      <w:r w:rsidRPr="00DB219B">
        <w:t xml:space="preserve"> </w:t>
      </w:r>
      <w:r w:rsidRPr="00E45810">
        <w:t>KSOP w Różanie w związku z</w:t>
      </w:r>
      <w:r>
        <w:t> </w:t>
      </w:r>
      <w:r w:rsidR="00BB691A">
        <w:t>jego zapełni</w:t>
      </w:r>
      <w:r w:rsidR="008836A6">
        <w:t xml:space="preserve">aniem </w:t>
      </w:r>
      <w:r w:rsidR="00BB691A">
        <w:t>się oraz nieprzygotowaniem na planowany rozwój energetyki jądrowej</w:t>
      </w:r>
      <w:r w:rsidRPr="00E45810">
        <w:t xml:space="preserve">, a następnie </w:t>
      </w:r>
      <w:r>
        <w:t xml:space="preserve">jego ostateczne </w:t>
      </w:r>
      <w:r w:rsidRPr="00E45810">
        <w:t xml:space="preserve">zamknięcie </w:t>
      </w:r>
      <w:r>
        <w:t>i długotrwały monitoring</w:t>
      </w:r>
      <w:r w:rsidRPr="00E45810">
        <w:t xml:space="preserve">. </w:t>
      </w:r>
    </w:p>
    <w:p w14:paraId="07004A0D" w14:textId="77777777" w:rsidR="00084F8B" w:rsidRPr="00B91937" w:rsidRDefault="00084F8B" w:rsidP="00B91937">
      <w:pPr>
        <w:spacing w:after="120"/>
        <w:ind w:left="357" w:hanging="357"/>
        <w:jc w:val="both"/>
        <w:rPr>
          <w:b/>
        </w:rPr>
      </w:pPr>
      <w:r w:rsidRPr="00B91937">
        <w:rPr>
          <w:b/>
        </w:rPr>
        <w:t>Odpowiedzialni za realizację:</w:t>
      </w:r>
    </w:p>
    <w:p w14:paraId="312579E4" w14:textId="70BE8C36" w:rsidR="00084F8B" w:rsidRDefault="00084F8B" w:rsidP="0012437C">
      <w:pPr>
        <w:numPr>
          <w:ilvl w:val="0"/>
          <w:numId w:val="80"/>
        </w:numPr>
        <w:spacing w:line="240" w:lineRule="auto"/>
        <w:ind w:left="714" w:hanging="357"/>
        <w:jc w:val="both"/>
      </w:pPr>
      <w:r w:rsidRPr="00E45810">
        <w:t>Minister</w:t>
      </w:r>
      <w:r>
        <w:t xml:space="preserve"> właściwy ds.</w:t>
      </w:r>
      <w:r w:rsidRPr="00E45810">
        <w:t xml:space="preserve"> </w:t>
      </w:r>
      <w:r w:rsidR="0006058C">
        <w:t>energii</w:t>
      </w:r>
      <w:r>
        <w:t xml:space="preserve"> – organ wiodący;</w:t>
      </w:r>
    </w:p>
    <w:p w14:paraId="05C1EDE6" w14:textId="77777777" w:rsidR="00084F8B" w:rsidRPr="00E45810" w:rsidRDefault="00084F8B" w:rsidP="0012437C">
      <w:pPr>
        <w:numPr>
          <w:ilvl w:val="0"/>
          <w:numId w:val="80"/>
        </w:numPr>
        <w:spacing w:line="240" w:lineRule="auto"/>
        <w:ind w:left="714" w:hanging="357"/>
        <w:jc w:val="both"/>
      </w:pPr>
      <w:r w:rsidRPr="00E45810">
        <w:t xml:space="preserve">Minister </w:t>
      </w:r>
      <w:r>
        <w:t>właściwy ds.</w:t>
      </w:r>
      <w:r w:rsidRPr="00E45810">
        <w:t xml:space="preserve"> </w:t>
      </w:r>
      <w:r>
        <w:t>ś</w:t>
      </w:r>
      <w:r w:rsidRPr="00E45810">
        <w:t>rodowiska</w:t>
      </w:r>
      <w:r>
        <w:t>;</w:t>
      </w:r>
    </w:p>
    <w:p w14:paraId="7BD03F1F" w14:textId="1AF46366" w:rsidR="00084F8B" w:rsidRDefault="00084F8B" w:rsidP="0012437C">
      <w:pPr>
        <w:numPr>
          <w:ilvl w:val="0"/>
          <w:numId w:val="80"/>
        </w:numPr>
        <w:spacing w:line="240" w:lineRule="auto"/>
        <w:ind w:left="714" w:hanging="357"/>
        <w:jc w:val="both"/>
      </w:pPr>
      <w:r w:rsidRPr="009C15CA">
        <w:rPr>
          <w:rFonts w:cs="Calibri"/>
          <w:bCs/>
        </w:rPr>
        <w:t xml:space="preserve">Państwowe przedsiębiorstwo użyteczności publicznej – Zakład Unieszkodliwiania Odpadów Promieniotwórczych </w:t>
      </w:r>
      <w:r>
        <w:rPr>
          <w:rFonts w:cs="Calibri"/>
          <w:bCs/>
        </w:rPr>
        <w:t>(</w:t>
      </w:r>
      <w:r w:rsidR="00552179">
        <w:rPr>
          <w:rFonts w:cs="Calibri"/>
          <w:bCs/>
        </w:rPr>
        <w:t xml:space="preserve">dalej </w:t>
      </w:r>
      <w:r w:rsidRPr="00E45810">
        <w:t>ZUOP</w:t>
      </w:r>
      <w:r>
        <w:t>)</w:t>
      </w:r>
      <w:r w:rsidR="00C43C4B">
        <w:t>.</w:t>
      </w:r>
    </w:p>
    <w:p w14:paraId="7F12710C" w14:textId="77777777" w:rsidR="00084F8B" w:rsidRPr="00F74164" w:rsidRDefault="00084F8B" w:rsidP="008D5796">
      <w:pPr>
        <w:pStyle w:val="Nagwek4"/>
      </w:pPr>
      <w:r>
        <w:t>1</w:t>
      </w:r>
      <w:r w:rsidRPr="00F74164">
        <w:t>.3.1.2</w:t>
      </w:r>
      <w:r>
        <w:t>.</w:t>
      </w:r>
      <w:r w:rsidRPr="00F74164">
        <w:t xml:space="preserve"> Wybór lokalizacji, budowa i rozpoczęcie eksploatacji nowego </w:t>
      </w:r>
      <w:r>
        <w:t>składowiska powierzchniowego odpadów promieniotwórczych</w:t>
      </w:r>
    </w:p>
    <w:p w14:paraId="0187C76F" w14:textId="4CB88996" w:rsidR="00084F8B" w:rsidRDefault="00084F8B" w:rsidP="00C87B85">
      <w:pPr>
        <w:spacing w:after="120"/>
        <w:ind w:firstLine="567"/>
        <w:jc w:val="both"/>
      </w:pPr>
      <w:r w:rsidRPr="00E45810">
        <w:t xml:space="preserve">W związku z </w:t>
      </w:r>
      <w:r>
        <w:t xml:space="preserve">zapełnieniem i wynikającym z tego </w:t>
      </w:r>
      <w:r w:rsidRPr="00E45810">
        <w:t xml:space="preserve">planowanym </w:t>
      </w:r>
      <w:r>
        <w:t>zamknięciem</w:t>
      </w:r>
      <w:r w:rsidRPr="00E45810">
        <w:t xml:space="preserve"> istniejącego KSOP w</w:t>
      </w:r>
      <w:r>
        <w:t> </w:t>
      </w:r>
      <w:r w:rsidRPr="00E45810">
        <w:t>Różanie, konieczne jest znalezienie lokalizacji</w:t>
      </w:r>
      <w:r>
        <w:t>,</w:t>
      </w:r>
      <w:r w:rsidRPr="00E45810">
        <w:t xml:space="preserve"> budowa</w:t>
      </w:r>
      <w:r>
        <w:t xml:space="preserve"> i rozpoczęcie eksploatacji</w:t>
      </w:r>
      <w:r w:rsidRPr="00E45810">
        <w:t xml:space="preserve"> </w:t>
      </w:r>
      <w:r>
        <w:t>NSPOP</w:t>
      </w:r>
      <w:r w:rsidRPr="00E45810">
        <w:t xml:space="preserve">, </w:t>
      </w:r>
      <w:r>
        <w:t xml:space="preserve">z </w:t>
      </w:r>
      <w:r w:rsidRPr="00E45810">
        <w:t>uwzględni</w:t>
      </w:r>
      <w:r>
        <w:t>eniem potrzeb wynikających z</w:t>
      </w:r>
      <w:r w:rsidRPr="00E45810">
        <w:t xml:space="preserve"> rozw</w:t>
      </w:r>
      <w:r>
        <w:t>oju</w:t>
      </w:r>
      <w:r w:rsidRPr="00E45810">
        <w:t xml:space="preserve"> energetyki jądrowej w Polsce. </w:t>
      </w:r>
    </w:p>
    <w:p w14:paraId="50FA9A5B" w14:textId="306230A2" w:rsidR="00084F8B" w:rsidRDefault="00084F8B" w:rsidP="00C87B85">
      <w:pPr>
        <w:spacing w:after="120"/>
        <w:jc w:val="both"/>
      </w:pPr>
      <w:r>
        <w:t xml:space="preserve">NSPOP będzie przyjmowało do składowania odpady promieniotwórcze krótkożyciowe nisko- i średnioaktywne pochodzące z energetyki jądrowej oraz z zastosowań medycznych, naukowych i przemysłowych w tym zużyte zamknięte źródła promieniotwórcze krótkożyciowe nisko- i średnioaktywne. Na terenie składowiska </w:t>
      </w:r>
      <w:r w:rsidR="00BB691A">
        <w:t>będą zlokalizowane obiekty do przetwarzania odpadów promieniotwórczych</w:t>
      </w:r>
      <w:r w:rsidR="00500C53">
        <w:t>,</w:t>
      </w:r>
      <w:r w:rsidR="00BB691A">
        <w:t xml:space="preserve"> a także </w:t>
      </w:r>
      <w:r>
        <w:t>będzie zlokalizowany magazyn do przechowywania odpadów</w:t>
      </w:r>
      <w:r w:rsidRPr="00784F93">
        <w:t xml:space="preserve"> </w:t>
      </w:r>
      <w:r w:rsidRPr="006A508A">
        <w:t>promieniotwórcz</w:t>
      </w:r>
      <w:r>
        <w:t>ych długożyciowych nisko- i średnioaktywnych,</w:t>
      </w:r>
      <w:r w:rsidRPr="00784F93">
        <w:t xml:space="preserve"> </w:t>
      </w:r>
      <w:r>
        <w:t>do czasu uruchomienia SGOP</w:t>
      </w:r>
      <w:r w:rsidRPr="00784F93">
        <w:t xml:space="preserve">, </w:t>
      </w:r>
      <w:r>
        <w:t xml:space="preserve">gdzie zostaną przeniesione do składowania.  </w:t>
      </w:r>
    </w:p>
    <w:p w14:paraId="39007545" w14:textId="77777777" w:rsidR="00084F8B" w:rsidRPr="00E45810" w:rsidRDefault="00084F8B" w:rsidP="00C87B85">
      <w:pPr>
        <w:spacing w:after="120"/>
        <w:jc w:val="both"/>
      </w:pPr>
      <w:r>
        <w:t xml:space="preserve">Kluczowym elementem wyboru lokalizacji, oprócz spełnienia warunków wymaganych przez prawo, będzie akceptacja lokalnej społeczności. </w:t>
      </w:r>
    </w:p>
    <w:p w14:paraId="619F9FB2" w14:textId="77777777" w:rsidR="00084F8B" w:rsidRPr="00B91937" w:rsidRDefault="00084F8B" w:rsidP="000A27AD">
      <w:pPr>
        <w:ind w:left="357" w:hanging="357"/>
        <w:jc w:val="both"/>
        <w:rPr>
          <w:b/>
        </w:rPr>
      </w:pPr>
      <w:r w:rsidRPr="00B91937">
        <w:rPr>
          <w:b/>
        </w:rPr>
        <w:t>Odpowiedzialni za realizację:</w:t>
      </w:r>
    </w:p>
    <w:p w14:paraId="43BE6261" w14:textId="05A23880" w:rsidR="00084F8B" w:rsidRPr="00E45810" w:rsidRDefault="00084F8B" w:rsidP="0012437C">
      <w:pPr>
        <w:numPr>
          <w:ilvl w:val="0"/>
          <w:numId w:val="81"/>
        </w:numPr>
        <w:spacing w:line="240" w:lineRule="auto"/>
        <w:ind w:left="714" w:hanging="357"/>
        <w:jc w:val="both"/>
      </w:pPr>
      <w:r w:rsidRPr="00E45810">
        <w:t xml:space="preserve">Minister </w:t>
      </w:r>
      <w:r>
        <w:t>właściwy ds.</w:t>
      </w:r>
      <w:r w:rsidR="0006058C">
        <w:t xml:space="preserve"> </w:t>
      </w:r>
      <w:r w:rsidR="00486D9A">
        <w:t xml:space="preserve">energii </w:t>
      </w:r>
      <w:r w:rsidR="00486D9A" w:rsidRPr="00E45810">
        <w:t>– organ</w:t>
      </w:r>
      <w:r>
        <w:t xml:space="preserve"> wiodący;</w:t>
      </w:r>
    </w:p>
    <w:p w14:paraId="79D10099" w14:textId="77777777" w:rsidR="00084F8B" w:rsidRDefault="00084F8B" w:rsidP="0012437C">
      <w:pPr>
        <w:numPr>
          <w:ilvl w:val="0"/>
          <w:numId w:val="81"/>
        </w:numPr>
        <w:spacing w:line="240" w:lineRule="auto"/>
        <w:ind w:left="714" w:hanging="357"/>
        <w:jc w:val="both"/>
      </w:pPr>
      <w:r w:rsidRPr="00E45810">
        <w:t xml:space="preserve">Minister </w:t>
      </w:r>
      <w:r>
        <w:t>właściwy ds.</w:t>
      </w:r>
      <w:r w:rsidRPr="00E45810">
        <w:t xml:space="preserve"> </w:t>
      </w:r>
      <w:r>
        <w:t>ś</w:t>
      </w:r>
      <w:r w:rsidRPr="00E45810">
        <w:t>rodowiska</w:t>
      </w:r>
      <w:r>
        <w:t>;</w:t>
      </w:r>
    </w:p>
    <w:p w14:paraId="6210D3DB" w14:textId="6AEB5762" w:rsidR="00084F8B" w:rsidRDefault="00084F8B" w:rsidP="0012437C">
      <w:pPr>
        <w:numPr>
          <w:ilvl w:val="0"/>
          <w:numId w:val="81"/>
        </w:numPr>
        <w:spacing w:line="240" w:lineRule="auto"/>
        <w:ind w:left="714" w:hanging="357"/>
        <w:jc w:val="both"/>
      </w:pPr>
      <w:r>
        <w:t>ZUOP</w:t>
      </w:r>
      <w:r w:rsidR="004B72E3">
        <w:t>.</w:t>
      </w:r>
    </w:p>
    <w:p w14:paraId="61843A9E" w14:textId="77777777" w:rsidR="00C20BBB" w:rsidRPr="00E45810" w:rsidRDefault="00C20BBB" w:rsidP="00C20BBB">
      <w:pPr>
        <w:spacing w:line="240" w:lineRule="auto"/>
        <w:jc w:val="both"/>
      </w:pPr>
    </w:p>
    <w:p w14:paraId="3A9C7684" w14:textId="25978709" w:rsidR="00084F8B" w:rsidRPr="00F74164" w:rsidRDefault="00084F8B" w:rsidP="008D5796">
      <w:pPr>
        <w:pStyle w:val="Nagwek3"/>
      </w:pPr>
      <w:bookmarkStart w:id="58" w:name="_Toc397697001"/>
      <w:bookmarkStart w:id="59" w:name="_Toc424116687"/>
      <w:r>
        <w:lastRenderedPageBreak/>
        <w:t>1</w:t>
      </w:r>
      <w:r w:rsidRPr="00F74164">
        <w:t>.3.2</w:t>
      </w:r>
      <w:r>
        <w:t>.</w:t>
      </w:r>
      <w:r w:rsidRPr="00F74164">
        <w:t xml:space="preserve"> </w:t>
      </w:r>
      <w:r>
        <w:t>P</w:t>
      </w:r>
      <w:r w:rsidRPr="00E45810">
        <w:t>rzygotowanie do budowy składowiska głębokiego</w:t>
      </w:r>
      <w:r>
        <w:t xml:space="preserve"> </w:t>
      </w:r>
      <w:r w:rsidRPr="00E45810">
        <w:t xml:space="preserve">odpadów </w:t>
      </w:r>
      <w:r>
        <w:t xml:space="preserve">promieniotwórczych, </w:t>
      </w:r>
      <w:r w:rsidR="00D81EEA">
        <w:t xml:space="preserve">w </w:t>
      </w:r>
      <w:r>
        <w:t>tym realizacja programu Polskiego Podziemnego Laboratorium Badawczego</w:t>
      </w:r>
      <w:r w:rsidRPr="00F74164">
        <w:t xml:space="preserve"> </w:t>
      </w:r>
      <w:r>
        <w:t>- w</w:t>
      </w:r>
      <w:r w:rsidRPr="00F74164">
        <w:t>y</w:t>
      </w:r>
      <w:r>
        <w:t xml:space="preserve">typowanie jego </w:t>
      </w:r>
      <w:r w:rsidRPr="00F74164">
        <w:t>bezpiecznej lokalizacji</w:t>
      </w:r>
      <w:bookmarkEnd w:id="58"/>
      <w:bookmarkEnd w:id="59"/>
      <w:r>
        <w:t xml:space="preserve"> </w:t>
      </w:r>
      <w:r w:rsidRPr="00F74164">
        <w:t xml:space="preserve"> </w:t>
      </w:r>
    </w:p>
    <w:p w14:paraId="1F7B6665" w14:textId="77777777" w:rsidR="00084F8B" w:rsidRPr="00E45810" w:rsidRDefault="00084F8B" w:rsidP="00007CF4">
      <w:pPr>
        <w:spacing w:before="120" w:after="120"/>
        <w:ind w:firstLine="567"/>
        <w:jc w:val="both"/>
      </w:pPr>
      <w:r w:rsidRPr="00E45810">
        <w:t xml:space="preserve">Celem prac w tym zakresie jest </w:t>
      </w:r>
      <w:r w:rsidR="00C12364">
        <w:t xml:space="preserve">docelowo </w:t>
      </w:r>
      <w:r w:rsidRPr="00E45810">
        <w:t>znalezienie optymalnej lokalizacji składowiska głębokiego</w:t>
      </w:r>
      <w:r>
        <w:t>.</w:t>
      </w:r>
      <w:r w:rsidRPr="00E45810">
        <w:t xml:space="preserve"> </w:t>
      </w:r>
    </w:p>
    <w:p w14:paraId="5C13EC42" w14:textId="77777777" w:rsidR="00084F8B" w:rsidRPr="00E45810" w:rsidRDefault="00084F8B" w:rsidP="00DF464B">
      <w:pPr>
        <w:spacing w:before="120" w:after="120"/>
        <w:jc w:val="both"/>
      </w:pPr>
      <w:r w:rsidRPr="00E45810">
        <w:t>Zadani</w:t>
      </w:r>
      <w:r>
        <w:t>e to będzie obejmowało następujące działania</w:t>
      </w:r>
      <w:r w:rsidRPr="00E45810">
        <w:t>:</w:t>
      </w:r>
    </w:p>
    <w:p w14:paraId="69B01DD3" w14:textId="77777777" w:rsidR="00084F8B" w:rsidRPr="00E45810" w:rsidRDefault="00084F8B" w:rsidP="00AA7F7A">
      <w:pPr>
        <w:numPr>
          <w:ilvl w:val="0"/>
          <w:numId w:val="122"/>
        </w:numPr>
        <w:ind w:left="714" w:hanging="357"/>
        <w:jc w:val="both"/>
      </w:pPr>
      <w:r>
        <w:t>zapewnienie udziału</w:t>
      </w:r>
      <w:r w:rsidRPr="00E45810">
        <w:t xml:space="preserve"> polskich instytucji i </w:t>
      </w:r>
      <w:r>
        <w:t>ośrodków badawczych w prowadzonych</w:t>
      </w:r>
      <w:r w:rsidRPr="00E45810">
        <w:t xml:space="preserve"> badania</w:t>
      </w:r>
      <w:r>
        <w:t>ch</w:t>
      </w:r>
      <w:r w:rsidRPr="00E45810">
        <w:t xml:space="preserve"> nad </w:t>
      </w:r>
      <w:r>
        <w:t>zagadnieniami z zakresu</w:t>
      </w:r>
      <w:r w:rsidRPr="00E45810">
        <w:t xml:space="preserve"> </w:t>
      </w:r>
      <w:r>
        <w:t>postępowania z odpadami promieniotwórczymi długożyciowymi i wypalonym paliwem jądrowym;</w:t>
      </w:r>
    </w:p>
    <w:p w14:paraId="3C19BEA8" w14:textId="26583A96" w:rsidR="00084F8B" w:rsidRPr="00E45810" w:rsidRDefault="00084F8B" w:rsidP="00AA7F7A">
      <w:pPr>
        <w:numPr>
          <w:ilvl w:val="0"/>
          <w:numId w:val="122"/>
        </w:numPr>
        <w:ind w:left="714" w:hanging="357"/>
        <w:jc w:val="both"/>
      </w:pPr>
      <w:r>
        <w:t>monitorowanie</w:t>
      </w:r>
      <w:r w:rsidRPr="00E45810">
        <w:t xml:space="preserve"> postępu prac nad wdrożeniem technologii umożliwiającej oddzielenie mniejszościowych aktynowców i </w:t>
      </w:r>
      <w:r>
        <w:t xml:space="preserve">ich </w:t>
      </w:r>
      <w:r w:rsidRPr="00E45810">
        <w:t>wykorzystywanie, jako paliw</w:t>
      </w:r>
      <w:r>
        <w:t>a</w:t>
      </w:r>
      <w:r w:rsidRPr="00E45810">
        <w:t xml:space="preserve"> do reaktorów prędkich IV generacji lub spaleni</w:t>
      </w:r>
      <w:r>
        <w:t>e</w:t>
      </w:r>
      <w:r w:rsidRPr="00E45810">
        <w:t xml:space="preserve"> </w:t>
      </w:r>
      <w:r w:rsidR="001C052A" w:rsidRPr="00E45810">
        <w:t>w</w:t>
      </w:r>
      <w:r w:rsidR="001C052A">
        <w:t xml:space="preserve"> </w:t>
      </w:r>
      <w:r w:rsidRPr="00E45810">
        <w:t>systemach podkrytycz</w:t>
      </w:r>
      <w:r>
        <w:t>nych sterowanych akceleratorami;</w:t>
      </w:r>
    </w:p>
    <w:p w14:paraId="42B3FEB6" w14:textId="77777777" w:rsidR="00084F8B" w:rsidRPr="00E45810" w:rsidRDefault="00084F8B" w:rsidP="00AA7F7A">
      <w:pPr>
        <w:numPr>
          <w:ilvl w:val="0"/>
          <w:numId w:val="122"/>
        </w:numPr>
        <w:jc w:val="both"/>
      </w:pPr>
      <w:r w:rsidRPr="00E45810">
        <w:t>nawiązanie</w:t>
      </w:r>
      <w:r>
        <w:t xml:space="preserve"> stałej </w:t>
      </w:r>
      <w:r w:rsidRPr="00E45810">
        <w:t xml:space="preserve">współpracy międzynarodowej w dziedzinie </w:t>
      </w:r>
      <w:r>
        <w:t>postępowania z</w:t>
      </w:r>
      <w:r w:rsidRPr="00E45810">
        <w:t xml:space="preserve"> odpadami promieniotwórczymi</w:t>
      </w:r>
      <w:r>
        <w:t xml:space="preserve"> długożyciowymi - konsekwentne uaktualnianie wiedzy na temat programów innych krajów w tym zakresie;</w:t>
      </w:r>
    </w:p>
    <w:p w14:paraId="0E3F5121" w14:textId="77777777" w:rsidR="00084F8B" w:rsidRPr="00E45810" w:rsidRDefault="00084F8B" w:rsidP="00AA7F7A">
      <w:pPr>
        <w:numPr>
          <w:ilvl w:val="0"/>
          <w:numId w:val="122"/>
        </w:numPr>
        <w:jc w:val="both"/>
      </w:pPr>
      <w:r>
        <w:t>monitorowanie inicjatyw</w:t>
      </w:r>
      <w:r w:rsidRPr="00E45810">
        <w:t xml:space="preserve"> </w:t>
      </w:r>
      <w:r>
        <w:t>mogących skutkować</w:t>
      </w:r>
      <w:r w:rsidRPr="00E45810">
        <w:t xml:space="preserve"> budow</w:t>
      </w:r>
      <w:r>
        <w:t>ą</w:t>
      </w:r>
      <w:r w:rsidRPr="00E45810">
        <w:t xml:space="preserve"> wspólnych regionalnych składowisk </w:t>
      </w:r>
      <w:r>
        <w:t xml:space="preserve">głębokich </w:t>
      </w:r>
      <w:r w:rsidRPr="00E45810">
        <w:t>przy uwzględnieniu sta</w:t>
      </w:r>
      <w:r>
        <w:t>nowiska polskiego społeczeństwa;</w:t>
      </w:r>
    </w:p>
    <w:p w14:paraId="2E181DA1" w14:textId="77777777" w:rsidR="00084F8B" w:rsidRPr="00E45810" w:rsidRDefault="00084F8B" w:rsidP="00AA7F7A">
      <w:pPr>
        <w:numPr>
          <w:ilvl w:val="0"/>
          <w:numId w:val="122"/>
        </w:numPr>
        <w:jc w:val="both"/>
      </w:pPr>
      <w:r w:rsidRPr="00E45810">
        <w:t>realizacj</w:t>
      </w:r>
      <w:r>
        <w:t>ę</w:t>
      </w:r>
      <w:r w:rsidRPr="00E45810">
        <w:t xml:space="preserve"> programu badań nad składowaniem głębokim odpadów długożyciowych średn</w:t>
      </w:r>
      <w:r>
        <w:t>io</w:t>
      </w:r>
      <w:r w:rsidRPr="00E45810">
        <w:t>aktywnych i wysokoaktywnych</w:t>
      </w:r>
      <w:r>
        <w:t xml:space="preserve"> - </w:t>
      </w:r>
      <w:r w:rsidRPr="00E45810">
        <w:t xml:space="preserve">prowadzenie prac i przygotowań w zakresie znalezienia lokalizacji </w:t>
      </w:r>
      <w:r w:rsidRPr="005B410F">
        <w:t>SGOP.</w:t>
      </w:r>
    </w:p>
    <w:p w14:paraId="6E357DA1" w14:textId="2F28BCC3" w:rsidR="00084F8B" w:rsidRPr="00E45810" w:rsidRDefault="00084F8B" w:rsidP="00FE0304">
      <w:pPr>
        <w:spacing w:before="120" w:after="120"/>
        <w:jc w:val="both"/>
      </w:pPr>
      <w:r>
        <w:t xml:space="preserve">W związku z </w:t>
      </w:r>
      <w:r w:rsidRPr="00E45810">
        <w:t>przyjęci</w:t>
      </w:r>
      <w:r>
        <w:t>em</w:t>
      </w:r>
      <w:r w:rsidRPr="00E45810">
        <w:t xml:space="preserve"> P</w:t>
      </w:r>
      <w:r>
        <w:t>rogramu polskiej energetyki jądrowej</w:t>
      </w:r>
      <w:r>
        <w:rPr>
          <w:rStyle w:val="Odwoanieprzypisudolnego"/>
        </w:rPr>
        <w:footnoteReference w:id="9"/>
      </w:r>
      <w:r>
        <w:t xml:space="preserve"> (</w:t>
      </w:r>
      <w:r w:rsidR="00552179">
        <w:t xml:space="preserve">dalej </w:t>
      </w:r>
      <w:r w:rsidR="00E11B7C">
        <w:t>P</w:t>
      </w:r>
      <w:r w:rsidR="00500C53">
        <w:t>PEJ</w:t>
      </w:r>
      <w:r>
        <w:t xml:space="preserve">) </w:t>
      </w:r>
      <w:r w:rsidR="0006058C">
        <w:t xml:space="preserve">oraz prowadzonymi działaniami nad rozwojem w Polsce energetyki jądrowej </w:t>
      </w:r>
      <w:r w:rsidRPr="00E45810">
        <w:t>planowane jest</w:t>
      </w:r>
      <w:r w:rsidR="0006058C">
        <w:t xml:space="preserve"> w przyszłości</w:t>
      </w:r>
      <w:r w:rsidRPr="00E45810">
        <w:t xml:space="preserve"> podpisanie przez </w:t>
      </w:r>
      <w:r>
        <w:t>ministra właściwego ds.</w:t>
      </w:r>
      <w:r w:rsidRPr="00E45810">
        <w:t xml:space="preserve"> </w:t>
      </w:r>
      <w:r w:rsidR="0006058C">
        <w:t>energii</w:t>
      </w:r>
      <w:r w:rsidRPr="00E45810">
        <w:t xml:space="preserve">, </w:t>
      </w:r>
      <w:r>
        <w:t>Państwowy Instytut Geologiczny - Państwowy Instytut Badawczy (</w:t>
      </w:r>
      <w:r w:rsidR="00552179">
        <w:t xml:space="preserve">dalej </w:t>
      </w:r>
      <w:r w:rsidRPr="00E45810">
        <w:t>PIG</w:t>
      </w:r>
      <w:r>
        <w:t>-PIB)</w:t>
      </w:r>
      <w:r w:rsidRPr="00E45810">
        <w:t xml:space="preserve"> oraz inne zainteresowane instytucje porozumienia w sprawie wspierania koncepcji</w:t>
      </w:r>
      <w:r>
        <w:t xml:space="preserve"> i podjęcia zintegrowanych badań nad </w:t>
      </w:r>
      <w:r w:rsidRPr="00E45810">
        <w:t>głęboki</w:t>
      </w:r>
      <w:r>
        <w:t>m</w:t>
      </w:r>
      <w:r w:rsidRPr="00E45810">
        <w:t xml:space="preserve"> składowani</w:t>
      </w:r>
      <w:r>
        <w:t>em</w:t>
      </w:r>
      <w:r w:rsidRPr="00E45810">
        <w:t xml:space="preserve"> odpadów promieniotwórczych </w:t>
      </w:r>
      <w:r>
        <w:t xml:space="preserve">i </w:t>
      </w:r>
      <w:r w:rsidRPr="00E45810">
        <w:t>budow</w:t>
      </w:r>
      <w:r>
        <w:t>ą</w:t>
      </w:r>
      <w:r w:rsidRPr="00E45810">
        <w:t xml:space="preserve"> </w:t>
      </w:r>
      <w:r>
        <w:t>Polskiego p</w:t>
      </w:r>
      <w:r w:rsidRPr="00E45810">
        <w:t xml:space="preserve">odziemnego </w:t>
      </w:r>
      <w:r>
        <w:t>l</w:t>
      </w:r>
      <w:r w:rsidRPr="00E45810">
        <w:t xml:space="preserve">aboratorium </w:t>
      </w:r>
      <w:r>
        <w:t>b</w:t>
      </w:r>
      <w:r w:rsidRPr="00E45810">
        <w:t>adawczego</w:t>
      </w:r>
      <w:r>
        <w:t>.</w:t>
      </w:r>
      <w:r w:rsidRPr="00E45810">
        <w:t xml:space="preserve"> Celem porozumienia ma być:</w:t>
      </w:r>
    </w:p>
    <w:p w14:paraId="15218905" w14:textId="3D198D2C" w:rsidR="00084F8B" w:rsidRPr="00E45810" w:rsidRDefault="00084F8B" w:rsidP="00FE0304">
      <w:pPr>
        <w:numPr>
          <w:ilvl w:val="0"/>
          <w:numId w:val="82"/>
        </w:numPr>
        <w:jc w:val="both"/>
      </w:pPr>
      <w:r>
        <w:t>w</w:t>
      </w:r>
      <w:r w:rsidRPr="00E45810">
        <w:t xml:space="preserve">spieranie badań naukowych mających na celu </w:t>
      </w:r>
      <w:r>
        <w:t>wypracowanie</w:t>
      </w:r>
      <w:r w:rsidRPr="00E45810">
        <w:t xml:space="preserve"> technik składowania podziemnego i</w:t>
      </w:r>
      <w:r>
        <w:t> </w:t>
      </w:r>
      <w:r w:rsidRPr="00E45810">
        <w:t>rozpoznanie warunków geologicznych</w:t>
      </w:r>
      <w:r>
        <w:t xml:space="preserve"> w warunkach polskich</w:t>
      </w:r>
      <w:r w:rsidRPr="00E45810">
        <w:t>, zapewniających bezpieczne składowanie w głębokich strukturach geologicznych, a jednocześnie przyczyniające się do</w:t>
      </w:r>
      <w:r w:rsidR="001C052A">
        <w:t xml:space="preserve"> </w:t>
      </w:r>
      <w:r w:rsidRPr="00E45810">
        <w:t xml:space="preserve">rozwoju kadry naukowej </w:t>
      </w:r>
      <w:r w:rsidR="001C052A" w:rsidRPr="00E45810">
        <w:t>i</w:t>
      </w:r>
      <w:r w:rsidR="001C052A">
        <w:t xml:space="preserve"> </w:t>
      </w:r>
      <w:r w:rsidRPr="00E45810">
        <w:t>technologii niezbędnych do prowadzenia przyszłych prac</w:t>
      </w:r>
      <w:r>
        <w:t>;</w:t>
      </w:r>
    </w:p>
    <w:p w14:paraId="42923E49" w14:textId="77777777" w:rsidR="00084F8B" w:rsidRPr="00E45810" w:rsidRDefault="00084F8B" w:rsidP="00FE0304">
      <w:pPr>
        <w:numPr>
          <w:ilvl w:val="0"/>
          <w:numId w:val="82"/>
        </w:numPr>
        <w:jc w:val="both"/>
      </w:pPr>
      <w:r>
        <w:t>zapewnienie koordynacji ww.</w:t>
      </w:r>
      <w:r w:rsidRPr="00E45810">
        <w:t xml:space="preserve"> prac w Polsce</w:t>
      </w:r>
      <w:r>
        <w:t>;</w:t>
      </w:r>
    </w:p>
    <w:p w14:paraId="7F6C5C91" w14:textId="77777777" w:rsidR="00084F8B" w:rsidRPr="00E45810" w:rsidRDefault="00084F8B" w:rsidP="001A480F">
      <w:pPr>
        <w:numPr>
          <w:ilvl w:val="0"/>
          <w:numId w:val="82"/>
        </w:numPr>
        <w:jc w:val="both"/>
      </w:pPr>
      <w:r>
        <w:t>m</w:t>
      </w:r>
      <w:r w:rsidRPr="00E45810">
        <w:t xml:space="preserve">aksymalne wykorzystanie doświadczeń międzynarodowych dotyczących </w:t>
      </w:r>
      <w:r>
        <w:t xml:space="preserve">głębokiego </w:t>
      </w:r>
      <w:r w:rsidRPr="00E45810">
        <w:t>składowania odpadów promieniotwórczych</w:t>
      </w:r>
      <w:r>
        <w:t>;</w:t>
      </w:r>
    </w:p>
    <w:p w14:paraId="7B283603" w14:textId="77777777" w:rsidR="00084F8B" w:rsidRPr="00E45810" w:rsidRDefault="00084F8B" w:rsidP="003628D0">
      <w:pPr>
        <w:numPr>
          <w:ilvl w:val="0"/>
          <w:numId w:val="82"/>
        </w:numPr>
        <w:jc w:val="both"/>
      </w:pPr>
      <w:r>
        <w:t>d</w:t>
      </w:r>
      <w:r w:rsidRPr="00E45810">
        <w:t xml:space="preserve">ostarczenie społeczeństwu obiektywnej informacji na temat </w:t>
      </w:r>
      <w:r>
        <w:t>głębokiego</w:t>
      </w:r>
      <w:r w:rsidRPr="00E45810">
        <w:t xml:space="preserve"> składowania</w:t>
      </w:r>
      <w:r>
        <w:t>;</w:t>
      </w:r>
    </w:p>
    <w:p w14:paraId="50ACFD5C" w14:textId="77777777" w:rsidR="00084F8B" w:rsidRPr="00E45810" w:rsidRDefault="00084F8B" w:rsidP="00D33030">
      <w:pPr>
        <w:numPr>
          <w:ilvl w:val="0"/>
          <w:numId w:val="82"/>
        </w:numPr>
        <w:jc w:val="both"/>
      </w:pPr>
      <w:r>
        <w:t>w</w:t>
      </w:r>
      <w:r w:rsidRPr="00E45810">
        <w:t>spieranie utworzenia PURL</w:t>
      </w:r>
      <w:r>
        <w:t>;</w:t>
      </w:r>
    </w:p>
    <w:p w14:paraId="17809E65" w14:textId="77777777" w:rsidR="00084F8B" w:rsidRPr="00E45810" w:rsidRDefault="00084F8B" w:rsidP="00433201">
      <w:pPr>
        <w:numPr>
          <w:ilvl w:val="0"/>
          <w:numId w:val="82"/>
        </w:numPr>
        <w:jc w:val="both"/>
      </w:pPr>
      <w:r>
        <w:t>w</w:t>
      </w:r>
      <w:r w:rsidRPr="00E45810">
        <w:t>spieran</w:t>
      </w:r>
      <w:r>
        <w:t>ie działania PURL umiejscowionego</w:t>
      </w:r>
      <w:r w:rsidRPr="00E45810">
        <w:t xml:space="preserve"> organizacyjnie w PIG</w:t>
      </w:r>
      <w:r>
        <w:t>-PIB;</w:t>
      </w:r>
    </w:p>
    <w:p w14:paraId="3C4958B7" w14:textId="77777777" w:rsidR="00084F8B" w:rsidRPr="00E45810" w:rsidRDefault="00084F8B" w:rsidP="00433201">
      <w:pPr>
        <w:numPr>
          <w:ilvl w:val="0"/>
          <w:numId w:val="82"/>
        </w:numPr>
        <w:ind w:left="714" w:hanging="357"/>
        <w:jc w:val="both"/>
      </w:pPr>
      <w:r>
        <w:t>w</w:t>
      </w:r>
      <w:r w:rsidRPr="00E45810">
        <w:t xml:space="preserve">ykorzystanie doświadczeń PURL </w:t>
      </w:r>
      <w:r>
        <w:t xml:space="preserve">w </w:t>
      </w:r>
      <w:r w:rsidRPr="00E45810">
        <w:t>budow</w:t>
      </w:r>
      <w:r>
        <w:t>ie składowiska</w:t>
      </w:r>
      <w:r w:rsidRPr="00E45810">
        <w:t xml:space="preserve"> głębokiego </w:t>
      </w:r>
      <w:r>
        <w:t>odpadów promieniotwórczych.</w:t>
      </w:r>
    </w:p>
    <w:p w14:paraId="64DD3E05" w14:textId="77777777" w:rsidR="00084F8B" w:rsidRPr="00E45810" w:rsidRDefault="00084F8B" w:rsidP="0000292C">
      <w:pPr>
        <w:spacing w:before="120" w:after="120"/>
        <w:ind w:firstLine="357"/>
        <w:jc w:val="both"/>
      </w:pPr>
      <w:r w:rsidRPr="00E45810">
        <w:t>Cele powstania PURL to:</w:t>
      </w:r>
    </w:p>
    <w:p w14:paraId="16A121FB" w14:textId="77777777" w:rsidR="00084F8B" w:rsidRDefault="00084F8B" w:rsidP="006E7E87">
      <w:pPr>
        <w:numPr>
          <w:ilvl w:val="0"/>
          <w:numId w:val="4"/>
        </w:numPr>
        <w:jc w:val="both"/>
      </w:pPr>
      <w:r>
        <w:t>prowadzenie prac poprzedzających powstanie składowiska głębokiego dla wysokoaktywnych odpadów promieniotwórczych;</w:t>
      </w:r>
    </w:p>
    <w:p w14:paraId="3EA15DB2" w14:textId="77777777" w:rsidR="00084F8B" w:rsidRDefault="00084F8B" w:rsidP="00CF4A18">
      <w:pPr>
        <w:numPr>
          <w:ilvl w:val="0"/>
          <w:numId w:val="4"/>
        </w:numPr>
        <w:jc w:val="both"/>
      </w:pPr>
      <w:r>
        <w:t>uzyskanie wiedzy pozwalającej na podjęcie racjonalnej decyzji o składowaniu wypalonego paliwa jądrowego i rodzaju przyjętego cyklu paliwowego;</w:t>
      </w:r>
    </w:p>
    <w:p w14:paraId="4F944264" w14:textId="77777777" w:rsidR="00084F8B" w:rsidRPr="00E45810" w:rsidRDefault="00084F8B" w:rsidP="00CF4A18">
      <w:pPr>
        <w:numPr>
          <w:ilvl w:val="0"/>
          <w:numId w:val="4"/>
        </w:numPr>
        <w:jc w:val="both"/>
      </w:pPr>
      <w:r>
        <w:lastRenderedPageBreak/>
        <w:t>k</w:t>
      </w:r>
      <w:r w:rsidRPr="00E45810">
        <w:t xml:space="preserve">oordynacja prac w Polsce i gromadzenie </w:t>
      </w:r>
      <w:r>
        <w:t>uzyskanych wyników;</w:t>
      </w:r>
    </w:p>
    <w:p w14:paraId="05C3D02C" w14:textId="77777777" w:rsidR="00084F8B" w:rsidRPr="00E45810" w:rsidRDefault="00084F8B" w:rsidP="00CF4A18">
      <w:pPr>
        <w:numPr>
          <w:ilvl w:val="0"/>
          <w:numId w:val="4"/>
        </w:numPr>
        <w:jc w:val="both"/>
      </w:pPr>
      <w:r>
        <w:t xml:space="preserve">współpraca międzynarodowa w zakresie składowania głębokiego odpadów promieniotwórczych, w szczególności wysokoaktywnych; </w:t>
      </w:r>
    </w:p>
    <w:p w14:paraId="4415D34B" w14:textId="77777777" w:rsidR="00084F8B" w:rsidRPr="00E45810" w:rsidRDefault="00084F8B" w:rsidP="00CF4A18">
      <w:pPr>
        <w:numPr>
          <w:ilvl w:val="0"/>
          <w:numId w:val="4"/>
        </w:numPr>
        <w:jc w:val="both"/>
      </w:pPr>
      <w:r>
        <w:t xml:space="preserve">prowadzenie badań naukowych nad składowaniem głębokim odpadów promieniotwórczych, w szczególności wysokoaktywnych;  </w:t>
      </w:r>
    </w:p>
    <w:p w14:paraId="1457BDA3" w14:textId="77777777" w:rsidR="00084F8B" w:rsidRPr="00E45810" w:rsidRDefault="00084F8B" w:rsidP="00CF4A18">
      <w:pPr>
        <w:numPr>
          <w:ilvl w:val="0"/>
          <w:numId w:val="4"/>
        </w:numPr>
        <w:jc w:val="both"/>
      </w:pPr>
      <w:r>
        <w:t xml:space="preserve">poszerzenie </w:t>
      </w:r>
      <w:r w:rsidRPr="00E45810">
        <w:t xml:space="preserve">wiedzy o </w:t>
      </w:r>
      <w:r>
        <w:t>warunkach geologicznych potencjalnych składowisk;</w:t>
      </w:r>
    </w:p>
    <w:p w14:paraId="0512E472" w14:textId="77777777" w:rsidR="00084F8B" w:rsidRDefault="00084F8B" w:rsidP="00CF4A18">
      <w:pPr>
        <w:numPr>
          <w:ilvl w:val="0"/>
          <w:numId w:val="4"/>
        </w:numPr>
        <w:jc w:val="both"/>
      </w:pPr>
      <w:r>
        <w:t>p</w:t>
      </w:r>
      <w:r w:rsidRPr="00E45810">
        <w:t>opularyzacja w</w:t>
      </w:r>
      <w:r>
        <w:t>iedzy na temat składowania głębokiego odpadów promieniotwórczych, w szczególności wysokoaktywnych;</w:t>
      </w:r>
    </w:p>
    <w:p w14:paraId="40D28ECE" w14:textId="77777777" w:rsidR="00084F8B" w:rsidRPr="00E45810" w:rsidRDefault="00084F8B" w:rsidP="00CF4A18">
      <w:pPr>
        <w:numPr>
          <w:ilvl w:val="0"/>
          <w:numId w:val="4"/>
        </w:numPr>
        <w:jc w:val="both"/>
      </w:pPr>
      <w:r>
        <w:t xml:space="preserve">upowszechnienie w społeczeństwie wiedzy na temat SGOP; </w:t>
      </w:r>
    </w:p>
    <w:p w14:paraId="68BD40D0" w14:textId="77777777" w:rsidR="00084F8B" w:rsidRDefault="00084F8B" w:rsidP="00CF4A18">
      <w:pPr>
        <w:numPr>
          <w:ilvl w:val="0"/>
          <w:numId w:val="4"/>
        </w:numPr>
        <w:ind w:left="714" w:hanging="357"/>
        <w:jc w:val="both"/>
      </w:pPr>
      <w:r>
        <w:t>p</w:t>
      </w:r>
      <w:r w:rsidRPr="00E45810">
        <w:t>rzygotowanie kadr i struktur organizacyjnych do funkcjonowania składowiska.</w:t>
      </w:r>
    </w:p>
    <w:p w14:paraId="3F6C4C72" w14:textId="77777777" w:rsidR="00084F8B" w:rsidRPr="00E45810" w:rsidRDefault="00084F8B" w:rsidP="00CC69D6">
      <w:pPr>
        <w:jc w:val="both"/>
      </w:pPr>
    </w:p>
    <w:p w14:paraId="38BD85EF" w14:textId="77777777" w:rsidR="00084F8B" w:rsidRPr="00B91937" w:rsidRDefault="00084F8B" w:rsidP="00B91937">
      <w:pPr>
        <w:spacing w:after="120"/>
        <w:ind w:left="357" w:hanging="357"/>
        <w:jc w:val="both"/>
        <w:rPr>
          <w:b/>
        </w:rPr>
      </w:pPr>
      <w:r w:rsidRPr="00B91937">
        <w:rPr>
          <w:b/>
        </w:rPr>
        <w:t>Odpowiedzialni za realizację:</w:t>
      </w:r>
    </w:p>
    <w:p w14:paraId="59C7F777" w14:textId="77777777" w:rsidR="00084F8B" w:rsidRDefault="00084F8B" w:rsidP="00CC69D6">
      <w:pPr>
        <w:numPr>
          <w:ilvl w:val="0"/>
          <w:numId w:val="83"/>
        </w:numPr>
        <w:jc w:val="both"/>
      </w:pPr>
      <w:r w:rsidRPr="00E45810">
        <w:t xml:space="preserve">Minister </w:t>
      </w:r>
      <w:r>
        <w:t xml:space="preserve">właściwy ds. </w:t>
      </w:r>
      <w:r w:rsidR="0006058C">
        <w:t>energii</w:t>
      </w:r>
      <w:r>
        <w:t xml:space="preserve"> – organ wiodący;</w:t>
      </w:r>
    </w:p>
    <w:p w14:paraId="676D81AB" w14:textId="77777777" w:rsidR="00084F8B" w:rsidRPr="00E45810" w:rsidRDefault="00084F8B" w:rsidP="00CC69D6">
      <w:pPr>
        <w:numPr>
          <w:ilvl w:val="0"/>
          <w:numId w:val="83"/>
        </w:numPr>
        <w:jc w:val="both"/>
      </w:pPr>
      <w:r>
        <w:t>Minister właściwy ds. środowiska;</w:t>
      </w:r>
    </w:p>
    <w:p w14:paraId="6F147D79" w14:textId="77777777" w:rsidR="00084F8B" w:rsidRDefault="00084F8B" w:rsidP="00CC69D6">
      <w:pPr>
        <w:numPr>
          <w:ilvl w:val="0"/>
          <w:numId w:val="83"/>
        </w:numPr>
        <w:jc w:val="both"/>
      </w:pPr>
      <w:r w:rsidRPr="00E45810">
        <w:t>ZUOP</w:t>
      </w:r>
      <w:r>
        <w:t>;</w:t>
      </w:r>
    </w:p>
    <w:p w14:paraId="001E6A92" w14:textId="77777777" w:rsidR="00084F8B" w:rsidRDefault="00084F8B" w:rsidP="00CC69D6">
      <w:pPr>
        <w:numPr>
          <w:ilvl w:val="0"/>
          <w:numId w:val="83"/>
        </w:numPr>
        <w:jc w:val="both"/>
      </w:pPr>
      <w:r>
        <w:t>PIG-PIB;</w:t>
      </w:r>
    </w:p>
    <w:p w14:paraId="29EB0DD3" w14:textId="77777777" w:rsidR="00084F8B" w:rsidRPr="00E45810" w:rsidRDefault="00084F8B" w:rsidP="00CC69D6">
      <w:pPr>
        <w:numPr>
          <w:ilvl w:val="0"/>
          <w:numId w:val="83"/>
        </w:numPr>
        <w:jc w:val="both"/>
      </w:pPr>
      <w:r>
        <w:t>I</w:t>
      </w:r>
      <w:r w:rsidRPr="00E45810">
        <w:t>nstytuty naukow</w:t>
      </w:r>
      <w:r>
        <w:t xml:space="preserve">e i </w:t>
      </w:r>
      <w:r w:rsidRPr="00E45810">
        <w:t>badawcze</w:t>
      </w:r>
      <w:r w:rsidR="004B72E3">
        <w:t>.</w:t>
      </w:r>
    </w:p>
    <w:p w14:paraId="397E26A1" w14:textId="48DE5563" w:rsidR="00084F8B" w:rsidRPr="00F74164" w:rsidRDefault="00084F8B" w:rsidP="008D5796">
      <w:pPr>
        <w:pStyle w:val="Nagwek3"/>
      </w:pPr>
      <w:bookmarkStart w:id="60" w:name="_Toc397697002"/>
      <w:bookmarkStart w:id="61" w:name="_Toc424116688"/>
      <w:r>
        <w:t>1</w:t>
      </w:r>
      <w:r w:rsidRPr="00F74164">
        <w:t>.3.3</w:t>
      </w:r>
      <w:r>
        <w:t>.</w:t>
      </w:r>
      <w:r w:rsidRPr="00F74164">
        <w:t xml:space="preserve"> </w:t>
      </w:r>
      <w:r>
        <w:t>Modyfikacja</w:t>
      </w:r>
      <w:r w:rsidRPr="008D0D4C">
        <w:t xml:space="preserve"> </w:t>
      </w:r>
      <w:r>
        <w:t>zasad postępowania z</w:t>
      </w:r>
      <w:r w:rsidRPr="008D0D4C">
        <w:t xml:space="preserve"> odpadami promieniotwórczymi </w:t>
      </w:r>
      <w:r w:rsidR="00500C53">
        <w:br/>
      </w:r>
      <w:r>
        <w:t>i wypalonym paliwem jądrowym oraz likwidacji elektrowni jądrowych</w:t>
      </w:r>
      <w:bookmarkEnd w:id="60"/>
      <w:bookmarkEnd w:id="61"/>
    </w:p>
    <w:p w14:paraId="379CC196" w14:textId="18499F4A" w:rsidR="00084F8B" w:rsidRDefault="00084F8B" w:rsidP="00C87B85">
      <w:pPr>
        <w:spacing w:before="120" w:after="120"/>
        <w:ind w:firstLine="567"/>
        <w:jc w:val="both"/>
      </w:pPr>
      <w:r>
        <w:t xml:space="preserve">Celem tego zadania jest stworzenie systemu finansowania postępowania z odpadami i wypalonym paliwem jądrowym, zapewniającego spójne, niezawodne i zrównoważone postępowanie z odpadami promieniotwórczymi i wypalonym paliwem jądrowym teraz i </w:t>
      </w:r>
      <w:r w:rsidR="001C052A">
        <w:t xml:space="preserve">w </w:t>
      </w:r>
      <w:r>
        <w:t>przyszłości.</w:t>
      </w:r>
    </w:p>
    <w:p w14:paraId="13BB5BD4" w14:textId="77777777" w:rsidR="00084F8B" w:rsidRPr="00E45810" w:rsidRDefault="00084F8B" w:rsidP="00CC69D6">
      <w:pPr>
        <w:spacing w:before="120" w:after="120"/>
        <w:jc w:val="both"/>
      </w:pPr>
      <w:r w:rsidRPr="00E45810">
        <w:t>Zadani</w:t>
      </w:r>
      <w:r>
        <w:t>e to będzie obejmowało następujące działania</w:t>
      </w:r>
      <w:r w:rsidRPr="00E45810">
        <w:t>:</w:t>
      </w:r>
    </w:p>
    <w:p w14:paraId="15BEA0AC" w14:textId="14F02BDC" w:rsidR="00084F8B" w:rsidRDefault="00084F8B" w:rsidP="004725EF">
      <w:pPr>
        <w:numPr>
          <w:ilvl w:val="0"/>
          <w:numId w:val="75"/>
        </w:numPr>
        <w:ind w:left="709" w:hanging="283"/>
        <w:jc w:val="both"/>
      </w:pPr>
      <w:r>
        <w:t>aktualizację przepisów</w:t>
      </w:r>
      <w:r w:rsidRPr="00F3395E">
        <w:t xml:space="preserve"> prawa w zakresie końcowego postępowania z odpadami promieniotwórczymi </w:t>
      </w:r>
      <w:r w:rsidR="00500C53">
        <w:br/>
      </w:r>
      <w:r w:rsidRPr="00F3395E">
        <w:t xml:space="preserve">i wypalonym paliwem pochodzącymi z energetyki jądrowej, a także </w:t>
      </w:r>
      <w:r w:rsidR="001C052A">
        <w:t xml:space="preserve">z </w:t>
      </w:r>
      <w:r w:rsidRPr="00F3395E">
        <w:t>likwidacji elektrowni jądrowych</w:t>
      </w:r>
      <w:r>
        <w:t>;</w:t>
      </w:r>
    </w:p>
    <w:p w14:paraId="4D2692FE" w14:textId="77777777" w:rsidR="002D6639" w:rsidRDefault="00084F8B" w:rsidP="004725EF">
      <w:pPr>
        <w:numPr>
          <w:ilvl w:val="0"/>
          <w:numId w:val="75"/>
        </w:numPr>
        <w:ind w:left="709" w:hanging="283"/>
        <w:jc w:val="both"/>
      </w:pPr>
      <w:r w:rsidRPr="00F3395E">
        <w:t>wdrożenie systemu finansowania końcowego postępowania z odpadami promieniotwórczymi</w:t>
      </w:r>
      <w:r>
        <w:t xml:space="preserve"> </w:t>
      </w:r>
      <w:r w:rsidRPr="00F3395E">
        <w:t>i</w:t>
      </w:r>
      <w:r>
        <w:t> </w:t>
      </w:r>
      <w:r w:rsidRPr="00F3395E">
        <w:t xml:space="preserve">wypalonym paliwem jądrowym </w:t>
      </w:r>
      <w:r>
        <w:t>ze szczególnym</w:t>
      </w:r>
      <w:r w:rsidRPr="00F3395E">
        <w:t xml:space="preserve"> uwzględnieni</w:t>
      </w:r>
      <w:r>
        <w:t>em</w:t>
      </w:r>
      <w:r w:rsidRPr="00F3395E">
        <w:t xml:space="preserve"> odpadów promieniotwórczych i</w:t>
      </w:r>
      <w:r>
        <w:t> </w:t>
      </w:r>
      <w:r w:rsidRPr="00F3395E">
        <w:t>wypalonego paliwa z energetyki jądrowej, a także zapewnienie finansowania procesu likwidacji elektrowni jądrowych.</w:t>
      </w:r>
    </w:p>
    <w:p w14:paraId="5BE1F011" w14:textId="77777777" w:rsidR="00084F8B" w:rsidRPr="00F3395E" w:rsidRDefault="00084F8B" w:rsidP="002D6639">
      <w:pPr>
        <w:jc w:val="both"/>
      </w:pPr>
      <w:r w:rsidRPr="00F3395E">
        <w:t>Zakres zada</w:t>
      </w:r>
      <w:r>
        <w:t>nia</w:t>
      </w:r>
      <w:r w:rsidRPr="00F3395E">
        <w:t xml:space="preserve"> obejmuje:</w:t>
      </w:r>
    </w:p>
    <w:p w14:paraId="05C39532" w14:textId="11132A80" w:rsidR="00084F8B" w:rsidRPr="00F3395E" w:rsidRDefault="00084F8B" w:rsidP="004725EF">
      <w:pPr>
        <w:numPr>
          <w:ilvl w:val="0"/>
          <w:numId w:val="69"/>
        </w:numPr>
        <w:ind w:left="709" w:hanging="283"/>
        <w:jc w:val="both"/>
      </w:pPr>
      <w:r w:rsidRPr="00F3395E">
        <w:t xml:space="preserve">zmianę przepisów umożliwiającą podział kwoty określonej w rozporządzeniu Rady Ministrów </w:t>
      </w:r>
      <w:r w:rsidR="001C052A" w:rsidRPr="00F3395E">
        <w:t>z</w:t>
      </w:r>
      <w:r w:rsidR="001C052A">
        <w:t xml:space="preserve"> </w:t>
      </w:r>
      <w:r w:rsidRPr="00F3395E">
        <w:t>dnia 10 października 2012 r.</w:t>
      </w:r>
      <w:r w:rsidRPr="00F3395E">
        <w:rPr>
          <w:vertAlign w:val="superscript"/>
        </w:rPr>
        <w:footnoteReference w:id="10"/>
      </w:r>
      <w:r w:rsidRPr="00F3395E">
        <w:t xml:space="preserve"> na dwie części: </w:t>
      </w:r>
    </w:p>
    <w:p w14:paraId="3B3F4A8C" w14:textId="77777777" w:rsidR="00084F8B" w:rsidRPr="00F3395E" w:rsidRDefault="00084F8B" w:rsidP="004725EF">
      <w:pPr>
        <w:numPr>
          <w:ilvl w:val="0"/>
          <w:numId w:val="18"/>
        </w:numPr>
        <w:tabs>
          <w:tab w:val="left" w:pos="1134"/>
        </w:tabs>
        <w:ind w:left="1134" w:hanging="409"/>
        <w:jc w:val="both"/>
      </w:pPr>
      <w:r w:rsidRPr="00F3395E">
        <w:t>odpis na pokrycie kosztów końcowego postępowania z odpadami promieniotwórczymi i</w:t>
      </w:r>
      <w:r>
        <w:t> </w:t>
      </w:r>
      <w:r w:rsidRPr="00F3395E">
        <w:t xml:space="preserve">wypalonym paliwem jądrowym, tj. odpis na Fundusz Składowania Odpadów Promieniotwórczych i Wypalonego Paliwa Jądrowego, zasilanego przez operatorów obiektów energetyki jądrowej, </w:t>
      </w:r>
    </w:p>
    <w:p w14:paraId="061BBD39" w14:textId="77777777" w:rsidR="00084F8B" w:rsidRPr="00F3395E" w:rsidRDefault="00084F8B" w:rsidP="004725EF">
      <w:pPr>
        <w:numPr>
          <w:ilvl w:val="0"/>
          <w:numId w:val="18"/>
        </w:numPr>
        <w:tabs>
          <w:tab w:val="left" w:pos="1134"/>
        </w:tabs>
        <w:ind w:left="1134" w:hanging="409"/>
        <w:jc w:val="both"/>
      </w:pPr>
      <w:r w:rsidRPr="00F3395E">
        <w:t>odpis na pokrycie kosztów likwidacji elektrowni jądrowej, tj. odpis na Fundusz Likwidacji Obiektu Energetyki Jądrowej</w:t>
      </w:r>
      <w:r w:rsidRPr="00F3395E">
        <w:rPr>
          <w:lang w:eastAsia="en-US"/>
        </w:rPr>
        <w:t xml:space="preserve"> </w:t>
      </w:r>
      <w:r w:rsidRPr="00F3395E">
        <w:t>będącego elektrownią jądrową</w:t>
      </w:r>
      <w:r>
        <w:rPr>
          <w:rStyle w:val="Odwoanieprzypisudolnego"/>
        </w:rPr>
        <w:footnoteReference w:id="11"/>
      </w:r>
      <w:r w:rsidRPr="00F3395E">
        <w:t>;</w:t>
      </w:r>
    </w:p>
    <w:p w14:paraId="7136D772" w14:textId="77777777" w:rsidR="00084F8B" w:rsidRPr="00F3395E" w:rsidRDefault="00084F8B" w:rsidP="004725EF">
      <w:pPr>
        <w:numPr>
          <w:ilvl w:val="0"/>
          <w:numId w:val="69"/>
        </w:numPr>
        <w:ind w:left="709" w:hanging="283"/>
        <w:jc w:val="both"/>
      </w:pPr>
      <w:r w:rsidRPr="00F3395E">
        <w:lastRenderedPageBreak/>
        <w:t xml:space="preserve">wypracowanie i wdrożenie </w:t>
      </w:r>
      <w:r>
        <w:t xml:space="preserve">do systemu prawnego </w:t>
      </w:r>
      <w:r w:rsidRPr="00F3395E">
        <w:t xml:space="preserve">zasad zarządzania środkami finansowymi zgromadzonymi na Funduszu Składowania Odpadów Promieniotwórczych i Wypalonego Paliwa Jądrowego oraz Funduszu Likwidacji Obiektu Energetyki Jądrowej; </w:t>
      </w:r>
    </w:p>
    <w:p w14:paraId="5FF422E7" w14:textId="77777777" w:rsidR="00084F8B" w:rsidRPr="00F3395E" w:rsidRDefault="00084F8B" w:rsidP="004725EF">
      <w:pPr>
        <w:numPr>
          <w:ilvl w:val="0"/>
          <w:numId w:val="69"/>
        </w:numPr>
        <w:ind w:left="709" w:hanging="283"/>
        <w:jc w:val="both"/>
      </w:pPr>
      <w:r>
        <w:t>wyznaczenie</w:t>
      </w:r>
      <w:r w:rsidRPr="00F3395E">
        <w:t xml:space="preserve"> instytucji pełniącej nadzór nad Funduszem Składowania Odpadów Promieniotwórczych i Wypalonego Paliwa Jądrowego oraz Funduszem Likwidacji Obiektu Energetyki Jądrowej, wraz z zakresem nadzoru;</w:t>
      </w:r>
    </w:p>
    <w:p w14:paraId="33EBE6BD" w14:textId="77777777" w:rsidR="00084F8B" w:rsidRPr="00F3395E" w:rsidRDefault="00084F8B" w:rsidP="004725EF">
      <w:pPr>
        <w:numPr>
          <w:ilvl w:val="0"/>
          <w:numId w:val="69"/>
        </w:numPr>
        <w:ind w:left="709" w:hanging="283"/>
        <w:jc w:val="both"/>
      </w:pPr>
      <w:r w:rsidRPr="00F3395E">
        <w:t xml:space="preserve">określenie i wdrożenie </w:t>
      </w:r>
      <w:r>
        <w:t>do systemu prawnego</w:t>
      </w:r>
      <w:r w:rsidRPr="00F3395E">
        <w:t xml:space="preserve"> zasad aktualizacji wysokości odpisów dokonywanych na Fundusz Składowania Odpadów Promieniotwórczych i Wypalonego Paliwa Jądrowego oraz Fundusz Likwidacji Obiektu Energetyki Jądrowej;</w:t>
      </w:r>
    </w:p>
    <w:p w14:paraId="7BFFACEF" w14:textId="02565906" w:rsidR="00084F8B" w:rsidRPr="00F3395E" w:rsidRDefault="00F05EB8" w:rsidP="004725EF">
      <w:pPr>
        <w:numPr>
          <w:ilvl w:val="0"/>
          <w:numId w:val="69"/>
        </w:numPr>
        <w:ind w:left="709" w:hanging="283"/>
        <w:jc w:val="both"/>
      </w:pPr>
      <w:r>
        <w:t xml:space="preserve">zmianę ustawy </w:t>
      </w:r>
      <w:r w:rsidR="004A0809">
        <w:sym w:font="Symbol" w:char="F02D"/>
      </w:r>
      <w:r w:rsidR="004A0809">
        <w:t xml:space="preserve"> P</w:t>
      </w:r>
      <w:r>
        <w:t xml:space="preserve">rawo atomowe </w:t>
      </w:r>
      <w:r w:rsidR="00084F8B">
        <w:t xml:space="preserve"> umożliwiającą</w:t>
      </w:r>
      <w:r>
        <w:t xml:space="preserve"> wyłączenie ZUOP z </w:t>
      </w:r>
      <w:r w:rsidR="00084F8B">
        <w:t>limitu</w:t>
      </w:r>
      <w:r w:rsidR="00084F8B" w:rsidRPr="00055150">
        <w:t xml:space="preserve"> </w:t>
      </w:r>
      <w:r w:rsidR="00084F8B">
        <w:t xml:space="preserve">poziomu dotacji celowej określonego </w:t>
      </w:r>
      <w:r w:rsidR="001C052A">
        <w:t xml:space="preserve">w </w:t>
      </w:r>
      <w:r w:rsidR="00084F8B">
        <w:t>ustawie o finansach publicznych</w:t>
      </w:r>
      <w:r w:rsidR="00084F8B">
        <w:rPr>
          <w:rStyle w:val="Odwoanieprzypisudolnego"/>
        </w:rPr>
        <w:footnoteReference w:id="12"/>
      </w:r>
      <w:r w:rsidR="00084F8B">
        <w:t xml:space="preserve">, w celu sfinansowania budowy NSPOP; </w:t>
      </w:r>
    </w:p>
    <w:p w14:paraId="1A9A4995" w14:textId="77777777" w:rsidR="00084F8B" w:rsidRDefault="00084F8B" w:rsidP="004725EF">
      <w:pPr>
        <w:numPr>
          <w:ilvl w:val="0"/>
          <w:numId w:val="69"/>
        </w:numPr>
        <w:ind w:left="709" w:hanging="283"/>
        <w:jc w:val="both"/>
      </w:pPr>
      <w:r w:rsidRPr="00F3395E">
        <w:t xml:space="preserve">wykonanie analiz, opracowanie i wdrożenie </w:t>
      </w:r>
      <w:r>
        <w:t>do systemu prawnego</w:t>
      </w:r>
      <w:r w:rsidRPr="00F3395E">
        <w:t xml:space="preserve"> zasad finansowania budowy składowisk odpadów promieniotwórczych i wypalonego paliwa</w:t>
      </w:r>
      <w:r>
        <w:t xml:space="preserve">. </w:t>
      </w:r>
    </w:p>
    <w:p w14:paraId="2C059D3E" w14:textId="3EF38F11" w:rsidR="00084F8B" w:rsidRPr="00F3395E" w:rsidRDefault="00084F8B" w:rsidP="00C87B85">
      <w:pPr>
        <w:jc w:val="both"/>
      </w:pPr>
      <w:r w:rsidRPr="00F3395E">
        <w:t xml:space="preserve">Środki gromadzone na Funduszu Składowania Odpadów Promieniotwórczych i Wypalonego Paliwa Jądrowego oraz Funduszu Likwidacji Obiektu Energetyki Jądrowej będą pochodzić z kwartalnych wpłat na fundusze, dokonywanych przez operatora elektrowni jądrowej oraz z przychodów wynikających z dozwolonego prawem inwestowania środków funduszy. Środki finansowe gromadzone na obu funduszach będą wyłączone </w:t>
      </w:r>
      <w:r w:rsidR="001C052A" w:rsidRPr="00F3395E">
        <w:t>z</w:t>
      </w:r>
      <w:r w:rsidR="001C052A">
        <w:t xml:space="preserve"> </w:t>
      </w:r>
      <w:r w:rsidRPr="00F3395E">
        <w:t xml:space="preserve">masy upadłościowej operatora. Środki te będą zwolnione z egzekucji. </w:t>
      </w:r>
      <w:r>
        <w:t>Fundusz Likwidacji Obiektu Energetyki Jądrowej</w:t>
      </w:r>
      <w:r w:rsidRPr="008D0D4C">
        <w:t xml:space="preserve"> </w:t>
      </w:r>
      <w:r w:rsidRPr="00BC1198">
        <w:t>będącego elektrownią jądrową</w:t>
      </w:r>
      <w:r w:rsidRPr="008D0D4C">
        <w:t xml:space="preserve"> </w:t>
      </w:r>
      <w:r>
        <w:t>p</w:t>
      </w:r>
      <w:r w:rsidRPr="008D0D4C">
        <w:t>ozostanie w</w:t>
      </w:r>
      <w:r>
        <w:t xml:space="preserve"> </w:t>
      </w:r>
      <w:r w:rsidRPr="008D0D4C">
        <w:t>gestii operatora elektrowni jądrowej</w:t>
      </w:r>
      <w:r>
        <w:t xml:space="preserve">, jednak </w:t>
      </w:r>
      <w:r w:rsidRPr="008D0D4C">
        <w:t xml:space="preserve">wypłata możliwa </w:t>
      </w:r>
      <w:r>
        <w:t xml:space="preserve">będzie </w:t>
      </w:r>
      <w:r w:rsidRPr="008D0D4C">
        <w:t xml:space="preserve">po </w:t>
      </w:r>
      <w:r>
        <w:t xml:space="preserve">uprzednim </w:t>
      </w:r>
      <w:r w:rsidRPr="008D0D4C">
        <w:t>uzyskaniu pozytywnej opinii instytucji</w:t>
      </w:r>
      <w:r>
        <w:t xml:space="preserve"> nadzorującej fundusz</w:t>
      </w:r>
      <w:r w:rsidRPr="008D0D4C">
        <w:t>.</w:t>
      </w:r>
    </w:p>
    <w:p w14:paraId="6E6E0B45" w14:textId="5CCF4AFF" w:rsidR="00084F8B" w:rsidRPr="00F3395E" w:rsidRDefault="00084F8B" w:rsidP="00C87B85">
      <w:pPr>
        <w:jc w:val="both"/>
      </w:pPr>
      <w:r w:rsidRPr="00F3395E">
        <w:t>Wpłaty na fundusze uzależnione będą od ilości wytworzonej w elektrowni jądrowej</w:t>
      </w:r>
      <w:r w:rsidR="00500C53">
        <w:t>,</w:t>
      </w:r>
      <w:r w:rsidRPr="00F3395E">
        <w:t xml:space="preserve"> energii elektrycznej. Wysokość tych odpisów będzie cyklicznie aktualizowana przez instytucję nadzorującą fundusze. </w:t>
      </w:r>
    </w:p>
    <w:p w14:paraId="0EB3354E" w14:textId="77777777" w:rsidR="00084F8B" w:rsidRPr="00F3395E" w:rsidRDefault="00084F8B" w:rsidP="00C87B85">
      <w:pPr>
        <w:spacing w:before="120" w:after="120"/>
        <w:jc w:val="both"/>
      </w:pPr>
      <w:r w:rsidRPr="00F3395E">
        <w:t>Wypłata środków z funduszy będzie możliwa po uprzednim uzyskaniu pozytywnej opinii instytucji nadzorującej fundusze.</w:t>
      </w:r>
    </w:p>
    <w:p w14:paraId="0C109FB8" w14:textId="77777777" w:rsidR="00084F8B" w:rsidRPr="001A59AA" w:rsidRDefault="00084F8B" w:rsidP="003A38AD">
      <w:pPr>
        <w:spacing w:before="240" w:after="240"/>
        <w:jc w:val="both"/>
        <w:rPr>
          <w:b/>
        </w:rPr>
      </w:pPr>
      <w:r w:rsidRPr="001A59AA">
        <w:rPr>
          <w:b/>
        </w:rPr>
        <w:t>Odpowiedzialni za realizację:</w:t>
      </w:r>
    </w:p>
    <w:p w14:paraId="74CC1A07" w14:textId="77777777" w:rsidR="00084F8B" w:rsidRPr="00E45810" w:rsidRDefault="00084F8B" w:rsidP="003A38AD">
      <w:pPr>
        <w:numPr>
          <w:ilvl w:val="0"/>
          <w:numId w:val="84"/>
        </w:numPr>
        <w:jc w:val="both"/>
      </w:pPr>
      <w:r w:rsidRPr="00E45810">
        <w:t xml:space="preserve">Minister </w:t>
      </w:r>
      <w:r>
        <w:t xml:space="preserve">właściwy ds. </w:t>
      </w:r>
      <w:r w:rsidR="0006058C">
        <w:t xml:space="preserve">energii </w:t>
      </w:r>
      <w:r>
        <w:t>- organ wiodący</w:t>
      </w:r>
      <w:r w:rsidR="00184C04">
        <w:t>.</w:t>
      </w:r>
    </w:p>
    <w:p w14:paraId="550F639F" w14:textId="177CFBB2" w:rsidR="00084F8B" w:rsidRPr="00F74164" w:rsidRDefault="00084F8B" w:rsidP="008D5796">
      <w:pPr>
        <w:pStyle w:val="Nagwek3"/>
      </w:pPr>
      <w:bookmarkStart w:id="62" w:name="_Toc397697003"/>
      <w:bookmarkStart w:id="63" w:name="_Toc424116689"/>
      <w:r>
        <w:t>1</w:t>
      </w:r>
      <w:r w:rsidRPr="00F74164">
        <w:t>.3.4</w:t>
      </w:r>
      <w:r>
        <w:t>.</w:t>
      </w:r>
      <w:r w:rsidRPr="00F74164">
        <w:t xml:space="preserve"> Stworzenie programu naukowo-badawczego dotyczącego </w:t>
      </w:r>
      <w:r>
        <w:t xml:space="preserve">postępowania </w:t>
      </w:r>
      <w:r w:rsidR="00500C53">
        <w:br/>
      </w:r>
      <w:r>
        <w:t>z</w:t>
      </w:r>
      <w:r w:rsidRPr="00F74164">
        <w:t xml:space="preserve"> odpadami promieniotwórczymi i wypalonym paliwem jądrowym</w:t>
      </w:r>
      <w:bookmarkEnd w:id="62"/>
      <w:bookmarkEnd w:id="63"/>
      <w:r w:rsidRPr="00F74164">
        <w:t xml:space="preserve"> </w:t>
      </w:r>
    </w:p>
    <w:p w14:paraId="4A6DA5F3" w14:textId="77777777" w:rsidR="00084F8B" w:rsidRPr="00BA6461" w:rsidRDefault="00084F8B" w:rsidP="00C87B85">
      <w:pPr>
        <w:spacing w:before="120" w:after="120"/>
        <w:ind w:firstLine="567"/>
        <w:jc w:val="both"/>
      </w:pPr>
      <w:r w:rsidRPr="00BA6461">
        <w:t xml:space="preserve">Celem </w:t>
      </w:r>
      <w:r>
        <w:t xml:space="preserve">niniejszego zadania </w:t>
      </w:r>
      <w:r w:rsidRPr="00BA6461">
        <w:t xml:space="preserve">jest </w:t>
      </w:r>
      <w:r>
        <w:t>ustalenie i wykonanie programu naukowo-badawczego dotyczące</w:t>
      </w:r>
      <w:r w:rsidR="00892C16">
        <w:t>go</w:t>
      </w:r>
      <w:r>
        <w:t xml:space="preserve"> </w:t>
      </w:r>
      <w:r w:rsidRPr="00BA6461">
        <w:t>postępowania z odpadami promieniotwórczymi i wypalonym paliwem jądrowym</w:t>
      </w:r>
      <w:r>
        <w:t xml:space="preserve">, przy uwzględnieniu </w:t>
      </w:r>
      <w:r w:rsidRPr="00BA6461">
        <w:t xml:space="preserve">posiadanych środków finansowych, </w:t>
      </w:r>
      <w:r>
        <w:t xml:space="preserve">oraz </w:t>
      </w:r>
      <w:r w:rsidRPr="00BA6461">
        <w:t>włącz</w:t>
      </w:r>
      <w:r>
        <w:t>eniu polskich ekspertów i naukowców z instytutów naukowych i </w:t>
      </w:r>
      <w:r w:rsidRPr="00BA6461">
        <w:t xml:space="preserve">badawczych </w:t>
      </w:r>
      <w:r>
        <w:t>jak również specjalistów z zakresu postępowania z odpadami promieniotwórczymi z krajowego przemysłu</w:t>
      </w:r>
      <w:r w:rsidRPr="00BA6461">
        <w:t xml:space="preserve">. </w:t>
      </w:r>
      <w:r>
        <w:t>Najważniejsze obszary</w:t>
      </w:r>
      <w:r w:rsidRPr="00BA6461">
        <w:t xml:space="preserve"> bada</w:t>
      </w:r>
      <w:r>
        <w:t>wcze zostały przedstawione w rozdziale 6 niniejszego</w:t>
      </w:r>
      <w:r w:rsidRPr="00BA6461">
        <w:t xml:space="preserve"> </w:t>
      </w:r>
      <w:r>
        <w:t xml:space="preserve">dokumentu. </w:t>
      </w:r>
    </w:p>
    <w:p w14:paraId="6B843749" w14:textId="77777777" w:rsidR="00084F8B" w:rsidRPr="00D153ED" w:rsidRDefault="00084F8B" w:rsidP="00505BC8">
      <w:pPr>
        <w:spacing w:before="240" w:after="240"/>
        <w:jc w:val="both"/>
        <w:rPr>
          <w:b/>
        </w:rPr>
      </w:pPr>
      <w:r w:rsidRPr="00D153ED">
        <w:rPr>
          <w:b/>
        </w:rPr>
        <w:t>Odpowiedzialni za realizację:</w:t>
      </w:r>
    </w:p>
    <w:p w14:paraId="4A49EDD2" w14:textId="77777777" w:rsidR="00084F8B" w:rsidRDefault="00084F8B" w:rsidP="00505BC8">
      <w:pPr>
        <w:numPr>
          <w:ilvl w:val="0"/>
          <w:numId w:val="85"/>
        </w:numPr>
        <w:jc w:val="both"/>
      </w:pPr>
      <w:r w:rsidRPr="00BA6461">
        <w:t>Narodowe Centrum Badań i Rozwoju (NCBiR)</w:t>
      </w:r>
      <w:r>
        <w:t xml:space="preserve"> </w:t>
      </w:r>
      <w:r w:rsidRPr="00BA6461">
        <w:t xml:space="preserve">- </w:t>
      </w:r>
      <w:r>
        <w:t>podmiot wiodący;</w:t>
      </w:r>
    </w:p>
    <w:p w14:paraId="11356656" w14:textId="77777777" w:rsidR="00084F8B" w:rsidRDefault="00084F8B" w:rsidP="00505BC8">
      <w:pPr>
        <w:numPr>
          <w:ilvl w:val="0"/>
          <w:numId w:val="85"/>
        </w:numPr>
        <w:jc w:val="both"/>
      </w:pPr>
      <w:r w:rsidRPr="00E45810">
        <w:t xml:space="preserve">Minister </w:t>
      </w:r>
      <w:r>
        <w:t xml:space="preserve">właściwy ds. </w:t>
      </w:r>
      <w:r w:rsidR="00992183">
        <w:t>energii</w:t>
      </w:r>
      <w:r>
        <w:t>;</w:t>
      </w:r>
    </w:p>
    <w:p w14:paraId="48A3AAF0" w14:textId="77777777" w:rsidR="00084F8B" w:rsidRPr="00BA6461" w:rsidRDefault="00084F8B" w:rsidP="00505BC8">
      <w:pPr>
        <w:numPr>
          <w:ilvl w:val="0"/>
          <w:numId w:val="85"/>
        </w:numPr>
        <w:jc w:val="both"/>
      </w:pPr>
      <w:r w:rsidRPr="00BA6461">
        <w:t xml:space="preserve">Minister </w:t>
      </w:r>
      <w:r>
        <w:t>właściwy ds. nauki;</w:t>
      </w:r>
    </w:p>
    <w:p w14:paraId="49E18DC8" w14:textId="77777777" w:rsidR="00084F8B" w:rsidRDefault="00084F8B" w:rsidP="00505BC8">
      <w:pPr>
        <w:numPr>
          <w:ilvl w:val="0"/>
          <w:numId w:val="85"/>
        </w:numPr>
        <w:jc w:val="both"/>
      </w:pPr>
      <w:r w:rsidRPr="00BA6461">
        <w:t>ZUOP</w:t>
      </w:r>
      <w:r>
        <w:t>;</w:t>
      </w:r>
    </w:p>
    <w:p w14:paraId="6D090E44" w14:textId="77777777" w:rsidR="00084F8B" w:rsidRPr="00BA6461" w:rsidRDefault="00084F8B" w:rsidP="00505BC8">
      <w:pPr>
        <w:numPr>
          <w:ilvl w:val="0"/>
          <w:numId w:val="85"/>
        </w:numPr>
        <w:jc w:val="both"/>
      </w:pPr>
      <w:r>
        <w:t>Instytuty naukowe i b</w:t>
      </w:r>
      <w:r w:rsidRPr="00BA6461">
        <w:t>adawcze</w:t>
      </w:r>
      <w:r>
        <w:t>;</w:t>
      </w:r>
    </w:p>
    <w:p w14:paraId="0F753407" w14:textId="77777777" w:rsidR="00084F8B" w:rsidRDefault="00084F8B" w:rsidP="00505BC8">
      <w:pPr>
        <w:numPr>
          <w:ilvl w:val="0"/>
          <w:numId w:val="85"/>
        </w:numPr>
        <w:jc w:val="both"/>
      </w:pPr>
      <w:r w:rsidRPr="00BA6461">
        <w:t>Narodowe Centrum Nauki (NCN).</w:t>
      </w:r>
    </w:p>
    <w:p w14:paraId="1E59A49F" w14:textId="77777777" w:rsidR="00084F8B" w:rsidRPr="00F74164" w:rsidRDefault="00084F8B" w:rsidP="008D5796">
      <w:pPr>
        <w:pStyle w:val="Nagwek3"/>
      </w:pPr>
      <w:bookmarkStart w:id="64" w:name="_Toc397697004"/>
      <w:bookmarkStart w:id="65" w:name="_Toc424116690"/>
      <w:r>
        <w:lastRenderedPageBreak/>
        <w:t>1.3.5.</w:t>
      </w:r>
      <w:r w:rsidRPr="00F74164">
        <w:t xml:space="preserve"> </w:t>
      </w:r>
      <w:r w:rsidRPr="006A6AB1">
        <w:t xml:space="preserve">Przygotowanie kadr dla krajowych instytucji </w:t>
      </w:r>
      <w:r>
        <w:t xml:space="preserve">i podmiotów gospodarczych </w:t>
      </w:r>
      <w:r w:rsidRPr="006A6AB1">
        <w:t>zaangażowanych w postępowanie z odpadami promieniotwórczymi</w:t>
      </w:r>
      <w:r>
        <w:t xml:space="preserve"> oraz Nadzór nad tym postępowaniem</w:t>
      </w:r>
      <w:bookmarkEnd w:id="64"/>
      <w:bookmarkEnd w:id="65"/>
      <w:r>
        <w:t xml:space="preserve"> </w:t>
      </w:r>
    </w:p>
    <w:p w14:paraId="700D2473" w14:textId="77777777" w:rsidR="00084F8B" w:rsidRPr="00BA6461" w:rsidRDefault="00084F8B" w:rsidP="00C87B85">
      <w:pPr>
        <w:spacing w:after="240"/>
        <w:ind w:firstLine="567"/>
        <w:jc w:val="both"/>
      </w:pPr>
      <w:r w:rsidRPr="00BA6461">
        <w:t xml:space="preserve">Celem </w:t>
      </w:r>
      <w:r>
        <w:t xml:space="preserve">niniejszego zadania </w:t>
      </w:r>
      <w:r w:rsidRPr="00BA6461">
        <w:t xml:space="preserve">jest </w:t>
      </w:r>
      <w:r>
        <w:t xml:space="preserve">zapewnienie odpowiedniej ilości wykwalifikowanych kadr dla funkcjonowania i rozwoju instytucji i podmiotów gospodarczych zaangażowanych w postępowanie z odpadami promieniotwórczymi.  </w:t>
      </w:r>
    </w:p>
    <w:p w14:paraId="433C54ED" w14:textId="77777777" w:rsidR="00084F8B" w:rsidRPr="00D153ED" w:rsidRDefault="00084F8B" w:rsidP="00D153ED">
      <w:pPr>
        <w:spacing w:after="120"/>
        <w:jc w:val="both"/>
        <w:rPr>
          <w:b/>
        </w:rPr>
      </w:pPr>
      <w:r w:rsidRPr="00D153ED">
        <w:rPr>
          <w:b/>
        </w:rPr>
        <w:t>Odpowiedzialni za realizację:</w:t>
      </w:r>
    </w:p>
    <w:p w14:paraId="7C92D964" w14:textId="77777777" w:rsidR="00084F8B" w:rsidRDefault="00084F8B" w:rsidP="00022986">
      <w:pPr>
        <w:numPr>
          <w:ilvl w:val="0"/>
          <w:numId w:val="86"/>
        </w:numPr>
        <w:ind w:left="714" w:hanging="357"/>
        <w:jc w:val="both"/>
      </w:pPr>
      <w:r w:rsidRPr="00E45810">
        <w:t xml:space="preserve">Minister </w:t>
      </w:r>
      <w:r>
        <w:t xml:space="preserve">właściwy ds. </w:t>
      </w:r>
      <w:r w:rsidR="00992183">
        <w:t>energii</w:t>
      </w:r>
      <w:r w:rsidRPr="00BA6461" w:rsidDel="002807F9">
        <w:t xml:space="preserve"> </w:t>
      </w:r>
      <w:r>
        <w:t>- organ wiodący;</w:t>
      </w:r>
    </w:p>
    <w:p w14:paraId="28AAD49B" w14:textId="77777777" w:rsidR="00084F8B" w:rsidRPr="00BA6461" w:rsidRDefault="00084F8B" w:rsidP="00022986">
      <w:pPr>
        <w:numPr>
          <w:ilvl w:val="0"/>
          <w:numId w:val="86"/>
        </w:numPr>
        <w:ind w:left="714" w:hanging="357"/>
        <w:jc w:val="both"/>
      </w:pPr>
      <w:r>
        <w:t>Prezes PAA - w zakresie własnych kadr;</w:t>
      </w:r>
    </w:p>
    <w:p w14:paraId="3CAAFAC7" w14:textId="77777777" w:rsidR="00084F8B" w:rsidRPr="00BA6461" w:rsidRDefault="00084F8B" w:rsidP="00022986">
      <w:pPr>
        <w:numPr>
          <w:ilvl w:val="0"/>
          <w:numId w:val="86"/>
        </w:numPr>
        <w:ind w:left="714" w:hanging="357"/>
        <w:jc w:val="both"/>
      </w:pPr>
      <w:r w:rsidRPr="00BA6461">
        <w:t>ZUOP</w:t>
      </w:r>
      <w:r>
        <w:t>;</w:t>
      </w:r>
    </w:p>
    <w:p w14:paraId="06636E2D" w14:textId="77777777" w:rsidR="00084F8B" w:rsidRDefault="00084F8B" w:rsidP="00022986">
      <w:pPr>
        <w:numPr>
          <w:ilvl w:val="0"/>
          <w:numId w:val="86"/>
        </w:numPr>
        <w:ind w:left="714" w:hanging="357"/>
        <w:jc w:val="both"/>
      </w:pPr>
      <w:r>
        <w:t>Instytuty naukowe i badawcze;</w:t>
      </w:r>
    </w:p>
    <w:p w14:paraId="2F866B92" w14:textId="77777777" w:rsidR="00084F8B" w:rsidRDefault="00084F8B" w:rsidP="00C57194">
      <w:pPr>
        <w:numPr>
          <w:ilvl w:val="0"/>
          <w:numId w:val="86"/>
        </w:numPr>
        <w:ind w:left="714" w:hanging="357"/>
        <w:jc w:val="both"/>
      </w:pPr>
      <w:r w:rsidRPr="00E45810">
        <w:t>Inwestor</w:t>
      </w:r>
      <w:r>
        <w:t>/operator elektrowni jądrowej – w zakresie własnych kadr.</w:t>
      </w:r>
    </w:p>
    <w:p w14:paraId="52D994DB" w14:textId="7B0F0385" w:rsidR="00084F8B" w:rsidRDefault="00084F8B" w:rsidP="00022986">
      <w:pPr>
        <w:spacing w:before="120"/>
        <w:jc w:val="both"/>
        <w:rPr>
          <w:b/>
          <w:sz w:val="22"/>
        </w:rPr>
      </w:pPr>
      <w:r w:rsidRPr="00AA7F7A">
        <w:rPr>
          <w:b/>
          <w:sz w:val="22"/>
        </w:rPr>
        <w:t>Szcze</w:t>
      </w:r>
      <w:r w:rsidR="00992183">
        <w:rPr>
          <w:b/>
          <w:sz w:val="22"/>
        </w:rPr>
        <w:t xml:space="preserve">gółowy opis działań </w:t>
      </w:r>
      <w:r w:rsidRPr="00AA7F7A">
        <w:rPr>
          <w:b/>
          <w:sz w:val="22"/>
        </w:rPr>
        <w:t xml:space="preserve"> </w:t>
      </w:r>
      <w:r>
        <w:rPr>
          <w:b/>
          <w:sz w:val="22"/>
        </w:rPr>
        <w:t xml:space="preserve">w zakresie zadań wymienionych w rozdziale 1.3 </w:t>
      </w:r>
      <w:r w:rsidRPr="00AA7F7A">
        <w:rPr>
          <w:b/>
          <w:sz w:val="22"/>
        </w:rPr>
        <w:t>zawiera Załącznik nr 1 pt. Program d</w:t>
      </w:r>
      <w:r w:rsidR="00992183">
        <w:rPr>
          <w:b/>
          <w:sz w:val="22"/>
        </w:rPr>
        <w:t>ziałań wykonawczych</w:t>
      </w:r>
      <w:r w:rsidRPr="009C0EB6">
        <w:rPr>
          <w:b/>
          <w:sz w:val="22"/>
        </w:rPr>
        <w:t>.</w:t>
      </w:r>
    </w:p>
    <w:p w14:paraId="00308714" w14:textId="77777777" w:rsidR="00084F8B" w:rsidRPr="00AA7F7A" w:rsidRDefault="00084F8B" w:rsidP="00022986">
      <w:pPr>
        <w:spacing w:before="120"/>
        <w:jc w:val="both"/>
        <w:rPr>
          <w:sz w:val="22"/>
        </w:rPr>
      </w:pPr>
    </w:p>
    <w:p w14:paraId="60BAC4DC" w14:textId="77777777" w:rsidR="00084F8B" w:rsidRPr="008434E1" w:rsidRDefault="00084F8B" w:rsidP="008D5796">
      <w:pPr>
        <w:pStyle w:val="Nagwek2"/>
      </w:pPr>
      <w:bookmarkStart w:id="66" w:name="_Toc397697005"/>
      <w:bookmarkStart w:id="67" w:name="_Toc424116691"/>
      <w:r w:rsidRPr="008434E1">
        <w:t>1.4</w:t>
      </w:r>
      <w:r>
        <w:t>.</w:t>
      </w:r>
      <w:r w:rsidRPr="008434E1">
        <w:t xml:space="preserve"> Koszty realizacji i źródła finansowania </w:t>
      </w:r>
      <w:r>
        <w:t>Krajowego p</w:t>
      </w:r>
      <w:r w:rsidRPr="008434E1">
        <w:t>lanu</w:t>
      </w:r>
      <w:bookmarkEnd w:id="66"/>
      <w:bookmarkEnd w:id="67"/>
      <w:r w:rsidRPr="008434E1">
        <w:t xml:space="preserve"> </w:t>
      </w:r>
    </w:p>
    <w:p w14:paraId="781F0768" w14:textId="25D071CA" w:rsidR="00084F8B" w:rsidRDefault="00084F8B" w:rsidP="00C87B85">
      <w:pPr>
        <w:ind w:firstLine="567"/>
        <w:jc w:val="both"/>
        <w:rPr>
          <w:rFonts w:cs="Calibri"/>
        </w:rPr>
      </w:pPr>
      <w:r w:rsidRPr="002534C2">
        <w:rPr>
          <w:rFonts w:cs="Calibri"/>
        </w:rPr>
        <w:t xml:space="preserve">Wyliczenia kosztów realizacji </w:t>
      </w:r>
      <w:r>
        <w:rPr>
          <w:rFonts w:cs="Calibri"/>
        </w:rPr>
        <w:t>Krajowego p</w:t>
      </w:r>
      <w:r w:rsidR="002166A9">
        <w:rPr>
          <w:rFonts w:cs="Calibri"/>
        </w:rPr>
        <w:t>lanu</w:t>
      </w:r>
      <w:r w:rsidR="00192B60">
        <w:rPr>
          <w:rFonts w:cs="Calibri"/>
        </w:rPr>
        <w:t xml:space="preserve"> przeprowadzono dla lat </w:t>
      </w:r>
      <w:r w:rsidR="00192B60" w:rsidRPr="00C20BBB">
        <w:rPr>
          <w:rFonts w:cs="Calibri"/>
        </w:rPr>
        <w:t>20</w:t>
      </w:r>
      <w:r w:rsidR="00C20BBB" w:rsidRPr="00C20BBB">
        <w:rPr>
          <w:rFonts w:cs="Calibri"/>
        </w:rPr>
        <w:t>2</w:t>
      </w:r>
      <w:r w:rsidR="00192B60" w:rsidRPr="00C20BBB">
        <w:rPr>
          <w:rFonts w:cs="Calibri"/>
        </w:rPr>
        <w:t>0-203</w:t>
      </w:r>
      <w:r w:rsidR="00C20BBB" w:rsidRPr="00C20BBB">
        <w:rPr>
          <w:rFonts w:cs="Calibri"/>
        </w:rPr>
        <w:t>3</w:t>
      </w:r>
      <w:r w:rsidR="00CB4747">
        <w:rPr>
          <w:rFonts w:cs="Calibri"/>
        </w:rPr>
        <w:t xml:space="preserve">, w tym </w:t>
      </w:r>
      <w:r w:rsidR="00486D9A">
        <w:rPr>
          <w:rFonts w:cs="Calibri"/>
        </w:rPr>
        <w:t>szczegółowo w</w:t>
      </w:r>
      <w:r w:rsidR="00CB4747">
        <w:rPr>
          <w:rFonts w:cs="Calibri"/>
        </w:rPr>
        <w:t xml:space="preserve"> rozbiciu na poszczególne lata do kolejnej aktualizacji Krajowego Planu.</w:t>
      </w:r>
      <w:r w:rsidRPr="002534C2">
        <w:rPr>
          <w:rFonts w:cs="Calibri"/>
        </w:rPr>
        <w:t xml:space="preserve"> </w:t>
      </w:r>
      <w:r>
        <w:rPr>
          <w:rFonts w:cs="Calibri"/>
        </w:rPr>
        <w:t>Szacunki kosztów będą aktualizowane wraz z aktualizacją Krajowego planu, stosownie do dyspozycji art. 57c ust. 4 ustawy – Prawo atomowe</w:t>
      </w:r>
      <w:r w:rsidRPr="00B7178B">
        <w:rPr>
          <w:rFonts w:cs="Calibri"/>
        </w:rPr>
        <w:t xml:space="preserve">. </w:t>
      </w:r>
    </w:p>
    <w:p w14:paraId="596C270D" w14:textId="3E6CD4B0" w:rsidR="00084F8B" w:rsidRDefault="00500C53" w:rsidP="00C5578D">
      <w:pPr>
        <w:jc w:val="both"/>
        <w:rPr>
          <w:rFonts w:cs="Calibri"/>
        </w:rPr>
      </w:pPr>
      <w:r>
        <w:rPr>
          <w:rFonts w:cs="Calibri"/>
        </w:rPr>
        <w:t>2019</w:t>
      </w:r>
    </w:p>
    <w:p w14:paraId="25230ABF" w14:textId="77777777" w:rsidR="00977E68" w:rsidRDefault="00977E68" w:rsidP="00C5578D">
      <w:pPr>
        <w:jc w:val="both"/>
        <w:rPr>
          <w:rFonts w:cs="Calibri"/>
        </w:rPr>
      </w:pPr>
    </w:p>
    <w:p w14:paraId="4C5FFFE0" w14:textId="5B4C011D" w:rsidR="00084F8B" w:rsidRPr="00141C2D" w:rsidRDefault="0036181F" w:rsidP="0036181F">
      <w:pPr>
        <w:rPr>
          <w:rFonts w:cs="Calibri"/>
          <w:b/>
        </w:rPr>
      </w:pPr>
      <w:r>
        <w:rPr>
          <w:b/>
        </w:rPr>
        <w:t>Tabela nr 1.3</w:t>
      </w:r>
      <w:r w:rsidR="00084F8B" w:rsidRPr="00141C2D">
        <w:rPr>
          <w:b/>
        </w:rPr>
        <w:t xml:space="preserve"> </w:t>
      </w:r>
      <w:r w:rsidR="00084F8B" w:rsidRPr="00141C2D">
        <w:rPr>
          <w:rFonts w:cs="Calibri"/>
          <w:b/>
        </w:rPr>
        <w:t xml:space="preserve">Koszty realizacji Krajowego </w:t>
      </w:r>
      <w:r w:rsidR="00084F8B">
        <w:rPr>
          <w:rFonts w:cs="Calibri"/>
          <w:b/>
        </w:rPr>
        <w:t>planu w latach</w:t>
      </w:r>
      <w:r w:rsidR="00A11BC6">
        <w:rPr>
          <w:rFonts w:cs="Calibri"/>
          <w:b/>
        </w:rPr>
        <w:t xml:space="preserve"> </w:t>
      </w:r>
      <w:r w:rsidR="00A11BC6" w:rsidRPr="00C20BBB">
        <w:rPr>
          <w:rFonts w:cs="Calibri"/>
          <w:b/>
        </w:rPr>
        <w:t>2019</w:t>
      </w:r>
      <w:r w:rsidR="00084F8B" w:rsidRPr="00C20BBB">
        <w:rPr>
          <w:rFonts w:cs="Calibri"/>
          <w:b/>
        </w:rPr>
        <w:t>-20</w:t>
      </w:r>
      <w:r w:rsidR="00A11BC6" w:rsidRPr="00C20BBB">
        <w:rPr>
          <w:rFonts w:cs="Calibri"/>
          <w:b/>
        </w:rPr>
        <w:t>33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623"/>
        <w:gridCol w:w="2600"/>
        <w:gridCol w:w="1351"/>
        <w:gridCol w:w="1028"/>
        <w:gridCol w:w="1028"/>
        <w:gridCol w:w="1210"/>
        <w:gridCol w:w="1210"/>
      </w:tblGrid>
      <w:tr w:rsidR="00084F8B" w:rsidRPr="00800F6F" w14:paraId="2B2C126F" w14:textId="77777777" w:rsidTr="00CB4747">
        <w:trPr>
          <w:trHeight w:val="551"/>
        </w:trPr>
        <w:tc>
          <w:tcPr>
            <w:tcW w:w="707" w:type="dxa"/>
            <w:vMerge w:val="restart"/>
            <w:tcBorders>
              <w:top w:val="single" w:sz="8" w:space="0" w:color="9BBB59"/>
            </w:tcBorders>
            <w:shd w:val="clear" w:color="auto" w:fill="92D050"/>
          </w:tcPr>
          <w:p w14:paraId="19E820F3" w14:textId="77777777" w:rsidR="00084F8B" w:rsidRPr="00800F6F" w:rsidRDefault="00084F8B" w:rsidP="00B50CAF">
            <w:pPr>
              <w:jc w:val="center"/>
              <w:rPr>
                <w:rFonts w:cs="Calibri"/>
                <w:b/>
                <w:color w:val="FFFFFF"/>
              </w:rPr>
            </w:pPr>
            <w:r w:rsidRPr="00800F6F">
              <w:rPr>
                <w:rFonts w:cs="Calibri"/>
                <w:b/>
                <w:color w:val="FFFFFF"/>
              </w:rPr>
              <w:t>Lp.</w:t>
            </w:r>
          </w:p>
        </w:tc>
        <w:tc>
          <w:tcPr>
            <w:tcW w:w="2881" w:type="dxa"/>
            <w:vMerge w:val="restart"/>
            <w:tcBorders>
              <w:top w:val="single" w:sz="8" w:space="0" w:color="9BBB59"/>
            </w:tcBorders>
            <w:shd w:val="clear" w:color="auto" w:fill="92D050"/>
          </w:tcPr>
          <w:p w14:paraId="7944C551" w14:textId="77777777" w:rsidR="00084F8B" w:rsidRPr="00800F6F" w:rsidRDefault="00084F8B" w:rsidP="00060BE3">
            <w:pPr>
              <w:jc w:val="center"/>
              <w:rPr>
                <w:rFonts w:cs="Calibri"/>
                <w:b/>
                <w:color w:val="FFFFFF"/>
              </w:rPr>
            </w:pPr>
            <w:r w:rsidRPr="00800F6F">
              <w:rPr>
                <w:rFonts w:cs="Calibri"/>
                <w:b/>
                <w:color w:val="FFFFFF"/>
              </w:rPr>
              <w:t>Zadanie</w:t>
            </w:r>
          </w:p>
        </w:tc>
        <w:tc>
          <w:tcPr>
            <w:tcW w:w="1351" w:type="dxa"/>
            <w:vMerge w:val="restart"/>
            <w:tcBorders>
              <w:top w:val="single" w:sz="8" w:space="0" w:color="9BBB59"/>
            </w:tcBorders>
            <w:shd w:val="clear" w:color="auto" w:fill="92D050"/>
            <w:vAlign w:val="center"/>
          </w:tcPr>
          <w:p w14:paraId="5E52B9B9" w14:textId="0DFE2F8B" w:rsidR="00084F8B" w:rsidRPr="00800F6F" w:rsidRDefault="002166A9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 xml:space="preserve">Wydatki </w:t>
            </w:r>
            <w:r w:rsidR="00486D9A">
              <w:rPr>
                <w:rFonts w:cs="Calibri"/>
                <w:b/>
                <w:color w:val="FFFFFF"/>
              </w:rPr>
              <w:t xml:space="preserve">do </w:t>
            </w:r>
            <w:r w:rsidR="00486D9A" w:rsidRPr="00C20BBB">
              <w:rPr>
                <w:rFonts w:cs="Calibri"/>
                <w:b/>
                <w:color w:val="FFFFFF"/>
              </w:rPr>
              <w:t>2033 r</w:t>
            </w:r>
            <w:r w:rsidR="00084F8B" w:rsidRPr="00C20BBB">
              <w:rPr>
                <w:rFonts w:cs="Calibri"/>
                <w:b/>
                <w:color w:val="FFFFFF"/>
              </w:rPr>
              <w:t>.</w:t>
            </w:r>
          </w:p>
          <w:p w14:paraId="26ABCD71" w14:textId="77777777" w:rsidR="00084F8B" w:rsidRPr="00800F6F" w:rsidRDefault="00084F8B" w:rsidP="00C035EE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 w:rsidRPr="00800F6F">
              <w:rPr>
                <w:rFonts w:cs="Calibri"/>
                <w:b/>
                <w:color w:val="FFFFFF"/>
              </w:rPr>
              <w:t>tys. zł.</w:t>
            </w:r>
          </w:p>
        </w:tc>
        <w:tc>
          <w:tcPr>
            <w:tcW w:w="4347" w:type="dxa"/>
            <w:gridSpan w:val="4"/>
            <w:tcBorders>
              <w:top w:val="single" w:sz="8" w:space="0" w:color="9BBB59"/>
            </w:tcBorders>
            <w:shd w:val="clear" w:color="auto" w:fill="92D050"/>
            <w:vAlign w:val="center"/>
          </w:tcPr>
          <w:p w14:paraId="27F53CB9" w14:textId="7E8996A9" w:rsidR="00084F8B" w:rsidRPr="00800F6F" w:rsidRDefault="002166A9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W tym wyd</w:t>
            </w:r>
            <w:r w:rsidR="00D015A6">
              <w:rPr>
                <w:rFonts w:cs="Calibri"/>
                <w:b/>
                <w:color w:val="FFFFFF"/>
              </w:rPr>
              <w:t>atki w latach 2020 -2023</w:t>
            </w:r>
          </w:p>
          <w:p w14:paraId="0627426D" w14:textId="77777777" w:rsidR="00084F8B" w:rsidRPr="00800F6F" w:rsidRDefault="00084F8B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 w:rsidRPr="00800F6F">
              <w:rPr>
                <w:rFonts w:cs="Calibri"/>
                <w:b/>
                <w:color w:val="FFFFFF"/>
              </w:rPr>
              <w:t>tys. zł.</w:t>
            </w:r>
          </w:p>
        </w:tc>
      </w:tr>
      <w:tr w:rsidR="00A010C9" w:rsidRPr="00800F6F" w14:paraId="184FC002" w14:textId="77777777" w:rsidTr="00B9703D">
        <w:trPr>
          <w:trHeight w:val="414"/>
        </w:trPr>
        <w:tc>
          <w:tcPr>
            <w:tcW w:w="707" w:type="dxa"/>
            <w:vMerge/>
            <w:shd w:val="clear" w:color="auto" w:fill="92D050"/>
          </w:tcPr>
          <w:p w14:paraId="54CC0710" w14:textId="77777777" w:rsidR="00084F8B" w:rsidRPr="00800F6F" w:rsidRDefault="00084F8B" w:rsidP="000D4C98">
            <w:pPr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2881" w:type="dxa"/>
            <w:vMerge/>
            <w:shd w:val="clear" w:color="auto" w:fill="92D050"/>
          </w:tcPr>
          <w:p w14:paraId="3237C961" w14:textId="77777777" w:rsidR="00084F8B" w:rsidRPr="00800F6F" w:rsidRDefault="00084F8B" w:rsidP="000D4C98">
            <w:pPr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351" w:type="dxa"/>
            <w:vMerge/>
            <w:shd w:val="clear" w:color="auto" w:fill="92D050"/>
            <w:vAlign w:val="center"/>
          </w:tcPr>
          <w:p w14:paraId="21355C8A" w14:textId="77777777" w:rsidR="00084F8B" w:rsidRPr="00800F6F" w:rsidRDefault="00084F8B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210" w:type="dxa"/>
            <w:shd w:val="clear" w:color="auto" w:fill="92D050"/>
            <w:vAlign w:val="center"/>
          </w:tcPr>
          <w:p w14:paraId="172BECDB" w14:textId="4873431D" w:rsidR="00084F8B" w:rsidRPr="00800F6F" w:rsidRDefault="001D3370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2020</w:t>
            </w:r>
            <w:r w:rsidR="00084F8B" w:rsidRPr="00800F6F">
              <w:rPr>
                <w:rFonts w:cs="Calibri"/>
                <w:b/>
                <w:color w:val="FFFFFF"/>
              </w:rPr>
              <w:t xml:space="preserve"> r.</w:t>
            </w:r>
          </w:p>
        </w:tc>
        <w:tc>
          <w:tcPr>
            <w:tcW w:w="1210" w:type="dxa"/>
            <w:shd w:val="clear" w:color="auto" w:fill="92D050"/>
            <w:vAlign w:val="center"/>
          </w:tcPr>
          <w:p w14:paraId="0B2A556B" w14:textId="78BC7704" w:rsidR="00084F8B" w:rsidRPr="00800F6F" w:rsidRDefault="001D3370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2021</w:t>
            </w:r>
            <w:r w:rsidR="00084F8B" w:rsidRPr="00800F6F">
              <w:rPr>
                <w:rFonts w:cs="Calibri"/>
                <w:b/>
                <w:color w:val="FFFFFF"/>
              </w:rPr>
              <w:t xml:space="preserve"> r.</w:t>
            </w:r>
          </w:p>
        </w:tc>
        <w:tc>
          <w:tcPr>
            <w:tcW w:w="950" w:type="dxa"/>
            <w:shd w:val="clear" w:color="auto" w:fill="92D050"/>
            <w:vAlign w:val="center"/>
          </w:tcPr>
          <w:p w14:paraId="721BA4C3" w14:textId="28A4909E" w:rsidR="00084F8B" w:rsidRPr="00800F6F" w:rsidRDefault="001D3370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2022</w:t>
            </w:r>
            <w:r w:rsidR="00084F8B" w:rsidRPr="00800F6F">
              <w:rPr>
                <w:rFonts w:cs="Calibri"/>
                <w:b/>
                <w:color w:val="FFFFFF"/>
              </w:rPr>
              <w:t xml:space="preserve"> r.</w:t>
            </w:r>
          </w:p>
        </w:tc>
        <w:tc>
          <w:tcPr>
            <w:tcW w:w="977" w:type="dxa"/>
            <w:shd w:val="clear" w:color="auto" w:fill="92D050"/>
            <w:vAlign w:val="center"/>
          </w:tcPr>
          <w:p w14:paraId="298CC434" w14:textId="35E24AC5" w:rsidR="00084F8B" w:rsidRPr="00800F6F" w:rsidRDefault="001D3370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2023</w:t>
            </w:r>
            <w:r w:rsidR="00084F8B" w:rsidRPr="00800F6F">
              <w:rPr>
                <w:rFonts w:cs="Calibri"/>
                <w:b/>
                <w:color w:val="FFFFFF"/>
              </w:rPr>
              <w:t xml:space="preserve"> r.</w:t>
            </w:r>
          </w:p>
        </w:tc>
      </w:tr>
      <w:tr w:rsidR="00A010C9" w:rsidRPr="00800F6F" w14:paraId="2D65809E" w14:textId="77777777" w:rsidTr="00B9703D">
        <w:trPr>
          <w:trHeight w:val="201"/>
        </w:trPr>
        <w:tc>
          <w:tcPr>
            <w:tcW w:w="707" w:type="dxa"/>
            <w:vMerge/>
            <w:shd w:val="clear" w:color="auto" w:fill="92D050"/>
          </w:tcPr>
          <w:p w14:paraId="4685BA48" w14:textId="77777777" w:rsidR="00084F8B" w:rsidRPr="00800F6F" w:rsidRDefault="00084F8B" w:rsidP="000D4C98">
            <w:pPr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2881" w:type="dxa"/>
            <w:shd w:val="clear" w:color="auto" w:fill="92D050"/>
          </w:tcPr>
          <w:p w14:paraId="134846C8" w14:textId="77777777" w:rsidR="00084F8B" w:rsidRPr="00800F6F" w:rsidRDefault="00084F8B" w:rsidP="000D4C98">
            <w:pPr>
              <w:jc w:val="center"/>
              <w:rPr>
                <w:rFonts w:cs="Calibri"/>
                <w:b/>
                <w:color w:val="FFFFFF"/>
              </w:rPr>
            </w:pPr>
            <w:r w:rsidRPr="00800F6F">
              <w:rPr>
                <w:rFonts w:cs="Calibri"/>
                <w:b/>
                <w:color w:val="FFFFFF"/>
              </w:rPr>
              <w:t>1.</w:t>
            </w:r>
          </w:p>
        </w:tc>
        <w:tc>
          <w:tcPr>
            <w:tcW w:w="1351" w:type="dxa"/>
            <w:shd w:val="clear" w:color="auto" w:fill="92D050"/>
            <w:vAlign w:val="center"/>
          </w:tcPr>
          <w:p w14:paraId="56D02C57" w14:textId="77777777" w:rsidR="00084F8B" w:rsidRPr="00800F6F" w:rsidRDefault="00084F8B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 w:rsidRPr="00800F6F">
              <w:rPr>
                <w:rFonts w:cs="Calibri"/>
                <w:b/>
                <w:color w:val="FFFFFF"/>
              </w:rPr>
              <w:t>2.</w:t>
            </w:r>
          </w:p>
        </w:tc>
        <w:tc>
          <w:tcPr>
            <w:tcW w:w="1210" w:type="dxa"/>
            <w:shd w:val="clear" w:color="auto" w:fill="92D050"/>
            <w:vAlign w:val="center"/>
          </w:tcPr>
          <w:p w14:paraId="0B41DC9A" w14:textId="77777777" w:rsidR="00084F8B" w:rsidRPr="00800F6F" w:rsidRDefault="00084F8B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 w:rsidRPr="00800F6F">
              <w:rPr>
                <w:rFonts w:cs="Calibri"/>
                <w:b/>
                <w:color w:val="FFFFFF"/>
              </w:rPr>
              <w:t>3.</w:t>
            </w:r>
          </w:p>
        </w:tc>
        <w:tc>
          <w:tcPr>
            <w:tcW w:w="1210" w:type="dxa"/>
            <w:shd w:val="clear" w:color="auto" w:fill="92D050"/>
            <w:vAlign w:val="center"/>
          </w:tcPr>
          <w:p w14:paraId="78B8AEFF" w14:textId="77777777" w:rsidR="00084F8B" w:rsidRPr="00800F6F" w:rsidRDefault="00084F8B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 w:rsidRPr="00800F6F">
              <w:rPr>
                <w:rFonts w:cs="Calibri"/>
                <w:b/>
                <w:color w:val="FFFFFF"/>
              </w:rPr>
              <w:t>4.</w:t>
            </w:r>
          </w:p>
        </w:tc>
        <w:tc>
          <w:tcPr>
            <w:tcW w:w="950" w:type="dxa"/>
            <w:shd w:val="clear" w:color="auto" w:fill="92D050"/>
            <w:vAlign w:val="center"/>
          </w:tcPr>
          <w:p w14:paraId="601E6F89" w14:textId="77777777" w:rsidR="00084F8B" w:rsidRPr="00800F6F" w:rsidRDefault="00084F8B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 w:rsidRPr="00800F6F">
              <w:rPr>
                <w:rFonts w:cs="Calibri"/>
                <w:b/>
                <w:color w:val="FFFFFF"/>
              </w:rPr>
              <w:t>5.</w:t>
            </w:r>
          </w:p>
        </w:tc>
        <w:tc>
          <w:tcPr>
            <w:tcW w:w="977" w:type="dxa"/>
            <w:shd w:val="clear" w:color="auto" w:fill="92D050"/>
            <w:vAlign w:val="center"/>
          </w:tcPr>
          <w:p w14:paraId="0AA9C133" w14:textId="77777777" w:rsidR="00084F8B" w:rsidRPr="00800F6F" w:rsidRDefault="00084F8B" w:rsidP="000D4C98">
            <w:pPr>
              <w:ind w:hanging="18"/>
              <w:jc w:val="center"/>
              <w:rPr>
                <w:rFonts w:cs="Calibri"/>
                <w:b/>
                <w:color w:val="FFFFFF"/>
              </w:rPr>
            </w:pPr>
            <w:r w:rsidRPr="00800F6F">
              <w:rPr>
                <w:rFonts w:cs="Calibri"/>
                <w:b/>
                <w:color w:val="FFFFFF"/>
              </w:rPr>
              <w:t>6.</w:t>
            </w:r>
          </w:p>
        </w:tc>
      </w:tr>
      <w:tr w:rsidR="00084F8B" w:rsidRPr="00800F6F" w14:paraId="2C177C4A" w14:textId="77777777" w:rsidTr="00B9703D">
        <w:trPr>
          <w:trHeight w:val="551"/>
        </w:trPr>
        <w:tc>
          <w:tcPr>
            <w:tcW w:w="707" w:type="dxa"/>
          </w:tcPr>
          <w:p w14:paraId="2A0404FE" w14:textId="77777777" w:rsidR="00084F8B" w:rsidRPr="00800F6F" w:rsidRDefault="00084F8B" w:rsidP="00060BE3">
            <w:pPr>
              <w:jc w:val="center"/>
              <w:rPr>
                <w:rFonts w:cs="Calibri"/>
                <w:b/>
              </w:rPr>
            </w:pPr>
            <w:r w:rsidRPr="00800F6F">
              <w:rPr>
                <w:rFonts w:cs="Calibri"/>
                <w:b/>
              </w:rPr>
              <w:t>1.</w:t>
            </w:r>
          </w:p>
        </w:tc>
        <w:tc>
          <w:tcPr>
            <w:tcW w:w="2881" w:type="dxa"/>
          </w:tcPr>
          <w:p w14:paraId="774044B5" w14:textId="77777777" w:rsidR="00084F8B" w:rsidRPr="00800F6F" w:rsidRDefault="00084F8B" w:rsidP="00977E68">
            <w:pPr>
              <w:spacing w:after="120"/>
              <w:rPr>
                <w:rFonts w:cs="Calibri"/>
                <w:b/>
              </w:rPr>
            </w:pPr>
            <w:r w:rsidRPr="00800F6F">
              <w:rPr>
                <w:rFonts w:cs="Calibri"/>
                <w:b/>
              </w:rPr>
              <w:t>Analizy lokalizacyjne nowego składowiska</w:t>
            </w:r>
            <w:r w:rsidR="00367E8E">
              <w:rPr>
                <w:rFonts w:cs="Calibri"/>
                <w:b/>
              </w:rPr>
              <w:t xml:space="preserve"> (</w:t>
            </w:r>
            <w:r w:rsidR="002166A9">
              <w:rPr>
                <w:rFonts w:cs="Calibri"/>
                <w:b/>
              </w:rPr>
              <w:t xml:space="preserve">w tym </w:t>
            </w:r>
            <w:r w:rsidR="00367E8E">
              <w:rPr>
                <w:rFonts w:cs="Calibri"/>
                <w:b/>
              </w:rPr>
              <w:t>środki NFOŚiGW)</w:t>
            </w:r>
          </w:p>
        </w:tc>
        <w:tc>
          <w:tcPr>
            <w:tcW w:w="1351" w:type="dxa"/>
            <w:vAlign w:val="center"/>
          </w:tcPr>
          <w:p w14:paraId="7798DC0C" w14:textId="77777777" w:rsidR="00084F8B" w:rsidRPr="00800F6F" w:rsidRDefault="002166A9" w:rsidP="000D4C98">
            <w:pPr>
              <w:ind w:hanging="1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  <w:r w:rsidR="00084F8B" w:rsidRPr="00800F6F">
              <w:rPr>
                <w:rFonts w:cs="Calibri"/>
                <w:b/>
              </w:rPr>
              <w:t>.000</w:t>
            </w:r>
          </w:p>
        </w:tc>
        <w:tc>
          <w:tcPr>
            <w:tcW w:w="1210" w:type="dxa"/>
            <w:vAlign w:val="center"/>
          </w:tcPr>
          <w:p w14:paraId="3E3EA1C9" w14:textId="0C1E3A49" w:rsidR="00084F8B" w:rsidRPr="00800F6F" w:rsidRDefault="00A11BC6" w:rsidP="000D4C98">
            <w:pPr>
              <w:ind w:hanging="1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="00084F8B" w:rsidRPr="00800F6F">
              <w:rPr>
                <w:rFonts w:cs="Calibri"/>
                <w:b/>
              </w:rPr>
              <w:t>00</w:t>
            </w:r>
          </w:p>
        </w:tc>
        <w:tc>
          <w:tcPr>
            <w:tcW w:w="1210" w:type="dxa"/>
            <w:vAlign w:val="center"/>
          </w:tcPr>
          <w:p w14:paraId="03D16561" w14:textId="11C7AF72" w:rsidR="00084F8B" w:rsidRPr="00800F6F" w:rsidRDefault="00A11BC6" w:rsidP="000D4C98">
            <w:pPr>
              <w:ind w:hanging="1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  <w:r w:rsidR="00084F8B" w:rsidRPr="00800F6F">
              <w:rPr>
                <w:rFonts w:cs="Calibri"/>
                <w:b/>
              </w:rPr>
              <w:t>00</w:t>
            </w:r>
          </w:p>
        </w:tc>
        <w:tc>
          <w:tcPr>
            <w:tcW w:w="950" w:type="dxa"/>
            <w:vAlign w:val="center"/>
          </w:tcPr>
          <w:p w14:paraId="132AE70C" w14:textId="569769E0" w:rsidR="00084F8B" w:rsidRPr="00800F6F" w:rsidRDefault="00A11BC6" w:rsidP="000D4C98">
            <w:pPr>
              <w:ind w:hanging="1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2166A9">
              <w:rPr>
                <w:rFonts w:cs="Calibri"/>
                <w:b/>
              </w:rPr>
              <w:t>00</w:t>
            </w:r>
          </w:p>
        </w:tc>
        <w:tc>
          <w:tcPr>
            <w:tcW w:w="977" w:type="dxa"/>
            <w:vAlign w:val="center"/>
          </w:tcPr>
          <w:p w14:paraId="6FEE82A9" w14:textId="7B909BC5" w:rsidR="00084F8B" w:rsidRPr="00800F6F" w:rsidRDefault="00A11BC6" w:rsidP="000D4C98">
            <w:pPr>
              <w:ind w:hanging="1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2166A9">
              <w:rPr>
                <w:rFonts w:cs="Calibri"/>
                <w:b/>
              </w:rPr>
              <w:t>00</w:t>
            </w:r>
          </w:p>
        </w:tc>
      </w:tr>
      <w:tr w:rsidR="00084F8B" w:rsidRPr="00800F6F" w14:paraId="2AAE18E2" w14:textId="77777777" w:rsidTr="00CB4747">
        <w:trPr>
          <w:trHeight w:val="701"/>
        </w:trPr>
        <w:tc>
          <w:tcPr>
            <w:tcW w:w="707" w:type="dxa"/>
            <w:tcBorders>
              <w:top w:val="single" w:sz="8" w:space="0" w:color="9BBB59"/>
              <w:bottom w:val="single" w:sz="8" w:space="0" w:color="9BBB59"/>
            </w:tcBorders>
          </w:tcPr>
          <w:p w14:paraId="1C07F621" w14:textId="77777777" w:rsidR="00084F8B" w:rsidRPr="00800F6F" w:rsidRDefault="00084F8B" w:rsidP="00060BE3">
            <w:pPr>
              <w:jc w:val="center"/>
              <w:rPr>
                <w:rFonts w:cs="Calibri"/>
                <w:b/>
              </w:rPr>
            </w:pPr>
            <w:r w:rsidRPr="00800F6F">
              <w:rPr>
                <w:rFonts w:cs="Calibri"/>
                <w:b/>
              </w:rPr>
              <w:t xml:space="preserve">2. </w:t>
            </w:r>
          </w:p>
        </w:tc>
        <w:tc>
          <w:tcPr>
            <w:tcW w:w="2881" w:type="dxa"/>
            <w:tcBorders>
              <w:top w:val="single" w:sz="8" w:space="0" w:color="9BBB59"/>
              <w:bottom w:val="single" w:sz="8" w:space="0" w:color="9BBB59"/>
            </w:tcBorders>
          </w:tcPr>
          <w:p w14:paraId="787A2242" w14:textId="77777777" w:rsidR="00084F8B" w:rsidRPr="00800F6F" w:rsidRDefault="00084F8B" w:rsidP="00977E68">
            <w:pPr>
              <w:spacing w:after="120"/>
              <w:rPr>
                <w:rFonts w:cs="Calibri"/>
                <w:b/>
              </w:rPr>
            </w:pPr>
            <w:r w:rsidRPr="00800F6F">
              <w:rPr>
                <w:rFonts w:cs="Calibri"/>
                <w:b/>
              </w:rPr>
              <w:t>Przygotowania do budowy głębokiego składowiska</w:t>
            </w:r>
            <w:r>
              <w:rPr>
                <w:rFonts w:cs="Calibri"/>
                <w:b/>
              </w:rPr>
              <w:t>*</w:t>
            </w:r>
          </w:p>
        </w:tc>
        <w:tc>
          <w:tcPr>
            <w:tcW w:w="1351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008128C1" w14:textId="5EE9662E" w:rsidR="00084F8B" w:rsidRPr="00800F6F" w:rsidRDefault="00A11BC6" w:rsidP="00EA048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="00084F8B" w:rsidRPr="00800F6F">
              <w:rPr>
                <w:rFonts w:cs="Calibri"/>
                <w:b/>
              </w:rPr>
              <w:t>0.000</w:t>
            </w: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76052171" w14:textId="77777777" w:rsidR="00084F8B" w:rsidRPr="00800F6F" w:rsidRDefault="00084F8B" w:rsidP="00EA048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3DE0E822" w14:textId="33FA6AD5" w:rsidR="00084F8B" w:rsidRPr="00800F6F" w:rsidRDefault="00084F8B" w:rsidP="00EA048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5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78363DEF" w14:textId="65D1FCE0" w:rsidR="00084F8B" w:rsidRPr="00800F6F" w:rsidRDefault="00084F8B" w:rsidP="00EA048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77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3F2F501" w14:textId="5348EA3B" w:rsidR="00084F8B" w:rsidRPr="00800F6F" w:rsidRDefault="00A11BC6" w:rsidP="00EA048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200</w:t>
            </w:r>
          </w:p>
        </w:tc>
      </w:tr>
      <w:tr w:rsidR="00084F8B" w:rsidRPr="00800F6F" w14:paraId="28A910E4" w14:textId="77777777" w:rsidTr="00CB4747">
        <w:trPr>
          <w:trHeight w:val="258"/>
        </w:trPr>
        <w:tc>
          <w:tcPr>
            <w:tcW w:w="707" w:type="dxa"/>
          </w:tcPr>
          <w:p w14:paraId="73FD50B1" w14:textId="77777777" w:rsidR="00084F8B" w:rsidRPr="00800F6F" w:rsidRDefault="00084F8B" w:rsidP="00060BE3">
            <w:pPr>
              <w:jc w:val="center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</w:rPr>
              <w:t>3</w:t>
            </w:r>
            <w:r w:rsidRPr="00800F6F">
              <w:rPr>
                <w:rFonts w:cs="Calibri"/>
                <w:b/>
                <w:bCs/>
              </w:rPr>
              <w:t>.</w:t>
            </w:r>
          </w:p>
        </w:tc>
        <w:tc>
          <w:tcPr>
            <w:tcW w:w="2881" w:type="dxa"/>
          </w:tcPr>
          <w:p w14:paraId="580D9826" w14:textId="0E497D63" w:rsidR="00084F8B" w:rsidRPr="00800F6F" w:rsidRDefault="00084F8B" w:rsidP="00977E68">
            <w:pPr>
              <w:spacing w:after="120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</w:rPr>
              <w:t>Realizacja Krajowego planu (ś</w:t>
            </w:r>
            <w:r>
              <w:rPr>
                <w:rFonts w:cs="Calibri"/>
                <w:b/>
              </w:rPr>
              <w:t>r</w:t>
            </w:r>
            <w:r w:rsidRPr="00800F6F">
              <w:rPr>
                <w:rFonts w:cs="Calibri"/>
                <w:b/>
              </w:rPr>
              <w:t>o</w:t>
            </w:r>
            <w:r>
              <w:rPr>
                <w:rFonts w:cs="Calibri"/>
                <w:b/>
              </w:rPr>
              <w:t>d</w:t>
            </w:r>
            <w:r w:rsidR="009B774D">
              <w:rPr>
                <w:rFonts w:cs="Calibri"/>
                <w:b/>
              </w:rPr>
              <w:t>ki MK</w:t>
            </w:r>
            <w:r w:rsidRPr="00800F6F">
              <w:rPr>
                <w:rFonts w:cs="Calibri"/>
                <w:b/>
              </w:rPr>
              <w:t>)</w:t>
            </w:r>
          </w:p>
        </w:tc>
        <w:tc>
          <w:tcPr>
            <w:tcW w:w="1351" w:type="dxa"/>
            <w:vAlign w:val="center"/>
          </w:tcPr>
          <w:p w14:paraId="1C92E1C4" w14:textId="77777777" w:rsidR="00084F8B" w:rsidRPr="00800F6F" w:rsidRDefault="00084F8B" w:rsidP="00AD4104">
            <w:pPr>
              <w:jc w:val="center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  <w:bCs/>
              </w:rPr>
              <w:t>2.500</w:t>
            </w:r>
          </w:p>
        </w:tc>
        <w:tc>
          <w:tcPr>
            <w:tcW w:w="1210" w:type="dxa"/>
            <w:vAlign w:val="center"/>
          </w:tcPr>
          <w:p w14:paraId="49EBEEA0" w14:textId="7C81F098" w:rsidR="00084F8B" w:rsidRPr="00800F6F" w:rsidRDefault="00A11BC6" w:rsidP="00EA048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  <w:r w:rsidR="00084F8B" w:rsidRPr="00800F6F">
              <w:rPr>
                <w:rFonts w:cs="Calibri"/>
                <w:b/>
                <w:bCs/>
              </w:rPr>
              <w:t>00</w:t>
            </w:r>
          </w:p>
        </w:tc>
        <w:tc>
          <w:tcPr>
            <w:tcW w:w="1210" w:type="dxa"/>
            <w:vAlign w:val="center"/>
          </w:tcPr>
          <w:p w14:paraId="7B2E4278" w14:textId="05EA46D9" w:rsidR="00084F8B" w:rsidRPr="00800F6F" w:rsidRDefault="00A11BC6" w:rsidP="00EA048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  <w:r w:rsidR="00084F8B" w:rsidRPr="00800F6F">
              <w:rPr>
                <w:rFonts w:cs="Calibri"/>
                <w:b/>
                <w:bCs/>
              </w:rPr>
              <w:t>00</w:t>
            </w:r>
          </w:p>
        </w:tc>
        <w:tc>
          <w:tcPr>
            <w:tcW w:w="950" w:type="dxa"/>
            <w:vAlign w:val="center"/>
          </w:tcPr>
          <w:p w14:paraId="38B8E756" w14:textId="06918992" w:rsidR="00084F8B" w:rsidRPr="00800F6F" w:rsidRDefault="00A11BC6" w:rsidP="00EA048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  <w:r w:rsidR="00084F8B" w:rsidRPr="00800F6F">
              <w:rPr>
                <w:rFonts w:cs="Calibri"/>
                <w:b/>
                <w:bCs/>
              </w:rPr>
              <w:t>00</w:t>
            </w:r>
          </w:p>
        </w:tc>
        <w:tc>
          <w:tcPr>
            <w:tcW w:w="977" w:type="dxa"/>
            <w:vAlign w:val="center"/>
          </w:tcPr>
          <w:p w14:paraId="288F9DE5" w14:textId="77777777" w:rsidR="00084F8B" w:rsidRPr="00800F6F" w:rsidRDefault="002166A9" w:rsidP="00EA048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  <w:r w:rsidR="00084F8B" w:rsidRPr="00800F6F">
              <w:rPr>
                <w:rFonts w:cs="Calibri"/>
                <w:b/>
                <w:bCs/>
              </w:rPr>
              <w:t>00</w:t>
            </w:r>
          </w:p>
        </w:tc>
      </w:tr>
      <w:tr w:rsidR="00084F8B" w:rsidRPr="00800F6F" w14:paraId="584BE19D" w14:textId="77777777" w:rsidTr="00B9703D">
        <w:trPr>
          <w:trHeight w:val="717"/>
        </w:trPr>
        <w:tc>
          <w:tcPr>
            <w:tcW w:w="707" w:type="dxa"/>
            <w:tcBorders>
              <w:top w:val="single" w:sz="8" w:space="0" w:color="9BBB59"/>
              <w:bottom w:val="single" w:sz="8" w:space="0" w:color="9BBB59"/>
            </w:tcBorders>
          </w:tcPr>
          <w:p w14:paraId="78F9C53B" w14:textId="77777777" w:rsidR="00084F8B" w:rsidRPr="00800F6F" w:rsidRDefault="00084F8B" w:rsidP="00060BE3">
            <w:pPr>
              <w:jc w:val="center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  <w:bCs/>
              </w:rPr>
              <w:t>4.</w:t>
            </w:r>
          </w:p>
        </w:tc>
        <w:tc>
          <w:tcPr>
            <w:tcW w:w="2881" w:type="dxa"/>
            <w:tcBorders>
              <w:top w:val="single" w:sz="8" w:space="0" w:color="9BBB59"/>
              <w:bottom w:val="single" w:sz="8" w:space="0" w:color="9BBB59"/>
            </w:tcBorders>
          </w:tcPr>
          <w:p w14:paraId="21105070" w14:textId="77777777" w:rsidR="00084F8B" w:rsidRPr="00800F6F" w:rsidRDefault="00084F8B" w:rsidP="000D4C98">
            <w:pPr>
              <w:rPr>
                <w:rFonts w:cs="Calibri"/>
                <w:b/>
              </w:rPr>
            </w:pPr>
            <w:r w:rsidRPr="00800F6F">
              <w:rPr>
                <w:rFonts w:cs="Calibri"/>
                <w:b/>
              </w:rPr>
              <w:t>Zamknięcie KSOP RÓŻAN</w:t>
            </w:r>
          </w:p>
          <w:p w14:paraId="09EA90AA" w14:textId="00B6A4F1" w:rsidR="00084F8B" w:rsidRPr="00800F6F" w:rsidRDefault="00084F8B" w:rsidP="00977E68">
            <w:pPr>
              <w:spacing w:after="120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</w:rPr>
              <w:t xml:space="preserve">  </w:t>
            </w:r>
            <w:r w:rsidR="00486D9A" w:rsidRPr="00800F6F">
              <w:rPr>
                <w:rFonts w:cs="Calibri"/>
                <w:b/>
              </w:rPr>
              <w:t>- przygotowanie</w:t>
            </w:r>
            <w:r w:rsidRPr="00800F6F">
              <w:rPr>
                <w:rFonts w:cs="Calibri"/>
                <w:b/>
              </w:rPr>
              <w:t xml:space="preserve"> </w:t>
            </w:r>
            <w:r w:rsidR="00486D9A" w:rsidRPr="00800F6F">
              <w:rPr>
                <w:rFonts w:cs="Calibri"/>
                <w:b/>
              </w:rPr>
              <w:t>do zamknięcia</w:t>
            </w:r>
            <w:r w:rsidRPr="00800F6F">
              <w:rPr>
                <w:rFonts w:cs="Calibri"/>
                <w:b/>
              </w:rPr>
              <w:t xml:space="preserve"> KSOP Różan</w:t>
            </w:r>
            <w:r>
              <w:rPr>
                <w:rFonts w:cs="Calibri"/>
                <w:b/>
              </w:rPr>
              <w:t xml:space="preserve"> (środki programu wieloletniego)</w:t>
            </w:r>
            <w:r w:rsidRPr="00EA03AE">
              <w:rPr>
                <w:rStyle w:val="Odwoanieprzypisudolnego"/>
              </w:rPr>
              <w:t xml:space="preserve"> </w:t>
            </w:r>
            <w:r w:rsidRPr="00EA03AE">
              <w:rPr>
                <w:rStyle w:val="Odwoanieprzypisudolnego"/>
              </w:rPr>
              <w:footnoteReference w:id="13"/>
            </w:r>
          </w:p>
        </w:tc>
        <w:tc>
          <w:tcPr>
            <w:tcW w:w="1351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06BC712D" w14:textId="6C1A3737" w:rsidR="00084F8B" w:rsidRPr="00800F6F" w:rsidRDefault="00A11BC6" w:rsidP="000D4C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  <w:r w:rsidR="002166A9">
              <w:rPr>
                <w:rFonts w:cs="Calibri"/>
                <w:b/>
                <w:bCs/>
              </w:rPr>
              <w:t>.0</w:t>
            </w:r>
            <w:r w:rsidR="00084F8B" w:rsidRPr="00800F6F">
              <w:rPr>
                <w:rFonts w:cs="Calibri"/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064E6D4B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09C39497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5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F281D21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77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30F23E46" w14:textId="1DC65622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084F8B" w:rsidRPr="00800F6F" w14:paraId="476EBB4C" w14:textId="77777777" w:rsidTr="00CB4747">
        <w:trPr>
          <w:trHeight w:val="822"/>
        </w:trPr>
        <w:tc>
          <w:tcPr>
            <w:tcW w:w="707" w:type="dxa"/>
          </w:tcPr>
          <w:p w14:paraId="721B2A3C" w14:textId="77777777" w:rsidR="00084F8B" w:rsidRPr="00800F6F" w:rsidRDefault="00084F8B" w:rsidP="00060BE3">
            <w:pPr>
              <w:jc w:val="center"/>
              <w:rPr>
                <w:rFonts w:cs="Calibri"/>
                <w:b/>
              </w:rPr>
            </w:pPr>
            <w:r w:rsidRPr="00800F6F">
              <w:rPr>
                <w:rFonts w:cs="Calibri"/>
                <w:b/>
              </w:rPr>
              <w:lastRenderedPageBreak/>
              <w:t>5.</w:t>
            </w:r>
          </w:p>
        </w:tc>
        <w:tc>
          <w:tcPr>
            <w:tcW w:w="2881" w:type="dxa"/>
          </w:tcPr>
          <w:p w14:paraId="173036B6" w14:textId="77777777" w:rsidR="00084F8B" w:rsidRPr="00800F6F" w:rsidRDefault="00084F8B" w:rsidP="000D4C98">
            <w:pPr>
              <w:rPr>
                <w:rFonts w:cs="Calibri"/>
                <w:b/>
              </w:rPr>
            </w:pPr>
            <w:r w:rsidRPr="00800F6F">
              <w:rPr>
                <w:rFonts w:cs="Calibri"/>
                <w:b/>
              </w:rPr>
              <w:t>Ocena bezpieczeństwa</w:t>
            </w:r>
          </w:p>
          <w:p w14:paraId="2FAFA1C9" w14:textId="2E885B03" w:rsidR="00084F8B" w:rsidRPr="00800F6F" w:rsidRDefault="00A11BC6" w:rsidP="00977E68">
            <w:pPr>
              <w:spacing w:after="7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  <w:r w:rsidR="00486D9A">
              <w:rPr>
                <w:rFonts w:cs="Calibri"/>
                <w:b/>
              </w:rPr>
              <w:t xml:space="preserve">dla </w:t>
            </w:r>
            <w:r w:rsidR="00486D9A" w:rsidRPr="00800F6F">
              <w:rPr>
                <w:rFonts w:cs="Calibri"/>
                <w:b/>
              </w:rPr>
              <w:t>KSOP</w:t>
            </w:r>
            <w:r w:rsidR="00084F8B" w:rsidRPr="00800F6F">
              <w:rPr>
                <w:rFonts w:cs="Calibri"/>
                <w:b/>
              </w:rPr>
              <w:t xml:space="preserve"> Różan</w:t>
            </w:r>
            <w:r w:rsidR="00084F8B">
              <w:rPr>
                <w:rFonts w:cs="Calibri"/>
                <w:b/>
              </w:rPr>
              <w:t>*</w:t>
            </w:r>
          </w:p>
        </w:tc>
        <w:tc>
          <w:tcPr>
            <w:tcW w:w="1351" w:type="dxa"/>
            <w:vAlign w:val="center"/>
          </w:tcPr>
          <w:p w14:paraId="7FDE624C" w14:textId="1E287C7D" w:rsidR="00084F8B" w:rsidRPr="00800F6F" w:rsidRDefault="00A11BC6" w:rsidP="000D4C9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084F8B" w:rsidRPr="00800F6F">
              <w:rPr>
                <w:rFonts w:cs="Calibri"/>
                <w:b/>
              </w:rPr>
              <w:t>0.000</w:t>
            </w:r>
          </w:p>
        </w:tc>
        <w:tc>
          <w:tcPr>
            <w:tcW w:w="1210" w:type="dxa"/>
            <w:vAlign w:val="center"/>
          </w:tcPr>
          <w:p w14:paraId="116E0C5A" w14:textId="42EE8280" w:rsidR="00084F8B" w:rsidRPr="00800F6F" w:rsidRDefault="00A11BC6" w:rsidP="000D4C9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600</w:t>
            </w:r>
          </w:p>
        </w:tc>
        <w:tc>
          <w:tcPr>
            <w:tcW w:w="1210" w:type="dxa"/>
            <w:vAlign w:val="center"/>
          </w:tcPr>
          <w:p w14:paraId="45DC8D38" w14:textId="5311330E" w:rsidR="00084F8B" w:rsidRPr="00800F6F" w:rsidRDefault="00A11BC6" w:rsidP="000D4C9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400</w:t>
            </w:r>
          </w:p>
        </w:tc>
        <w:tc>
          <w:tcPr>
            <w:tcW w:w="950" w:type="dxa"/>
            <w:vAlign w:val="center"/>
          </w:tcPr>
          <w:p w14:paraId="392283D9" w14:textId="77777777" w:rsidR="00084F8B" w:rsidRPr="00800F6F" w:rsidRDefault="00084F8B" w:rsidP="000D4C9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77" w:type="dxa"/>
            <w:vAlign w:val="center"/>
          </w:tcPr>
          <w:p w14:paraId="7C28E1E3" w14:textId="77777777" w:rsidR="00084F8B" w:rsidRPr="00800F6F" w:rsidRDefault="00084F8B" w:rsidP="000D4C98">
            <w:pPr>
              <w:jc w:val="center"/>
              <w:rPr>
                <w:rFonts w:cs="Calibri"/>
                <w:b/>
              </w:rPr>
            </w:pPr>
          </w:p>
        </w:tc>
      </w:tr>
      <w:tr w:rsidR="00084F8B" w:rsidRPr="00800F6F" w14:paraId="36B1D4AB" w14:textId="77777777" w:rsidTr="00CB4747">
        <w:tc>
          <w:tcPr>
            <w:tcW w:w="707" w:type="dxa"/>
            <w:tcBorders>
              <w:top w:val="single" w:sz="8" w:space="0" w:color="9BBB59"/>
              <w:bottom w:val="single" w:sz="8" w:space="0" w:color="9BBB59"/>
            </w:tcBorders>
          </w:tcPr>
          <w:p w14:paraId="7E1439EF" w14:textId="77777777" w:rsidR="00084F8B" w:rsidRPr="00800F6F" w:rsidRDefault="00084F8B" w:rsidP="00060BE3">
            <w:pPr>
              <w:jc w:val="center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  <w:bCs/>
              </w:rPr>
              <w:t>6.</w:t>
            </w:r>
          </w:p>
        </w:tc>
        <w:tc>
          <w:tcPr>
            <w:tcW w:w="2881" w:type="dxa"/>
            <w:tcBorders>
              <w:top w:val="single" w:sz="8" w:space="0" w:color="9BBB59"/>
              <w:bottom w:val="single" w:sz="8" w:space="0" w:color="9BBB59"/>
            </w:tcBorders>
          </w:tcPr>
          <w:p w14:paraId="68FF722B" w14:textId="77777777" w:rsidR="00084F8B" w:rsidRPr="00800F6F" w:rsidRDefault="00084F8B" w:rsidP="000D4C98">
            <w:pPr>
              <w:rPr>
                <w:rFonts w:cs="Calibri"/>
                <w:b/>
              </w:rPr>
            </w:pPr>
            <w:r w:rsidRPr="00800F6F">
              <w:rPr>
                <w:rFonts w:cs="Calibri"/>
                <w:b/>
              </w:rPr>
              <w:t>Ocena bezpieczeństwa</w:t>
            </w:r>
          </w:p>
          <w:p w14:paraId="2ACBCEA3" w14:textId="77777777" w:rsidR="00084F8B" w:rsidRPr="00B9703D" w:rsidRDefault="00084F8B" w:rsidP="00977E68">
            <w:pPr>
              <w:spacing w:after="120"/>
              <w:rPr>
                <w:rFonts w:cs="Calibri"/>
                <w:b/>
              </w:rPr>
            </w:pPr>
            <w:r w:rsidRPr="00800F6F">
              <w:rPr>
                <w:rFonts w:cs="Calibri"/>
                <w:b/>
              </w:rPr>
              <w:t xml:space="preserve"> dla NSPOP</w:t>
            </w:r>
            <w:r>
              <w:rPr>
                <w:rFonts w:cs="Calibri"/>
                <w:b/>
              </w:rPr>
              <w:t>*</w:t>
            </w:r>
          </w:p>
        </w:tc>
        <w:tc>
          <w:tcPr>
            <w:tcW w:w="1351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7C31615" w14:textId="3950D973" w:rsidR="00084F8B" w:rsidRPr="00800F6F" w:rsidRDefault="00A11BC6" w:rsidP="000D4C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084F8B" w:rsidRPr="00800F6F">
              <w:rPr>
                <w:rFonts w:cs="Calibri"/>
                <w:b/>
                <w:bCs/>
              </w:rPr>
              <w:t>0.000</w:t>
            </w: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2331FC9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3E573B09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5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33809A04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77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7A16BCF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084F8B" w:rsidRPr="00800F6F" w14:paraId="6F082F11" w14:textId="77777777" w:rsidTr="00CB4747">
        <w:tc>
          <w:tcPr>
            <w:tcW w:w="707" w:type="dxa"/>
            <w:tcBorders>
              <w:top w:val="single" w:sz="8" w:space="0" w:color="9BBB59"/>
              <w:bottom w:val="single" w:sz="8" w:space="0" w:color="9BBB59"/>
            </w:tcBorders>
          </w:tcPr>
          <w:p w14:paraId="5F38703F" w14:textId="77777777" w:rsidR="00084F8B" w:rsidRPr="00800F6F" w:rsidRDefault="00084F8B" w:rsidP="00060BE3">
            <w:pPr>
              <w:jc w:val="center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  <w:bCs/>
              </w:rPr>
              <w:t>7.</w:t>
            </w:r>
          </w:p>
        </w:tc>
        <w:tc>
          <w:tcPr>
            <w:tcW w:w="2881" w:type="dxa"/>
            <w:tcBorders>
              <w:top w:val="single" w:sz="8" w:space="0" w:color="9BBB59"/>
              <w:bottom w:val="single" w:sz="8" w:space="0" w:color="9BBB59"/>
            </w:tcBorders>
          </w:tcPr>
          <w:p w14:paraId="13370FB5" w14:textId="77777777" w:rsidR="00084F8B" w:rsidRPr="00800F6F" w:rsidRDefault="00084F8B" w:rsidP="00505BC8">
            <w:pPr>
              <w:spacing w:before="120" w:after="120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</w:rPr>
              <w:t>Budowa NSPOP</w:t>
            </w:r>
            <w:r>
              <w:rPr>
                <w:rFonts w:cs="Calibri"/>
                <w:b/>
              </w:rPr>
              <w:t>(środki programu wieloletniego)</w:t>
            </w:r>
            <w:r w:rsidRPr="00EA03AE">
              <w:rPr>
                <w:rStyle w:val="Odwoanieprzypisudolnego"/>
              </w:rPr>
              <w:t xml:space="preserve"> </w:t>
            </w:r>
            <w:r w:rsidRPr="00EA03AE">
              <w:rPr>
                <w:rStyle w:val="Odwoanieprzypisudolnego"/>
              </w:rPr>
              <w:footnoteReference w:id="14"/>
            </w:r>
          </w:p>
        </w:tc>
        <w:tc>
          <w:tcPr>
            <w:tcW w:w="1351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2625F08" w14:textId="058DC822" w:rsidR="00084F8B" w:rsidRPr="00800F6F" w:rsidRDefault="00A8579E" w:rsidP="000D4C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359.000</w:t>
            </w:r>
            <w:r w:rsidR="00084F8B" w:rsidRPr="00800F6F">
              <w:rPr>
                <w:rFonts w:cs="Calibri"/>
                <w:b/>
                <w:bCs/>
              </w:rPr>
              <w:t>,</w:t>
            </w:r>
          </w:p>
          <w:p w14:paraId="52E48C4C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  <w:bCs/>
              </w:rPr>
              <w:t>w tym środki programu wieloletniego</w:t>
            </w:r>
          </w:p>
          <w:p w14:paraId="24E72A02" w14:textId="5A91D007" w:rsidR="00084F8B" w:rsidRPr="00800F6F" w:rsidRDefault="00A11BC6" w:rsidP="00A857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  <w:r w:rsidR="00A8579E">
              <w:rPr>
                <w:rFonts w:cs="Calibri"/>
                <w:b/>
                <w:bCs/>
              </w:rPr>
              <w:t>5</w:t>
            </w:r>
            <w:r w:rsidR="00084F8B" w:rsidRPr="00800F6F">
              <w:rPr>
                <w:rFonts w:cs="Calibri"/>
                <w:b/>
                <w:bCs/>
              </w:rPr>
              <w:t xml:space="preserve">0.000 </w:t>
            </w: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34365DE" w14:textId="77777777" w:rsidR="00084F8B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  <w:p w14:paraId="5BA7D901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13CCFA8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5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4F74722" w14:textId="77777777" w:rsidR="002166A9" w:rsidRDefault="002166A9" w:rsidP="000D4C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500</w:t>
            </w:r>
          </w:p>
          <w:p w14:paraId="3D70BACB" w14:textId="11C027DE" w:rsidR="00084F8B" w:rsidRPr="00800F6F" w:rsidRDefault="002166A9" w:rsidP="00486D9A">
            <w:pPr>
              <w:jc w:val="center"/>
              <w:rPr>
                <w:rFonts w:cs="Calibri"/>
                <w:b/>
                <w:bCs/>
              </w:rPr>
            </w:pPr>
            <w:r w:rsidRPr="002166A9">
              <w:rPr>
                <w:rFonts w:cs="Calibri"/>
                <w:b/>
                <w:bCs/>
              </w:rPr>
              <w:t>środki nieobjęte programem wieloletnim</w:t>
            </w:r>
          </w:p>
        </w:tc>
        <w:tc>
          <w:tcPr>
            <w:tcW w:w="977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8BAD69D" w14:textId="77777777" w:rsidR="00084F8B" w:rsidRDefault="002166A9" w:rsidP="00B87C3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  <w:r w:rsidR="00084F8B" w:rsidRPr="00800F6F">
              <w:rPr>
                <w:rFonts w:cs="Calibri"/>
                <w:b/>
                <w:bCs/>
              </w:rPr>
              <w:t>00</w:t>
            </w:r>
          </w:p>
          <w:p w14:paraId="22C808D9" w14:textId="403FBBEB" w:rsidR="002166A9" w:rsidRPr="00800F6F" w:rsidRDefault="002166A9" w:rsidP="00B87C36">
            <w:pPr>
              <w:jc w:val="center"/>
              <w:rPr>
                <w:rFonts w:cs="Calibri"/>
                <w:b/>
                <w:bCs/>
              </w:rPr>
            </w:pPr>
            <w:r w:rsidRPr="002166A9">
              <w:rPr>
                <w:rFonts w:cs="Calibri"/>
                <w:b/>
                <w:bCs/>
              </w:rPr>
              <w:t xml:space="preserve">środki </w:t>
            </w:r>
            <w:r w:rsidR="00486D9A" w:rsidRPr="002166A9">
              <w:rPr>
                <w:rFonts w:cs="Calibri"/>
                <w:b/>
                <w:bCs/>
              </w:rPr>
              <w:t>nieobjęte</w:t>
            </w:r>
            <w:r w:rsidRPr="002166A9">
              <w:rPr>
                <w:rFonts w:cs="Calibri"/>
                <w:b/>
                <w:bCs/>
              </w:rPr>
              <w:t xml:space="preserve"> programem wieloletnim</w:t>
            </w:r>
          </w:p>
        </w:tc>
      </w:tr>
      <w:tr w:rsidR="00084F8B" w:rsidRPr="00800F6F" w14:paraId="511E09D4" w14:textId="77777777" w:rsidTr="00B9703D">
        <w:tc>
          <w:tcPr>
            <w:tcW w:w="707" w:type="dxa"/>
            <w:tcBorders>
              <w:top w:val="single" w:sz="8" w:space="0" w:color="9BBB59"/>
              <w:bottom w:val="single" w:sz="8" w:space="0" w:color="9BBB59"/>
            </w:tcBorders>
          </w:tcPr>
          <w:p w14:paraId="28028EE5" w14:textId="77777777" w:rsidR="00084F8B" w:rsidRPr="00800F6F" w:rsidRDefault="00084F8B" w:rsidP="00614718">
            <w:pPr>
              <w:jc w:val="center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  <w:bCs/>
              </w:rPr>
              <w:t>8.</w:t>
            </w:r>
          </w:p>
        </w:tc>
        <w:tc>
          <w:tcPr>
            <w:tcW w:w="2881" w:type="dxa"/>
            <w:tcBorders>
              <w:top w:val="single" w:sz="8" w:space="0" w:color="9BBB59"/>
              <w:bottom w:val="single" w:sz="8" w:space="0" w:color="9BBB59"/>
            </w:tcBorders>
          </w:tcPr>
          <w:p w14:paraId="0530BA71" w14:textId="064CDB72" w:rsidR="00084F8B" w:rsidRPr="00800F6F" w:rsidRDefault="00084F8B" w:rsidP="00505BC8">
            <w:pPr>
              <w:rPr>
                <w:rFonts w:cs="Calibri"/>
                <w:b/>
              </w:rPr>
            </w:pPr>
            <w:r w:rsidRPr="00800F6F">
              <w:rPr>
                <w:rFonts w:cs="Calibri"/>
                <w:b/>
              </w:rPr>
              <w:t>Program naukowo-badawczy</w:t>
            </w:r>
            <w:r>
              <w:rPr>
                <w:rFonts w:cs="Calibri"/>
                <w:b/>
              </w:rPr>
              <w:t>**</w:t>
            </w:r>
            <w:r w:rsidRPr="00800F6F">
              <w:rPr>
                <w:rFonts w:cs="Calibri"/>
                <w:b/>
              </w:rPr>
              <w:t>dotyczący post</w:t>
            </w:r>
            <w:r w:rsidR="00A10E5F">
              <w:rPr>
                <w:rFonts w:cs="Calibri"/>
                <w:b/>
              </w:rPr>
              <w:t>ę</w:t>
            </w:r>
            <w:r w:rsidRPr="00800F6F">
              <w:rPr>
                <w:rFonts w:cs="Calibri"/>
                <w:b/>
              </w:rPr>
              <w:t>powania z odpadami promieniotwórczymi</w:t>
            </w:r>
          </w:p>
          <w:p w14:paraId="396D2CF6" w14:textId="77777777" w:rsidR="00084F8B" w:rsidRPr="00800F6F" w:rsidRDefault="00084F8B" w:rsidP="00977E68">
            <w:pPr>
              <w:spacing w:after="120"/>
              <w:rPr>
                <w:rFonts w:cs="Calibri"/>
                <w:b/>
              </w:rPr>
            </w:pPr>
            <w:r w:rsidRPr="00800F6F">
              <w:rPr>
                <w:rFonts w:cs="Calibri"/>
                <w:b/>
              </w:rPr>
              <w:t>(środki Ministerstwa Nauki i Szkolnictwa Wyższego (NCBiR))</w:t>
            </w:r>
          </w:p>
        </w:tc>
        <w:tc>
          <w:tcPr>
            <w:tcW w:w="1351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C629DC7" w14:textId="6B19A640" w:rsidR="00084F8B" w:rsidRPr="00800F6F" w:rsidRDefault="00A11BC6" w:rsidP="000D4C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  <w:r w:rsidR="00084F8B" w:rsidRPr="00800F6F">
              <w:rPr>
                <w:rFonts w:cs="Calibri"/>
                <w:b/>
                <w:bCs/>
              </w:rPr>
              <w:t>0.000</w:t>
            </w: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E4BAEE9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188215C3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5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18989A5" w14:textId="0513133D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77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4725470" w14:textId="77777777" w:rsidR="00084F8B" w:rsidRPr="00800F6F" w:rsidRDefault="00084F8B" w:rsidP="000D4C98">
            <w:pPr>
              <w:jc w:val="center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  <w:bCs/>
              </w:rPr>
              <w:t>5.000</w:t>
            </w:r>
          </w:p>
        </w:tc>
      </w:tr>
      <w:tr w:rsidR="00084F8B" w:rsidRPr="00800F6F" w14:paraId="2D761AC2" w14:textId="77777777" w:rsidTr="00CB4747">
        <w:tc>
          <w:tcPr>
            <w:tcW w:w="707" w:type="dxa"/>
            <w:tcBorders>
              <w:top w:val="single" w:sz="8" w:space="0" w:color="9BBB59"/>
              <w:bottom w:val="single" w:sz="8" w:space="0" w:color="9BBB59"/>
            </w:tcBorders>
          </w:tcPr>
          <w:p w14:paraId="086BEC40" w14:textId="77777777" w:rsidR="00084F8B" w:rsidRPr="00800F6F" w:rsidRDefault="00084F8B" w:rsidP="00060BE3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881" w:type="dxa"/>
            <w:tcBorders>
              <w:top w:val="single" w:sz="8" w:space="0" w:color="9BBB59"/>
              <w:bottom w:val="single" w:sz="8" w:space="0" w:color="9BBB59"/>
            </w:tcBorders>
          </w:tcPr>
          <w:p w14:paraId="2F530BBF" w14:textId="77777777" w:rsidR="00084F8B" w:rsidRPr="00800F6F" w:rsidRDefault="00084F8B" w:rsidP="00060BE3">
            <w:pPr>
              <w:jc w:val="center"/>
              <w:rPr>
                <w:rFonts w:cs="Calibri"/>
                <w:b/>
                <w:bCs/>
              </w:rPr>
            </w:pPr>
            <w:r w:rsidRPr="00800F6F">
              <w:rPr>
                <w:rFonts w:cs="Calibri"/>
                <w:b/>
                <w:bCs/>
              </w:rPr>
              <w:t>RAZEM</w:t>
            </w:r>
          </w:p>
        </w:tc>
        <w:tc>
          <w:tcPr>
            <w:tcW w:w="1351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1FF67694" w14:textId="28014EB3" w:rsidR="00084F8B" w:rsidRPr="00800F6F" w:rsidRDefault="00A35C0F" w:rsidP="000D4C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486.5</w:t>
            </w:r>
            <w:r w:rsidR="00084F8B" w:rsidRPr="00800F6F">
              <w:rPr>
                <w:rFonts w:cs="Calibri"/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D2FDD96" w14:textId="13135EC4" w:rsidR="00084F8B" w:rsidRPr="00800F6F" w:rsidRDefault="00A35C0F" w:rsidP="000D4C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1.</w:t>
            </w:r>
            <w:r w:rsidR="00084F8B" w:rsidRPr="00800F6F">
              <w:rPr>
                <w:rFonts w:cs="Calibri"/>
                <w:b/>
                <w:bCs/>
              </w:rPr>
              <w:t>2</w:t>
            </w:r>
            <w:r>
              <w:rPr>
                <w:rFonts w:cs="Calibri"/>
                <w:b/>
                <w:bCs/>
              </w:rPr>
              <w:t>0</w:t>
            </w:r>
            <w:r w:rsidR="00084F8B" w:rsidRPr="00800F6F">
              <w:rPr>
                <w:rFonts w:cs="Calibri"/>
                <w:b/>
                <w:bCs/>
              </w:rPr>
              <w:t>0</w:t>
            </w:r>
          </w:p>
        </w:tc>
        <w:tc>
          <w:tcPr>
            <w:tcW w:w="121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054AAD2" w14:textId="0E6B98DD" w:rsidR="00084F8B" w:rsidRPr="00800F6F" w:rsidRDefault="00A35C0F" w:rsidP="00F8354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1.4</w:t>
            </w:r>
            <w:r w:rsidR="00084F8B" w:rsidRPr="00800F6F">
              <w:rPr>
                <w:rFonts w:cs="Calibri"/>
                <w:b/>
                <w:bCs/>
              </w:rPr>
              <w:t>00</w:t>
            </w:r>
          </w:p>
        </w:tc>
        <w:tc>
          <w:tcPr>
            <w:tcW w:w="95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0B2A0047" w14:textId="7347BB56" w:rsidR="00084F8B" w:rsidRPr="00800F6F" w:rsidRDefault="00A35C0F" w:rsidP="00F8354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</w:t>
            </w:r>
            <w:r w:rsidR="00084F8B" w:rsidRPr="00800F6F">
              <w:rPr>
                <w:rFonts w:cs="Calibri"/>
                <w:b/>
                <w:bCs/>
              </w:rPr>
              <w:t>00</w:t>
            </w:r>
          </w:p>
        </w:tc>
        <w:tc>
          <w:tcPr>
            <w:tcW w:w="977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55949EE" w14:textId="52B6D496" w:rsidR="00084F8B" w:rsidRPr="00800F6F" w:rsidRDefault="00A35C0F" w:rsidP="00B87C3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6.4</w:t>
            </w:r>
            <w:r w:rsidR="00084F8B" w:rsidRPr="00800F6F">
              <w:rPr>
                <w:rFonts w:cs="Calibri"/>
                <w:b/>
                <w:bCs/>
              </w:rPr>
              <w:t>00</w:t>
            </w:r>
          </w:p>
        </w:tc>
      </w:tr>
    </w:tbl>
    <w:p w14:paraId="26ED6283" w14:textId="48AA62F5" w:rsidR="00B9703D" w:rsidRPr="00B9703D" w:rsidRDefault="00B9703D" w:rsidP="00F05EB8">
      <w:pPr>
        <w:jc w:val="both"/>
      </w:pPr>
      <w:r w:rsidRPr="001A37F7">
        <w:rPr>
          <w:b/>
        </w:rPr>
        <w:t>*</w:t>
      </w:r>
      <w:r>
        <w:rPr>
          <w:b/>
        </w:rPr>
        <w:t xml:space="preserve"> </w:t>
      </w:r>
      <w:r w:rsidR="00F05EB8" w:rsidRPr="00F05EB8">
        <w:t>dodatkowe środki z budżetu państwa lub środki z planowanego programu</w:t>
      </w:r>
      <w:r w:rsidR="00784DC6">
        <w:t xml:space="preserve"> </w:t>
      </w:r>
      <w:r w:rsidR="00F05EB8" w:rsidRPr="00F05EB8">
        <w:t>wieloletniego na budowę nowego składowiska</w:t>
      </w:r>
      <w:r w:rsidR="00784DC6">
        <w:t xml:space="preserve">, </w:t>
      </w:r>
      <w:r w:rsidR="00117A47">
        <w:t xml:space="preserve">ewentualnie, przy powstaniu takiej możliwości środki NFOŚiGW (zgodnie z zapisami </w:t>
      </w:r>
      <w:r w:rsidR="007F578A" w:rsidRPr="00C20BBB">
        <w:t>P</w:t>
      </w:r>
      <w:r w:rsidR="00C20BBB" w:rsidRPr="00C20BBB">
        <w:t>PEJ</w:t>
      </w:r>
      <w:r w:rsidR="00117A47">
        <w:t xml:space="preserve">). </w:t>
      </w:r>
    </w:p>
    <w:p w14:paraId="7BE913DA" w14:textId="3D61912F" w:rsidR="00084F8B" w:rsidRDefault="00084F8B" w:rsidP="00C57194">
      <w:pPr>
        <w:jc w:val="both"/>
      </w:pPr>
      <w:r w:rsidRPr="00177B66">
        <w:t>** środki Programu</w:t>
      </w:r>
      <w:r w:rsidR="00177B66" w:rsidRPr="00177B66">
        <w:t xml:space="preserve"> ustanowionego zgodnie z art. 376 ust. 1 ustawy z dnia 20 lipca </w:t>
      </w:r>
      <w:r w:rsidRPr="00177B66">
        <w:t>201</w:t>
      </w:r>
      <w:r w:rsidR="004A0809">
        <w:t>8</w:t>
      </w:r>
      <w:r w:rsidRPr="00177B66">
        <w:t xml:space="preserve"> r.</w:t>
      </w:r>
      <w:r w:rsidR="00177B66" w:rsidRPr="00177B66">
        <w:t xml:space="preserve"> </w:t>
      </w:r>
      <w:r w:rsidR="004A0809">
        <w:sym w:font="Symbol" w:char="F02D"/>
      </w:r>
      <w:r w:rsidR="004A0809">
        <w:t xml:space="preserve"> P</w:t>
      </w:r>
      <w:r w:rsidR="00177B66" w:rsidRPr="00177B66">
        <w:t>rawo o szkolnictwie wyższym i nauce (</w:t>
      </w:r>
      <w:r w:rsidRPr="00177B66">
        <w:t>Dz.U.</w:t>
      </w:r>
      <w:r w:rsidR="009A227F" w:rsidRPr="00177B66">
        <w:t xml:space="preserve"> </w:t>
      </w:r>
      <w:r w:rsidR="00486D9A" w:rsidRPr="00177B66">
        <w:t>z</w:t>
      </w:r>
      <w:r w:rsidR="00177B66" w:rsidRPr="00177B66">
        <w:t xml:space="preserve"> </w:t>
      </w:r>
      <w:r w:rsidR="004A0809" w:rsidRPr="00177B66">
        <w:t>20</w:t>
      </w:r>
      <w:r w:rsidR="004A0809">
        <w:t>20</w:t>
      </w:r>
      <w:r w:rsidR="004A0809" w:rsidRPr="00177B66">
        <w:t xml:space="preserve"> </w:t>
      </w:r>
      <w:r w:rsidR="00E15E51" w:rsidRPr="00177B66">
        <w:t>r</w:t>
      </w:r>
      <w:r w:rsidR="009A227F" w:rsidRPr="00177B66">
        <w:t xml:space="preserve">. </w:t>
      </w:r>
      <w:r w:rsidR="00177B66" w:rsidRPr="00177B66">
        <w:t xml:space="preserve">poz. </w:t>
      </w:r>
      <w:r w:rsidR="004A0809">
        <w:t>85</w:t>
      </w:r>
      <w:r w:rsidR="004E296B" w:rsidRPr="00177B66">
        <w:t>,</w:t>
      </w:r>
      <w:r w:rsidR="009A227F" w:rsidRPr="00177B66">
        <w:t xml:space="preserve"> z pó</w:t>
      </w:r>
      <w:r w:rsidR="00EC1C5A" w:rsidRPr="00177B66">
        <w:t>ź</w:t>
      </w:r>
      <w:r w:rsidR="009A227F" w:rsidRPr="00177B66">
        <w:t>n.</w:t>
      </w:r>
      <w:r w:rsidR="00FF4826">
        <w:t xml:space="preserve"> </w:t>
      </w:r>
      <w:r w:rsidR="009A227F" w:rsidRPr="00177B66">
        <w:t>zm.</w:t>
      </w:r>
      <w:r w:rsidRPr="00177B66">
        <w:t>)</w:t>
      </w:r>
      <w:r w:rsidR="00A35C0F">
        <w:t xml:space="preserve"> (środki MNiS</w:t>
      </w:r>
      <w:r w:rsidR="00321456">
        <w:t>W</w:t>
      </w:r>
      <w:r w:rsidR="00A35C0F">
        <w:t>))</w:t>
      </w:r>
      <w:r w:rsidRPr="00177B66">
        <w:t xml:space="preserve">. </w:t>
      </w:r>
    </w:p>
    <w:p w14:paraId="630B8A58" w14:textId="77777777" w:rsidR="00C20BBB" w:rsidRPr="00177B66" w:rsidRDefault="00C20BBB" w:rsidP="00C57194">
      <w:pPr>
        <w:jc w:val="both"/>
      </w:pPr>
    </w:p>
    <w:p w14:paraId="127218A6" w14:textId="77777777" w:rsidR="00C20BBB" w:rsidRDefault="00C20BBB" w:rsidP="00C57194">
      <w:pPr>
        <w:jc w:val="both"/>
      </w:pPr>
    </w:p>
    <w:p w14:paraId="4BF3E69D" w14:textId="38722957" w:rsidR="00192B60" w:rsidRDefault="00192B60" w:rsidP="00C57194">
      <w:pPr>
        <w:jc w:val="both"/>
      </w:pPr>
      <w:r>
        <w:tab/>
        <w:t xml:space="preserve">Zgodnie z wymogami </w:t>
      </w:r>
      <w:r w:rsidR="00B07706">
        <w:t>D</w:t>
      </w:r>
      <w:r>
        <w:t>yrektywy</w:t>
      </w:r>
      <w:r w:rsidR="00B07706">
        <w:t xml:space="preserve"> Rady 2011/70/Euratom</w:t>
      </w:r>
      <w:r>
        <w:t xml:space="preserve"> dokonano także </w:t>
      </w:r>
      <w:r w:rsidR="00442879" w:rsidRPr="00442879">
        <w:t>oceny kosztów postępowania z wypalonym paliwem jądrowym i odpadami promieniotwórczymi z uwzględnieniem likwidacji elektrowni jądrowych w Polsce na potrzeby oceny kosztów realizacji Krajowego planu postępowania z wypalonym paliwem jądrowym i odpadami promieniotwórczymi</w:t>
      </w:r>
      <w:r>
        <w:t>. Wyniki prze</w:t>
      </w:r>
      <w:r w:rsidR="00CF2B78">
        <w:t>d</w:t>
      </w:r>
      <w:r>
        <w:t xml:space="preserve">stawiono w Załączniku nr 2. </w:t>
      </w:r>
    </w:p>
    <w:p w14:paraId="0EA8C7D9" w14:textId="6FA5B447" w:rsidR="00C20BBB" w:rsidRDefault="00C20BBB" w:rsidP="00C57194">
      <w:pPr>
        <w:jc w:val="both"/>
      </w:pPr>
    </w:p>
    <w:p w14:paraId="35EA4607" w14:textId="77777777" w:rsidR="00E53EB3" w:rsidRDefault="00E53EB3" w:rsidP="00C57194">
      <w:pPr>
        <w:jc w:val="both"/>
      </w:pPr>
    </w:p>
    <w:p w14:paraId="5D643E4B" w14:textId="632295EC" w:rsidR="00E53EB3" w:rsidRPr="00E53EB3" w:rsidRDefault="00E53EB3" w:rsidP="00E53EB3">
      <w:pPr>
        <w:pStyle w:val="Nagwek2"/>
      </w:pPr>
      <w:r>
        <w:t>1.5</w:t>
      </w:r>
      <w:r w:rsidRPr="00E53EB3">
        <w:t xml:space="preserve">. </w:t>
      </w:r>
      <w:r>
        <w:t xml:space="preserve">SPRAWOZDANIE Z REALIZACJI </w:t>
      </w:r>
      <w:r w:rsidRPr="00E53EB3">
        <w:t xml:space="preserve">Krajowego planu </w:t>
      </w:r>
    </w:p>
    <w:p w14:paraId="7AD1CAF6" w14:textId="1B725BCD" w:rsidR="00E53EB3" w:rsidRDefault="0035085A" w:rsidP="00C57194">
      <w:pPr>
        <w:jc w:val="both"/>
      </w:pPr>
      <w:r>
        <w:t>Zgodnie z art. 57 f ust. 1</w:t>
      </w:r>
      <w:r w:rsidR="00E53EB3" w:rsidRPr="00E53EB3">
        <w:t xml:space="preserve"> ustawy - Prawo atomowe, minister właściwy ds. energii </w:t>
      </w:r>
      <w:r>
        <w:t xml:space="preserve">co dwa lata sporządza sprawozdanie z realizacji Krajowego planu i przedstawia je Radzie Ministrów. </w:t>
      </w:r>
    </w:p>
    <w:p w14:paraId="0D389447" w14:textId="1DD0FF2D" w:rsidR="0035085A" w:rsidRDefault="0035085A" w:rsidP="00C57194">
      <w:pPr>
        <w:jc w:val="both"/>
      </w:pPr>
      <w:r>
        <w:t>Sprawozdanie za lata 2015-17 zostało przyjęte  przez Ra</w:t>
      </w:r>
      <w:r w:rsidR="00F1592D">
        <w:t>dę</w:t>
      </w:r>
      <w:r>
        <w:t xml:space="preserve"> Ministrów i opublikowane</w:t>
      </w:r>
      <w:r w:rsidR="00A02F9B">
        <w:t xml:space="preserve"> w dniu 8 lutego 2019 r.</w:t>
      </w:r>
      <w:r>
        <w:t xml:space="preserve">  (</w:t>
      </w:r>
      <w:r w:rsidRPr="0035085A">
        <w:t>M.P.</w:t>
      </w:r>
      <w:r w:rsidR="00407ED8">
        <w:t xml:space="preserve"> poz. </w:t>
      </w:r>
      <w:r w:rsidRPr="0035085A">
        <w:t>238</w:t>
      </w:r>
      <w:r>
        <w:t>).</w:t>
      </w:r>
    </w:p>
    <w:p w14:paraId="3CEE72A8" w14:textId="4A675FE0" w:rsidR="00A02F9B" w:rsidRPr="00A02F9B" w:rsidRDefault="0035085A" w:rsidP="00A02F9B">
      <w:pPr>
        <w:jc w:val="both"/>
      </w:pPr>
      <w:r>
        <w:t>We wnioskach Rada M</w:t>
      </w:r>
      <w:r w:rsidR="00A02F9B">
        <w:t>inistrów, w</w:t>
      </w:r>
      <w:r w:rsidR="00A02F9B" w:rsidRPr="00A02F9B">
        <w:t xml:space="preserve"> związku ze stwierdzonymi opóźnieniami</w:t>
      </w:r>
      <w:r w:rsidR="00A02F9B">
        <w:t xml:space="preserve"> w realizacji Krajowego planu</w:t>
      </w:r>
      <w:r w:rsidR="00A02F9B" w:rsidRPr="00A02F9B">
        <w:t>,</w:t>
      </w:r>
      <w:r w:rsidR="00A02F9B">
        <w:t xml:space="preserve"> zaleciła Ministrowi </w:t>
      </w:r>
      <w:r w:rsidR="009B774D">
        <w:t>właściwemu ds. en</w:t>
      </w:r>
      <w:r w:rsidR="00A02F9B">
        <w:t xml:space="preserve">ergii </w:t>
      </w:r>
      <w:r w:rsidR="00A02F9B" w:rsidRPr="00A02F9B">
        <w:t xml:space="preserve"> przy aktualizacji  Krajowego planu:</w:t>
      </w:r>
    </w:p>
    <w:p w14:paraId="22B172BF" w14:textId="3F4B0425" w:rsidR="00A02F9B" w:rsidRPr="00A02F9B" w:rsidRDefault="00F1592D" w:rsidP="00A02F9B">
      <w:pPr>
        <w:numPr>
          <w:ilvl w:val="0"/>
          <w:numId w:val="137"/>
        </w:numPr>
        <w:jc w:val="both"/>
      </w:pPr>
      <w:r>
        <w:lastRenderedPageBreak/>
        <w:t>urealnić</w:t>
      </w:r>
      <w:r w:rsidR="00A02F9B" w:rsidRPr="00A02F9B">
        <w:t xml:space="preserve"> harmonogram planowanych w Krajowym planie działań,</w:t>
      </w:r>
    </w:p>
    <w:p w14:paraId="0C8BC974" w14:textId="67C47DD1" w:rsidR="00A02F9B" w:rsidRPr="00A02F9B" w:rsidRDefault="00A02F9B" w:rsidP="00A02F9B">
      <w:pPr>
        <w:numPr>
          <w:ilvl w:val="0"/>
          <w:numId w:val="137"/>
        </w:numPr>
        <w:jc w:val="both"/>
      </w:pPr>
      <w:r w:rsidRPr="00A02F9B">
        <w:t xml:space="preserve"> w maksymalnym możliwym stopniu uwzględni</w:t>
      </w:r>
      <w:r>
        <w:t>ć</w:t>
      </w:r>
      <w:r w:rsidRPr="00A02F9B">
        <w:t xml:space="preserve"> możliwość sfinansowania planowanych działań  ze środków innych niż budżet państwa,</w:t>
      </w:r>
    </w:p>
    <w:p w14:paraId="705E33B6" w14:textId="6FEE378B" w:rsidR="0035085A" w:rsidRDefault="00A02F9B" w:rsidP="00A02F9B">
      <w:pPr>
        <w:numPr>
          <w:ilvl w:val="0"/>
          <w:numId w:val="137"/>
        </w:numPr>
        <w:jc w:val="both"/>
      </w:pPr>
      <w:r w:rsidRPr="00A02F9B">
        <w:t>uwzględni</w:t>
      </w:r>
      <w:r>
        <w:t>ć</w:t>
      </w:r>
      <w:r w:rsidRPr="00A02F9B">
        <w:t xml:space="preserve"> kwestię realizacji  Programu polskiej energetyki jądrowej.</w:t>
      </w:r>
      <w:r w:rsidR="0035085A">
        <w:t>:</w:t>
      </w:r>
    </w:p>
    <w:p w14:paraId="66E2E25C" w14:textId="56A2A3C9" w:rsidR="00084F8B" w:rsidRPr="0070403F" w:rsidRDefault="00A02F9B" w:rsidP="00C20BBB">
      <w:pPr>
        <w:jc w:val="both"/>
      </w:pPr>
      <w:r>
        <w:t>Zalecenia te zostały wykonane.</w:t>
      </w:r>
      <w:r w:rsidR="00084F8B">
        <w:br w:type="page"/>
      </w:r>
    </w:p>
    <w:p w14:paraId="2912CEA5" w14:textId="77777777" w:rsidR="00084F8B" w:rsidRPr="00A54791" w:rsidRDefault="00084F8B" w:rsidP="0002757F">
      <w:pPr>
        <w:pStyle w:val="Nagwek1"/>
      </w:pPr>
      <w:bookmarkStart w:id="68" w:name="_Toc397697006"/>
      <w:bookmarkStart w:id="69" w:name="_Toc424116692"/>
      <w:r w:rsidRPr="00A54791">
        <w:lastRenderedPageBreak/>
        <w:t xml:space="preserve">Rozdział 2. Etapy realizacji zadań </w:t>
      </w:r>
      <w:r>
        <w:t>Krajowego p</w:t>
      </w:r>
      <w:r w:rsidRPr="00A54791">
        <w:t>lanu</w:t>
      </w:r>
      <w:bookmarkEnd w:id="68"/>
      <w:bookmarkEnd w:id="69"/>
    </w:p>
    <w:p w14:paraId="518E6702" w14:textId="77777777" w:rsidR="00084F8B" w:rsidRDefault="00084F8B" w:rsidP="0070403F">
      <w:pPr>
        <w:jc w:val="both"/>
      </w:pPr>
    </w:p>
    <w:p w14:paraId="5F12941D" w14:textId="77777777" w:rsidR="00084F8B" w:rsidRDefault="00084F8B" w:rsidP="00C87B85">
      <w:pPr>
        <w:ind w:firstLine="567"/>
        <w:jc w:val="both"/>
      </w:pPr>
      <w:r>
        <w:t>W niniejszym rozdziale przedstawiono h</w:t>
      </w:r>
      <w:r w:rsidRPr="00784F93">
        <w:t>armonogram czasowy realizacji poszczególnych zadań zaprezentowanych w</w:t>
      </w:r>
      <w:r>
        <w:t xml:space="preserve"> rozdziale 1.</w:t>
      </w:r>
    </w:p>
    <w:p w14:paraId="66C8F4F3" w14:textId="77777777" w:rsidR="00084F8B" w:rsidRDefault="00084F8B" w:rsidP="002E58C9">
      <w:pPr>
        <w:jc w:val="both"/>
      </w:pPr>
    </w:p>
    <w:p w14:paraId="4669F501" w14:textId="77777777" w:rsidR="00084F8B" w:rsidRDefault="00084F8B" w:rsidP="008D5796">
      <w:pPr>
        <w:pStyle w:val="Nagwek2"/>
      </w:pPr>
      <w:bookmarkStart w:id="70" w:name="_Toc397697007"/>
      <w:bookmarkStart w:id="71" w:name="_Toc424116693"/>
      <w:r>
        <w:t xml:space="preserve">2.1. Zadania </w:t>
      </w:r>
      <w:r w:rsidRPr="00F74164">
        <w:t>w zakresie</w:t>
      </w:r>
      <w:r>
        <w:t xml:space="preserve"> postępowania z</w:t>
      </w:r>
      <w:r w:rsidRPr="00F74164">
        <w:t xml:space="preserve"> odpad</w:t>
      </w:r>
      <w:r>
        <w:t>ami</w:t>
      </w:r>
      <w:r w:rsidRPr="00F74164">
        <w:t xml:space="preserve"> promieniotwórczy</w:t>
      </w:r>
      <w:r>
        <w:t>mi</w:t>
      </w:r>
      <w:r w:rsidRPr="00F74164">
        <w:t xml:space="preserve"> nisko- i średnioaktywny</w:t>
      </w:r>
      <w:r>
        <w:t>mi</w:t>
      </w:r>
      <w:bookmarkEnd w:id="70"/>
      <w:bookmarkEnd w:id="71"/>
    </w:p>
    <w:p w14:paraId="4EDEAD62" w14:textId="77777777" w:rsidR="00EE3E4B" w:rsidRDefault="00EE3E4B" w:rsidP="00C04B5A"/>
    <w:p w14:paraId="641B2001" w14:textId="115BD4D6" w:rsidR="00EE3E4B" w:rsidRPr="006020AF" w:rsidRDefault="00EE3E4B" w:rsidP="00EE3E4B">
      <w:pPr>
        <w:pStyle w:val="Nagwek3"/>
      </w:pPr>
      <w:r>
        <w:t>2</w:t>
      </w:r>
      <w:r w:rsidRPr="00F74164">
        <w:t>.1</w:t>
      </w:r>
      <w:r>
        <w:t>.1.</w:t>
      </w:r>
      <w:r w:rsidRPr="00F74164">
        <w:t xml:space="preserve"> </w:t>
      </w:r>
      <w:r>
        <w:t xml:space="preserve">zapewnienie bezpiecznej eksploatacji </w:t>
      </w:r>
      <w:r w:rsidRPr="00F74164">
        <w:t>Krajowego Składowiska Odpadów Promieniotwórczych w Różanie</w:t>
      </w:r>
      <w:r>
        <w:t xml:space="preserve"> do czasu jego zamknięcia</w:t>
      </w:r>
    </w:p>
    <w:p w14:paraId="2CC04C2C" w14:textId="77777777" w:rsidR="00EE3E4B" w:rsidRDefault="00EE3E4B" w:rsidP="00EE3E4B">
      <w:pPr>
        <w:jc w:val="both"/>
      </w:pPr>
      <w:r>
        <w:t xml:space="preserve">Niniejsze zadanie będzie obejmować następujące działania: </w:t>
      </w:r>
    </w:p>
    <w:p w14:paraId="7E5E605D" w14:textId="4AD6CB0E" w:rsidR="00EE3E4B" w:rsidRDefault="00EE3E4B" w:rsidP="00C04B5A">
      <w:pPr>
        <w:pStyle w:val="Akapitzlist"/>
        <w:numPr>
          <w:ilvl w:val="0"/>
          <w:numId w:val="134"/>
        </w:numPr>
        <w:jc w:val="both"/>
      </w:pPr>
      <w:r>
        <w:t>Sporządzenie zaktualizowanego eksploatacyjnego raportu bezpieczeństwa dla KSOP w latach 2019-20</w:t>
      </w:r>
      <w:r w:rsidR="00B07706">
        <w:t>;</w:t>
      </w:r>
    </w:p>
    <w:p w14:paraId="7CCFB4F1" w14:textId="2D38B167" w:rsidR="00C04B5A" w:rsidRDefault="00C04B5A" w:rsidP="00C04B5A">
      <w:pPr>
        <w:pStyle w:val="Akapitzlist"/>
        <w:numPr>
          <w:ilvl w:val="0"/>
          <w:numId w:val="134"/>
        </w:numPr>
        <w:jc w:val="both"/>
      </w:pPr>
      <w:r>
        <w:t>Uzyskanie zatwierdzenia ERB poprzez zmianę zezwolenia Prezesa PAA na eksploatację KSOP w 2020 roku</w:t>
      </w:r>
      <w:r w:rsidR="00B07706">
        <w:t>;</w:t>
      </w:r>
    </w:p>
    <w:p w14:paraId="775AFB12" w14:textId="5AC3F7C2" w:rsidR="00EE3E4B" w:rsidRDefault="00EE3E4B" w:rsidP="00C04B5A">
      <w:pPr>
        <w:pStyle w:val="Akapitzlist"/>
        <w:numPr>
          <w:ilvl w:val="0"/>
          <w:numId w:val="132"/>
        </w:numPr>
        <w:jc w:val="both"/>
      </w:pPr>
      <w:r>
        <w:t>Przygotowanie koncepcji wydobycia nieprzetworzonych odpadów historycznych w latach 2021-</w:t>
      </w:r>
      <w:r w:rsidR="007037BC">
        <w:t>24</w:t>
      </w:r>
      <w:r w:rsidR="00B07706">
        <w:t>;</w:t>
      </w:r>
    </w:p>
    <w:p w14:paraId="40E72F63" w14:textId="4C2D6408" w:rsidR="00EE3E4B" w:rsidRPr="00784F93" w:rsidRDefault="00EE3E4B" w:rsidP="00C04B5A">
      <w:pPr>
        <w:pStyle w:val="Akapitzlist"/>
        <w:numPr>
          <w:ilvl w:val="0"/>
          <w:numId w:val="132"/>
        </w:numPr>
        <w:jc w:val="both"/>
      </w:pPr>
      <w:r>
        <w:t>Wydobycie i przetworzenie odpadów historycznych w latach 202</w:t>
      </w:r>
      <w:r w:rsidR="007037BC">
        <w:t>5</w:t>
      </w:r>
      <w:r>
        <w:t>-2</w:t>
      </w:r>
      <w:r w:rsidR="007037BC">
        <w:t>6</w:t>
      </w:r>
    </w:p>
    <w:p w14:paraId="4FAE67E9" w14:textId="77777777" w:rsidR="00EE3E4B" w:rsidRPr="00EE3E4B" w:rsidRDefault="00EE3E4B" w:rsidP="00C04B5A"/>
    <w:p w14:paraId="69E90253" w14:textId="6635D110" w:rsidR="00084F8B" w:rsidRPr="006020AF" w:rsidRDefault="00084F8B" w:rsidP="008D5796">
      <w:pPr>
        <w:pStyle w:val="Nagwek3"/>
      </w:pPr>
      <w:bookmarkStart w:id="72" w:name="_Toc397697008"/>
      <w:bookmarkStart w:id="73" w:name="_Toc424116694"/>
      <w:r>
        <w:t>2</w:t>
      </w:r>
      <w:r w:rsidRPr="00F74164">
        <w:t>.1</w:t>
      </w:r>
      <w:r>
        <w:t>.</w:t>
      </w:r>
      <w:r w:rsidR="00EE3E4B">
        <w:t>2</w:t>
      </w:r>
      <w:r>
        <w:t>.</w:t>
      </w:r>
      <w:r w:rsidRPr="00F74164">
        <w:t xml:space="preserve"> Przygotowanie do zamknięcia i zamknięcie Krajowego Składowiska Odpadów Promieniotwórczych w Różanie</w:t>
      </w:r>
      <w:bookmarkEnd w:id="72"/>
      <w:bookmarkEnd w:id="73"/>
    </w:p>
    <w:p w14:paraId="2B0B17A0" w14:textId="77777777" w:rsidR="00084F8B" w:rsidRPr="00784F93" w:rsidRDefault="00084F8B" w:rsidP="002E58C9">
      <w:pPr>
        <w:jc w:val="both"/>
      </w:pPr>
      <w:r>
        <w:t xml:space="preserve">Niniejsze zadanie będzie obejmować następujące działania: </w:t>
      </w:r>
    </w:p>
    <w:p w14:paraId="6396170F" w14:textId="5871FC07" w:rsidR="00084F8B" w:rsidRPr="00B83E18" w:rsidRDefault="00084F8B" w:rsidP="00EA03AE">
      <w:pPr>
        <w:numPr>
          <w:ilvl w:val="0"/>
          <w:numId w:val="87"/>
        </w:num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w</w:t>
      </w:r>
      <w:r w:rsidRPr="00B83E18">
        <w:rPr>
          <w:rFonts w:eastAsia="MS Mincho"/>
          <w:lang w:eastAsia="ja-JP"/>
        </w:rPr>
        <w:t xml:space="preserve">ybór opcji zamknięcia KSOP w Różanie oraz wykonanie raportów bezpieczeństwa dla jego zamknięcia i okresu po </w:t>
      </w:r>
      <w:r w:rsidR="00486D9A" w:rsidRPr="00B83E18">
        <w:rPr>
          <w:rFonts w:eastAsia="MS Mincho"/>
          <w:lang w:eastAsia="ja-JP"/>
        </w:rPr>
        <w:t>zamknięciu</w:t>
      </w:r>
      <w:r w:rsidR="00486D9A" w:rsidRPr="00B83E18">
        <w:rPr>
          <w:rFonts w:eastAsia="MS Mincho"/>
          <w:b/>
          <w:lang w:eastAsia="ja-JP"/>
        </w:rPr>
        <w:t xml:space="preserve"> </w:t>
      </w:r>
      <w:r w:rsidR="00486D9A" w:rsidRPr="00B83E18">
        <w:rPr>
          <w:rFonts w:eastAsia="MS Mincho"/>
          <w:lang w:eastAsia="ja-JP"/>
        </w:rPr>
        <w:t>- 2030 r</w:t>
      </w:r>
      <w:r>
        <w:rPr>
          <w:rFonts w:eastAsia="MS Mincho"/>
          <w:lang w:eastAsia="ja-JP"/>
        </w:rPr>
        <w:t xml:space="preserve">. </w:t>
      </w:r>
      <w:r w:rsidRPr="00B83E18"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 xml:space="preserve"> </w:t>
      </w:r>
      <w:r w:rsidR="004A2F66">
        <w:rPr>
          <w:rFonts w:eastAsia="MS Mincho"/>
          <w:lang w:eastAsia="ja-JP"/>
        </w:rPr>
        <w:t>20</w:t>
      </w:r>
      <w:r w:rsidR="00F278D4">
        <w:rPr>
          <w:rFonts w:eastAsia="MS Mincho"/>
          <w:lang w:eastAsia="ja-JP"/>
        </w:rPr>
        <w:t>32</w:t>
      </w:r>
      <w:r>
        <w:rPr>
          <w:rFonts w:eastAsia="MS Mincho"/>
          <w:lang w:eastAsia="ja-JP"/>
        </w:rPr>
        <w:t xml:space="preserve"> r.;</w:t>
      </w:r>
    </w:p>
    <w:p w14:paraId="0FFF94A9" w14:textId="288EE388" w:rsidR="00084F8B" w:rsidRPr="00CE22C9" w:rsidRDefault="00084F8B" w:rsidP="00EA03AE">
      <w:pPr>
        <w:numPr>
          <w:ilvl w:val="0"/>
          <w:numId w:val="87"/>
        </w:num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p</w:t>
      </w:r>
      <w:r w:rsidRPr="00CE22C9">
        <w:rPr>
          <w:rFonts w:eastAsia="MS Mincho"/>
          <w:lang w:eastAsia="ja-JP"/>
        </w:rPr>
        <w:t>rzygotowanie koncepcji zamkni</w:t>
      </w:r>
      <w:r w:rsidR="004A2F66">
        <w:rPr>
          <w:rFonts w:eastAsia="MS Mincho"/>
          <w:lang w:eastAsia="ja-JP"/>
        </w:rPr>
        <w:t>ęcia KSOP w Różanie – 20</w:t>
      </w:r>
      <w:r w:rsidR="00F278D4">
        <w:rPr>
          <w:rFonts w:eastAsia="MS Mincho"/>
          <w:lang w:eastAsia="ja-JP"/>
        </w:rPr>
        <w:t>33</w:t>
      </w:r>
      <w:r w:rsidR="004A2F66">
        <w:rPr>
          <w:rFonts w:eastAsia="MS Mincho"/>
          <w:lang w:eastAsia="ja-JP"/>
        </w:rPr>
        <w:t xml:space="preserve"> r. - 20</w:t>
      </w:r>
      <w:r w:rsidR="00F278D4">
        <w:rPr>
          <w:rFonts w:eastAsia="MS Mincho"/>
          <w:lang w:eastAsia="ja-JP"/>
        </w:rPr>
        <w:t>34</w:t>
      </w:r>
      <w:r>
        <w:rPr>
          <w:rFonts w:eastAsia="MS Mincho"/>
          <w:lang w:eastAsia="ja-JP"/>
        </w:rPr>
        <w:t xml:space="preserve"> r.;</w:t>
      </w:r>
    </w:p>
    <w:p w14:paraId="5AF6D4AF" w14:textId="67C9942C" w:rsidR="00084F8B" w:rsidRDefault="00084F8B" w:rsidP="00EA03AE">
      <w:pPr>
        <w:numPr>
          <w:ilvl w:val="0"/>
          <w:numId w:val="87"/>
        </w:num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p</w:t>
      </w:r>
      <w:r w:rsidRPr="00CE22C9">
        <w:rPr>
          <w:rFonts w:eastAsia="MS Mincho"/>
          <w:lang w:eastAsia="ja-JP"/>
        </w:rPr>
        <w:t>rzygotowania do zamknięcia,</w:t>
      </w:r>
      <w:r>
        <w:rPr>
          <w:rFonts w:eastAsia="MS Mincho"/>
          <w:lang w:eastAsia="ja-JP"/>
        </w:rPr>
        <w:t xml:space="preserve"> sporządzenie Programu zamknięcia składowiska i</w:t>
      </w:r>
      <w:r w:rsidRPr="00CE22C9">
        <w:rPr>
          <w:rFonts w:eastAsia="MS Mincho"/>
          <w:lang w:eastAsia="ja-JP"/>
        </w:rPr>
        <w:t xml:space="preserve"> uzyskanie </w:t>
      </w:r>
      <w:r>
        <w:rPr>
          <w:rFonts w:eastAsia="MS Mincho"/>
          <w:lang w:eastAsia="ja-JP"/>
        </w:rPr>
        <w:t>zezwoleni</w:t>
      </w:r>
      <w:r w:rsidR="004A2F66">
        <w:rPr>
          <w:rFonts w:eastAsia="MS Mincho"/>
          <w:lang w:eastAsia="ja-JP"/>
        </w:rPr>
        <w:t>a na zamknięcie - 20</w:t>
      </w:r>
      <w:r w:rsidR="00F278D4">
        <w:rPr>
          <w:rFonts w:eastAsia="MS Mincho"/>
          <w:lang w:eastAsia="ja-JP"/>
        </w:rPr>
        <w:t>34</w:t>
      </w:r>
      <w:r w:rsidR="004A2F66">
        <w:rPr>
          <w:rFonts w:eastAsia="MS Mincho"/>
          <w:lang w:eastAsia="ja-JP"/>
        </w:rPr>
        <w:t xml:space="preserve"> r. - 20</w:t>
      </w:r>
      <w:r w:rsidR="00F278D4">
        <w:rPr>
          <w:rFonts w:eastAsia="MS Mincho"/>
          <w:lang w:eastAsia="ja-JP"/>
        </w:rPr>
        <w:t>37</w:t>
      </w:r>
      <w:r>
        <w:rPr>
          <w:rFonts w:eastAsia="MS Mincho"/>
          <w:lang w:eastAsia="ja-JP"/>
        </w:rPr>
        <w:t xml:space="preserve"> r.;</w:t>
      </w:r>
    </w:p>
    <w:p w14:paraId="4A4A2DBE" w14:textId="7B781BDE" w:rsidR="00084F8B" w:rsidRDefault="00084F8B" w:rsidP="00EA03AE">
      <w:pPr>
        <w:numPr>
          <w:ilvl w:val="0"/>
          <w:numId w:val="87"/>
        </w:num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za</w:t>
      </w:r>
      <w:r w:rsidR="004A2F66">
        <w:rPr>
          <w:rFonts w:eastAsia="MS Mincho"/>
          <w:lang w:eastAsia="ja-JP"/>
        </w:rPr>
        <w:t xml:space="preserve">mykanie </w:t>
      </w:r>
      <w:r w:rsidR="00486D9A">
        <w:rPr>
          <w:rFonts w:eastAsia="MS Mincho"/>
          <w:lang w:eastAsia="ja-JP"/>
        </w:rPr>
        <w:t>składowiska - od</w:t>
      </w:r>
      <w:r w:rsidR="00CB4747">
        <w:rPr>
          <w:rFonts w:eastAsia="MS Mincho"/>
          <w:lang w:eastAsia="ja-JP"/>
        </w:rPr>
        <w:t xml:space="preserve"> </w:t>
      </w:r>
      <w:r w:rsidR="004A2F66">
        <w:rPr>
          <w:rFonts w:eastAsia="MS Mincho"/>
          <w:lang w:eastAsia="ja-JP"/>
        </w:rPr>
        <w:t>20</w:t>
      </w:r>
      <w:r w:rsidR="000B7B99">
        <w:rPr>
          <w:rFonts w:eastAsia="MS Mincho"/>
          <w:lang w:eastAsia="ja-JP"/>
        </w:rPr>
        <w:t>3</w:t>
      </w:r>
      <w:r w:rsidR="00F278D4">
        <w:rPr>
          <w:rFonts w:eastAsia="MS Mincho"/>
          <w:lang w:eastAsia="ja-JP"/>
        </w:rPr>
        <w:t xml:space="preserve">8 </w:t>
      </w:r>
      <w:r w:rsidR="00EF3A75">
        <w:rPr>
          <w:rFonts w:eastAsia="MS Mincho"/>
          <w:lang w:eastAsia="ja-JP"/>
        </w:rPr>
        <w:t xml:space="preserve">r. </w:t>
      </w:r>
      <w:r w:rsidR="00F278D4">
        <w:rPr>
          <w:rFonts w:eastAsia="MS Mincho"/>
          <w:lang w:eastAsia="ja-JP"/>
        </w:rPr>
        <w:t xml:space="preserve"> -  2040 r.,</w:t>
      </w:r>
    </w:p>
    <w:p w14:paraId="1AC9A8A5" w14:textId="01F38146" w:rsidR="004725EF" w:rsidRDefault="00084F8B" w:rsidP="004725EF">
      <w:pPr>
        <w:numPr>
          <w:ilvl w:val="0"/>
          <w:numId w:val="87"/>
        </w:numPr>
        <w:jc w:val="both"/>
        <w:rPr>
          <w:rFonts w:eastAsia="MS Mincho"/>
          <w:lang w:eastAsia="ja-JP"/>
        </w:rPr>
      </w:pPr>
      <w:r w:rsidRPr="004725EF">
        <w:rPr>
          <w:rFonts w:eastAsia="MS Mincho"/>
          <w:lang w:eastAsia="ja-JP"/>
        </w:rPr>
        <w:t>przygotowanie raportu z zamknięcia składowiska, uzyskanie decyzji Prezesa PAA zatwierdzającej rapo</w:t>
      </w:r>
      <w:r w:rsidR="004A2F66">
        <w:rPr>
          <w:rFonts w:eastAsia="MS Mincho"/>
          <w:lang w:eastAsia="ja-JP"/>
        </w:rPr>
        <w:t>rt, zamknięcie składowiska- 20</w:t>
      </w:r>
      <w:r w:rsidR="000B7B99">
        <w:rPr>
          <w:rFonts w:eastAsia="MS Mincho"/>
          <w:lang w:eastAsia="ja-JP"/>
        </w:rPr>
        <w:t>3</w:t>
      </w:r>
      <w:r w:rsidR="00F278D4">
        <w:rPr>
          <w:rFonts w:eastAsia="MS Mincho"/>
          <w:lang w:eastAsia="ja-JP"/>
        </w:rPr>
        <w:t>6</w:t>
      </w:r>
      <w:r w:rsidR="00EF3A75">
        <w:rPr>
          <w:rFonts w:eastAsia="MS Mincho"/>
          <w:lang w:eastAsia="ja-JP"/>
        </w:rPr>
        <w:t xml:space="preserve"> </w:t>
      </w:r>
      <w:r w:rsidR="004A2F66">
        <w:rPr>
          <w:rFonts w:eastAsia="MS Mincho"/>
          <w:lang w:eastAsia="ja-JP"/>
        </w:rPr>
        <w:t>r. - 20</w:t>
      </w:r>
      <w:r w:rsidR="00571B38">
        <w:rPr>
          <w:rFonts w:eastAsia="MS Mincho"/>
          <w:lang w:eastAsia="ja-JP"/>
        </w:rPr>
        <w:t>40</w:t>
      </w:r>
      <w:r w:rsidRPr="004725EF">
        <w:rPr>
          <w:rFonts w:eastAsia="MS Mincho"/>
          <w:lang w:eastAsia="ja-JP"/>
        </w:rPr>
        <w:t xml:space="preserve"> r.</w:t>
      </w:r>
    </w:p>
    <w:p w14:paraId="4168BC91" w14:textId="479C6E90" w:rsidR="00F278D4" w:rsidRDefault="00F278D4" w:rsidP="004725EF">
      <w:pPr>
        <w:jc w:val="both"/>
        <w:rPr>
          <w:rFonts w:eastAsia="MS Mincho"/>
          <w:lang w:eastAsia="ja-JP"/>
        </w:rPr>
      </w:pPr>
      <w:r w:rsidRPr="00F278D4">
        <w:rPr>
          <w:rFonts w:eastAsia="MS Mincho"/>
          <w:lang w:eastAsia="ja-JP"/>
        </w:rPr>
        <w:t>Zamknięcie KSOP jest uwarunkowane rozpoczęciem eksploatacji NSPOP ponieważ część odpadów obecnie przechowywanych w istniejącym składowisku zostanie przeniesiona do nowego składowiska.</w:t>
      </w:r>
    </w:p>
    <w:p w14:paraId="6A16E801" w14:textId="77777777" w:rsidR="00F278D4" w:rsidRDefault="00F278D4" w:rsidP="004725EF">
      <w:pPr>
        <w:jc w:val="both"/>
        <w:rPr>
          <w:rFonts w:eastAsia="MS Mincho"/>
          <w:lang w:eastAsia="ja-JP"/>
        </w:rPr>
      </w:pPr>
    </w:p>
    <w:p w14:paraId="45577485" w14:textId="231CC652" w:rsidR="00084F8B" w:rsidRPr="004725EF" w:rsidRDefault="00084F8B" w:rsidP="004725EF">
      <w:pPr>
        <w:jc w:val="both"/>
        <w:rPr>
          <w:rFonts w:eastAsia="MS Mincho"/>
          <w:lang w:eastAsia="ja-JP"/>
        </w:rPr>
      </w:pPr>
      <w:r w:rsidRPr="004725EF">
        <w:rPr>
          <w:rFonts w:eastAsia="MS Mincho"/>
          <w:lang w:eastAsia="ja-JP"/>
        </w:rPr>
        <w:t xml:space="preserve">Po zamknięciu składowiska będzie prowadzony długookresowy monitoring składowiska </w:t>
      </w:r>
      <w:r w:rsidR="00F278D4" w:rsidRPr="00F278D4">
        <w:rPr>
          <w:rFonts w:eastAsia="MS Mincho"/>
          <w:lang w:eastAsia="ja-JP"/>
        </w:rPr>
        <w:t xml:space="preserve">zgodnie z </w:t>
      </w:r>
      <w:r w:rsidR="00486D9A">
        <w:rPr>
          <w:rFonts w:eastAsia="MS Mincho"/>
          <w:lang w:eastAsia="ja-JP"/>
        </w:rPr>
        <w:t>zezwoleniem na jego zamknięcie.</w:t>
      </w:r>
    </w:p>
    <w:p w14:paraId="471DDD18" w14:textId="61CB6C73" w:rsidR="00084F8B" w:rsidRPr="00F74164" w:rsidRDefault="00084F8B" w:rsidP="008D5796">
      <w:pPr>
        <w:pStyle w:val="Nagwek3"/>
      </w:pPr>
      <w:bookmarkStart w:id="74" w:name="_Toc397697009"/>
      <w:bookmarkStart w:id="75" w:name="_Toc424116695"/>
      <w:r>
        <w:t>2</w:t>
      </w:r>
      <w:r w:rsidRPr="00F74164">
        <w:t>.</w:t>
      </w:r>
      <w:r>
        <w:t>1.</w:t>
      </w:r>
      <w:r w:rsidR="00EE3E4B">
        <w:t>3</w:t>
      </w:r>
      <w:r>
        <w:t>.</w:t>
      </w:r>
      <w:r w:rsidRPr="00F74164">
        <w:t xml:space="preserve"> Wybór lokalizacji, budowa i rozpoczęcie eksploatacji </w:t>
      </w:r>
      <w:r>
        <w:t>nowego składowiska powierzchniowego odpadów promieniotwórczych</w:t>
      </w:r>
      <w:bookmarkEnd w:id="74"/>
      <w:bookmarkEnd w:id="75"/>
    </w:p>
    <w:p w14:paraId="5FB7C632" w14:textId="77777777" w:rsidR="00084F8B" w:rsidRPr="00784F93" w:rsidRDefault="00084F8B" w:rsidP="0070725D">
      <w:pPr>
        <w:jc w:val="both"/>
      </w:pPr>
      <w:r>
        <w:t xml:space="preserve">Niniejsze zadanie będzie obejmować następujące działania: </w:t>
      </w:r>
    </w:p>
    <w:p w14:paraId="283B5C42" w14:textId="1848B09C" w:rsidR="00084F8B" w:rsidRPr="00784F93" w:rsidRDefault="00084F8B" w:rsidP="0000292C">
      <w:pPr>
        <w:numPr>
          <w:ilvl w:val="0"/>
          <w:numId w:val="108"/>
        </w:numPr>
        <w:spacing w:before="120" w:after="120"/>
        <w:ind w:left="709" w:hanging="284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poszukiwanie</w:t>
      </w:r>
      <w:r w:rsidRPr="00784F93">
        <w:rPr>
          <w:rFonts w:eastAsia="MS Mincho"/>
          <w:lang w:eastAsia="ja-JP"/>
        </w:rPr>
        <w:t xml:space="preserve"> potencjalnych lokalizacji </w:t>
      </w:r>
      <w:r w:rsidR="004A2F66">
        <w:rPr>
          <w:rFonts w:eastAsia="MS Mincho"/>
          <w:lang w:eastAsia="ja-JP"/>
        </w:rPr>
        <w:t xml:space="preserve">NSPOP 2019 r. </w:t>
      </w:r>
      <w:r w:rsidR="004119EA">
        <w:rPr>
          <w:rFonts w:eastAsia="MS Mincho"/>
          <w:lang w:eastAsia="ja-JP"/>
        </w:rPr>
        <w:t>–</w:t>
      </w:r>
      <w:r w:rsidR="004A2F66">
        <w:rPr>
          <w:rFonts w:eastAsia="MS Mincho"/>
          <w:lang w:eastAsia="ja-JP"/>
        </w:rPr>
        <w:t xml:space="preserve"> 202</w:t>
      </w:r>
      <w:r w:rsidR="005E0AA8">
        <w:rPr>
          <w:rFonts w:eastAsia="MS Mincho"/>
          <w:lang w:eastAsia="ja-JP"/>
        </w:rPr>
        <w:t>2</w:t>
      </w:r>
      <w:r>
        <w:rPr>
          <w:rFonts w:eastAsia="MS Mincho"/>
          <w:lang w:eastAsia="ja-JP"/>
        </w:rPr>
        <w:t xml:space="preserve"> r.;</w:t>
      </w:r>
    </w:p>
    <w:p w14:paraId="084F1FA1" w14:textId="5C368257" w:rsidR="00084F8B" w:rsidRDefault="00084F8B" w:rsidP="0000292C">
      <w:pPr>
        <w:numPr>
          <w:ilvl w:val="0"/>
          <w:numId w:val="88"/>
        </w:numPr>
        <w:spacing w:before="120" w:after="120"/>
        <w:ind w:left="709" w:hanging="284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w</w:t>
      </w:r>
      <w:r w:rsidRPr="00784F93">
        <w:rPr>
          <w:rFonts w:eastAsia="MS Mincho"/>
          <w:lang w:eastAsia="ja-JP"/>
        </w:rPr>
        <w:t xml:space="preserve">ybór lokalizacji </w:t>
      </w:r>
      <w:r>
        <w:rPr>
          <w:rFonts w:eastAsia="MS Mincho"/>
          <w:lang w:eastAsia="ja-JP"/>
        </w:rPr>
        <w:t>NSPOP</w:t>
      </w:r>
      <w:r w:rsidRPr="00784F93">
        <w:rPr>
          <w:rFonts w:eastAsia="MS Mincho"/>
          <w:lang w:eastAsia="ja-JP"/>
        </w:rPr>
        <w:t xml:space="preserve"> </w:t>
      </w:r>
      <w:r w:rsidR="003E01B3">
        <w:rPr>
          <w:rFonts w:eastAsia="MS Mincho"/>
          <w:lang w:eastAsia="ja-JP"/>
        </w:rPr>
        <w:t xml:space="preserve">-  do </w:t>
      </w:r>
      <w:r w:rsidR="004A2F66">
        <w:rPr>
          <w:rFonts w:eastAsia="MS Mincho"/>
          <w:lang w:eastAsia="ja-JP"/>
        </w:rPr>
        <w:t>202</w:t>
      </w:r>
      <w:r w:rsidR="005E0AA8">
        <w:rPr>
          <w:rFonts w:eastAsia="MS Mincho"/>
          <w:lang w:eastAsia="ja-JP"/>
        </w:rPr>
        <w:t>3</w:t>
      </w:r>
      <w:r>
        <w:rPr>
          <w:rFonts w:eastAsia="MS Mincho"/>
          <w:lang w:eastAsia="ja-JP"/>
        </w:rPr>
        <w:t xml:space="preserve"> r</w:t>
      </w:r>
      <w:r w:rsidRPr="00784F93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>;</w:t>
      </w:r>
    </w:p>
    <w:p w14:paraId="5E7D1A2F" w14:textId="70EDC01E" w:rsidR="00084F8B" w:rsidRPr="00784F93" w:rsidRDefault="00F96D0A" w:rsidP="0000292C">
      <w:pPr>
        <w:numPr>
          <w:ilvl w:val="0"/>
          <w:numId w:val="88"/>
        </w:numPr>
        <w:spacing w:before="120" w:after="120"/>
        <w:ind w:left="709" w:hanging="284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p</w:t>
      </w:r>
      <w:r w:rsidRPr="00784F93">
        <w:rPr>
          <w:rFonts w:eastAsia="MS Mincho"/>
          <w:lang w:eastAsia="ja-JP"/>
        </w:rPr>
        <w:t xml:space="preserve">rzygotowanie projektu </w:t>
      </w:r>
      <w:r w:rsidR="004B4EA7">
        <w:rPr>
          <w:rFonts w:eastAsia="MS Mincho"/>
          <w:lang w:eastAsia="ja-JP"/>
        </w:rPr>
        <w:t>NSPOP</w:t>
      </w:r>
      <w:r>
        <w:rPr>
          <w:rFonts w:eastAsia="MS Mincho"/>
          <w:lang w:eastAsia="ja-JP"/>
        </w:rPr>
        <w:t xml:space="preserve">, </w:t>
      </w:r>
      <w:r w:rsidR="00084F8B">
        <w:rPr>
          <w:rFonts w:eastAsia="MS Mincho"/>
          <w:lang w:eastAsia="ja-JP"/>
        </w:rPr>
        <w:t xml:space="preserve">ocena bezpieczeństwa </w:t>
      </w:r>
      <w:r w:rsidR="00EF3A75">
        <w:rPr>
          <w:rFonts w:eastAsia="MS Mincho"/>
          <w:lang w:eastAsia="ja-JP"/>
        </w:rPr>
        <w:t>–</w:t>
      </w:r>
      <w:r w:rsidR="004B4EA7">
        <w:rPr>
          <w:rFonts w:eastAsia="MS Mincho"/>
          <w:lang w:eastAsia="ja-JP"/>
        </w:rPr>
        <w:t xml:space="preserve"> </w:t>
      </w:r>
      <w:r w:rsidR="004A2F66">
        <w:rPr>
          <w:rFonts w:eastAsia="MS Mincho"/>
          <w:lang w:eastAsia="ja-JP"/>
        </w:rPr>
        <w:t>202</w:t>
      </w:r>
      <w:r w:rsidR="005E0AA8">
        <w:rPr>
          <w:rFonts w:eastAsia="MS Mincho"/>
          <w:lang w:eastAsia="ja-JP"/>
        </w:rPr>
        <w:t>3</w:t>
      </w:r>
      <w:r w:rsidR="00EF3A75">
        <w:rPr>
          <w:rFonts w:eastAsia="MS Mincho"/>
          <w:lang w:eastAsia="ja-JP"/>
        </w:rPr>
        <w:t xml:space="preserve"> </w:t>
      </w:r>
      <w:r w:rsidR="004A2F66">
        <w:rPr>
          <w:rFonts w:eastAsia="MS Mincho"/>
          <w:lang w:eastAsia="ja-JP"/>
        </w:rPr>
        <w:t>r. -202</w:t>
      </w:r>
      <w:r w:rsidR="005E0AA8">
        <w:rPr>
          <w:rFonts w:eastAsia="MS Mincho"/>
          <w:lang w:eastAsia="ja-JP"/>
        </w:rPr>
        <w:t>4</w:t>
      </w:r>
      <w:r w:rsidR="00084F8B">
        <w:rPr>
          <w:rFonts w:eastAsia="MS Mincho"/>
          <w:lang w:eastAsia="ja-JP"/>
        </w:rPr>
        <w:t xml:space="preserve"> r.</w:t>
      </w:r>
      <w:r w:rsidR="009A227F">
        <w:rPr>
          <w:rFonts w:eastAsia="MS Mincho"/>
          <w:lang w:eastAsia="ja-JP"/>
        </w:rPr>
        <w:t>;</w:t>
      </w:r>
    </w:p>
    <w:p w14:paraId="00626DD8" w14:textId="5EC65E64" w:rsidR="00084F8B" w:rsidRPr="00784F93" w:rsidRDefault="00084F8B" w:rsidP="0000292C">
      <w:pPr>
        <w:numPr>
          <w:ilvl w:val="0"/>
          <w:numId w:val="88"/>
        </w:numPr>
        <w:spacing w:before="120" w:after="120"/>
        <w:ind w:left="709" w:hanging="284"/>
        <w:jc w:val="both"/>
        <w:rPr>
          <w:rFonts w:eastAsia="MS Mincho"/>
          <w:lang w:eastAsia="ja-JP"/>
        </w:rPr>
      </w:pPr>
      <w:r w:rsidRPr="00784F93">
        <w:rPr>
          <w:rFonts w:eastAsia="MS Mincho"/>
          <w:lang w:eastAsia="ja-JP"/>
        </w:rPr>
        <w:t xml:space="preserve"> uzyskanie wszystkich niezbędnych </w:t>
      </w:r>
      <w:r>
        <w:rPr>
          <w:rFonts w:eastAsia="MS Mincho"/>
          <w:lang w:eastAsia="ja-JP"/>
        </w:rPr>
        <w:t>decyzji</w:t>
      </w:r>
      <w:r w:rsidRPr="00784F93">
        <w:rPr>
          <w:rFonts w:eastAsia="MS Mincho"/>
          <w:lang w:eastAsia="ja-JP"/>
        </w:rPr>
        <w:t xml:space="preserve"> i</w:t>
      </w:r>
      <w:r>
        <w:rPr>
          <w:rFonts w:eastAsia="MS Mincho"/>
          <w:lang w:eastAsia="ja-JP"/>
        </w:rPr>
        <w:t> </w:t>
      </w:r>
      <w:r w:rsidRPr="00784F93">
        <w:rPr>
          <w:rFonts w:eastAsia="MS Mincho"/>
          <w:lang w:eastAsia="ja-JP"/>
        </w:rPr>
        <w:t xml:space="preserve">pozwoleń </w:t>
      </w:r>
      <w:r>
        <w:rPr>
          <w:rFonts w:eastAsia="MS Mincho"/>
          <w:lang w:eastAsia="ja-JP"/>
        </w:rPr>
        <w:t>-</w:t>
      </w:r>
      <w:r w:rsidR="004A2F66">
        <w:rPr>
          <w:rFonts w:eastAsia="MS Mincho"/>
          <w:lang w:eastAsia="ja-JP"/>
        </w:rPr>
        <w:t xml:space="preserve"> 202</w:t>
      </w:r>
      <w:r w:rsidR="005E0AA8">
        <w:rPr>
          <w:rFonts w:eastAsia="MS Mincho"/>
          <w:lang w:eastAsia="ja-JP"/>
        </w:rPr>
        <w:t>5</w:t>
      </w:r>
      <w:r>
        <w:rPr>
          <w:rFonts w:eastAsia="MS Mincho"/>
          <w:lang w:eastAsia="ja-JP"/>
        </w:rPr>
        <w:t xml:space="preserve"> r.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-</w:t>
      </w:r>
      <w:r w:rsidRPr="00784F93">
        <w:rPr>
          <w:rFonts w:eastAsia="MS Mincho"/>
          <w:lang w:eastAsia="ja-JP"/>
        </w:rPr>
        <w:t xml:space="preserve"> 20</w:t>
      </w:r>
      <w:r>
        <w:rPr>
          <w:rFonts w:eastAsia="MS Mincho"/>
          <w:lang w:eastAsia="ja-JP"/>
        </w:rPr>
        <w:t>2</w:t>
      </w:r>
      <w:r w:rsidR="005E0AA8">
        <w:rPr>
          <w:rFonts w:eastAsia="MS Mincho"/>
          <w:lang w:eastAsia="ja-JP"/>
        </w:rPr>
        <w:t>7</w:t>
      </w:r>
      <w:r>
        <w:rPr>
          <w:rFonts w:eastAsia="MS Mincho"/>
          <w:lang w:eastAsia="ja-JP"/>
        </w:rPr>
        <w:t xml:space="preserve"> r</w:t>
      </w:r>
      <w:r w:rsidRPr="00784F93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>;</w:t>
      </w:r>
    </w:p>
    <w:p w14:paraId="5B1CB91B" w14:textId="4A3C32FC" w:rsidR="00084F8B" w:rsidRPr="00784F93" w:rsidRDefault="00084F8B" w:rsidP="0000292C">
      <w:pPr>
        <w:numPr>
          <w:ilvl w:val="0"/>
          <w:numId w:val="88"/>
        </w:numPr>
        <w:spacing w:before="120" w:after="120"/>
        <w:ind w:left="709" w:hanging="284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r</w:t>
      </w:r>
      <w:r w:rsidRPr="00784F93">
        <w:rPr>
          <w:rFonts w:eastAsia="MS Mincho"/>
          <w:lang w:eastAsia="ja-JP"/>
        </w:rPr>
        <w:t>ealizacj</w:t>
      </w:r>
      <w:r>
        <w:rPr>
          <w:rFonts w:eastAsia="MS Mincho"/>
          <w:lang w:eastAsia="ja-JP"/>
        </w:rPr>
        <w:t>ę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inwestycji (budowę) - 202</w:t>
      </w:r>
      <w:r w:rsidR="005E0AA8">
        <w:rPr>
          <w:rFonts w:eastAsia="MS Mincho"/>
          <w:lang w:eastAsia="ja-JP"/>
        </w:rPr>
        <w:t>8</w:t>
      </w:r>
      <w:r w:rsidR="004A2F66">
        <w:rPr>
          <w:rFonts w:eastAsia="MS Mincho"/>
          <w:lang w:eastAsia="ja-JP"/>
        </w:rPr>
        <w:t xml:space="preserve"> r. - 20</w:t>
      </w:r>
      <w:r w:rsidR="005E0AA8">
        <w:rPr>
          <w:rFonts w:eastAsia="MS Mincho"/>
          <w:lang w:eastAsia="ja-JP"/>
        </w:rPr>
        <w:t>32</w:t>
      </w:r>
      <w:r>
        <w:rPr>
          <w:rFonts w:eastAsia="MS Mincho"/>
          <w:lang w:eastAsia="ja-JP"/>
        </w:rPr>
        <w:t xml:space="preserve"> r.;</w:t>
      </w:r>
      <w:r w:rsidRPr="00784F93">
        <w:rPr>
          <w:rFonts w:eastAsia="MS Mincho"/>
          <w:lang w:eastAsia="ja-JP"/>
        </w:rPr>
        <w:t xml:space="preserve"> </w:t>
      </w:r>
    </w:p>
    <w:p w14:paraId="77F61F24" w14:textId="4E587C87" w:rsidR="00084F8B" w:rsidRPr="00C31456" w:rsidRDefault="00F96D0A" w:rsidP="0000292C">
      <w:pPr>
        <w:numPr>
          <w:ilvl w:val="0"/>
          <w:numId w:val="88"/>
        </w:numPr>
        <w:spacing w:before="120" w:after="120"/>
        <w:ind w:left="709" w:hanging="284"/>
        <w:jc w:val="both"/>
        <w:rPr>
          <w:rFonts w:eastAsia="MS Mincho"/>
          <w:lang w:eastAsia="ja-JP"/>
        </w:rPr>
      </w:pPr>
      <w:r w:rsidRPr="00C31456">
        <w:rPr>
          <w:rFonts w:eastAsia="MS Mincho"/>
          <w:lang w:eastAsia="ja-JP"/>
        </w:rPr>
        <w:lastRenderedPageBreak/>
        <w:t xml:space="preserve">uzyskanie </w:t>
      </w:r>
      <w:r w:rsidR="004B4EA7" w:rsidRPr="00C31456">
        <w:rPr>
          <w:rFonts w:eastAsia="MS Mincho"/>
          <w:lang w:eastAsia="ja-JP"/>
        </w:rPr>
        <w:t xml:space="preserve">pozwolenia na użytkowanie NSPOP, </w:t>
      </w:r>
      <w:r w:rsidRPr="00C31456">
        <w:rPr>
          <w:rFonts w:eastAsia="MS Mincho"/>
          <w:lang w:eastAsia="ja-JP"/>
        </w:rPr>
        <w:t xml:space="preserve">zezwolenia na eksploatację </w:t>
      </w:r>
      <w:r w:rsidR="004B4EA7" w:rsidRPr="00C31456">
        <w:rPr>
          <w:rFonts w:eastAsia="MS Mincho"/>
          <w:lang w:eastAsia="ja-JP"/>
        </w:rPr>
        <w:t>NSPOP–</w:t>
      </w:r>
      <w:r w:rsidR="004A2F66" w:rsidRPr="00C31456">
        <w:rPr>
          <w:rFonts w:eastAsia="MS Mincho"/>
          <w:lang w:eastAsia="ja-JP"/>
        </w:rPr>
        <w:t xml:space="preserve"> 20</w:t>
      </w:r>
      <w:r w:rsidR="00571B38" w:rsidRPr="00C31456">
        <w:rPr>
          <w:rFonts w:eastAsia="MS Mincho"/>
          <w:lang w:eastAsia="ja-JP"/>
        </w:rPr>
        <w:t>31</w:t>
      </w:r>
      <w:r w:rsidR="004B4EA7" w:rsidRPr="00C31456">
        <w:rPr>
          <w:rFonts w:eastAsia="MS Mincho"/>
          <w:lang w:eastAsia="ja-JP"/>
        </w:rPr>
        <w:t xml:space="preserve"> </w:t>
      </w:r>
      <w:r w:rsidR="00FD28CB" w:rsidRPr="00C31456">
        <w:rPr>
          <w:rFonts w:eastAsia="MS Mincho"/>
          <w:lang w:eastAsia="ja-JP"/>
        </w:rPr>
        <w:t xml:space="preserve">r. </w:t>
      </w:r>
      <w:r w:rsidR="004A2F66" w:rsidRPr="00C31456">
        <w:rPr>
          <w:rFonts w:eastAsia="MS Mincho"/>
          <w:lang w:eastAsia="ja-JP"/>
        </w:rPr>
        <w:t>- 203</w:t>
      </w:r>
      <w:r w:rsidR="00571B38" w:rsidRPr="00C31456">
        <w:rPr>
          <w:rFonts w:eastAsia="MS Mincho"/>
          <w:lang w:eastAsia="ja-JP"/>
        </w:rPr>
        <w:t>2</w:t>
      </w:r>
      <w:r w:rsidR="00084F8B" w:rsidRPr="00C31456">
        <w:rPr>
          <w:rFonts w:eastAsia="MS Mincho"/>
          <w:lang w:eastAsia="ja-JP"/>
        </w:rPr>
        <w:t xml:space="preserve"> r.;</w:t>
      </w:r>
    </w:p>
    <w:p w14:paraId="3815AA9B" w14:textId="33AFBC86" w:rsidR="00084F8B" w:rsidRPr="00C31456" w:rsidRDefault="004A2F66" w:rsidP="0000292C">
      <w:pPr>
        <w:numPr>
          <w:ilvl w:val="0"/>
          <w:numId w:val="88"/>
        </w:numPr>
        <w:spacing w:before="120" w:after="120"/>
        <w:ind w:left="709" w:hanging="284"/>
        <w:jc w:val="both"/>
        <w:rPr>
          <w:rFonts w:eastAsia="MS Mincho"/>
          <w:lang w:eastAsia="ja-JP"/>
        </w:rPr>
      </w:pPr>
      <w:r w:rsidRPr="00C31456">
        <w:rPr>
          <w:rFonts w:eastAsia="MS Mincho"/>
          <w:lang w:eastAsia="ja-JP"/>
        </w:rPr>
        <w:t>eksploatację - 203</w:t>
      </w:r>
      <w:r w:rsidR="00571B38" w:rsidRPr="00C31456">
        <w:rPr>
          <w:rFonts w:eastAsia="MS Mincho"/>
          <w:lang w:eastAsia="ja-JP"/>
        </w:rPr>
        <w:t>3</w:t>
      </w:r>
      <w:r w:rsidR="00084F8B" w:rsidRPr="00C31456">
        <w:rPr>
          <w:rFonts w:eastAsia="MS Mincho"/>
          <w:lang w:eastAsia="ja-JP"/>
        </w:rPr>
        <w:t xml:space="preserve"> r. - 21</w:t>
      </w:r>
      <w:r w:rsidR="000B7B99" w:rsidRPr="00C31456">
        <w:rPr>
          <w:rFonts w:eastAsia="MS Mincho"/>
          <w:lang w:eastAsia="ja-JP"/>
        </w:rPr>
        <w:t>5</w:t>
      </w:r>
      <w:r w:rsidR="00571B38" w:rsidRPr="00C31456">
        <w:rPr>
          <w:rFonts w:eastAsia="MS Mincho"/>
          <w:lang w:eastAsia="ja-JP"/>
        </w:rPr>
        <w:t>2</w:t>
      </w:r>
      <w:r w:rsidR="00084F8B" w:rsidRPr="00C31456">
        <w:rPr>
          <w:rFonts w:eastAsia="MS Mincho"/>
          <w:lang w:eastAsia="ja-JP"/>
        </w:rPr>
        <w:t xml:space="preserve"> r.;</w:t>
      </w:r>
    </w:p>
    <w:p w14:paraId="323EBFF8" w14:textId="48BD8B3C" w:rsidR="00084F8B" w:rsidRPr="00C31456" w:rsidRDefault="00084F8B" w:rsidP="0000292C">
      <w:pPr>
        <w:numPr>
          <w:ilvl w:val="0"/>
          <w:numId w:val="88"/>
        </w:numPr>
        <w:spacing w:before="120" w:after="120"/>
        <w:ind w:left="709" w:hanging="284"/>
        <w:jc w:val="both"/>
        <w:rPr>
          <w:rFonts w:eastAsia="MS Mincho"/>
          <w:lang w:eastAsia="ja-JP"/>
        </w:rPr>
      </w:pPr>
      <w:r w:rsidRPr="00C31456">
        <w:rPr>
          <w:rFonts w:eastAsia="MS Mincho"/>
          <w:lang w:eastAsia="ja-JP"/>
        </w:rPr>
        <w:t>zamknięcie składowiska powi</w:t>
      </w:r>
      <w:r w:rsidR="004A2F66" w:rsidRPr="00C31456">
        <w:rPr>
          <w:rFonts w:eastAsia="MS Mincho"/>
          <w:lang w:eastAsia="ja-JP"/>
        </w:rPr>
        <w:t>erzchniowego w latach 215</w:t>
      </w:r>
      <w:r w:rsidR="00571B38" w:rsidRPr="00C31456">
        <w:rPr>
          <w:rFonts w:eastAsia="MS Mincho"/>
          <w:lang w:eastAsia="ja-JP"/>
        </w:rPr>
        <w:t>3</w:t>
      </w:r>
      <w:r w:rsidR="004A2F66" w:rsidRPr="00C31456">
        <w:rPr>
          <w:rFonts w:eastAsia="MS Mincho"/>
          <w:lang w:eastAsia="ja-JP"/>
        </w:rPr>
        <w:t xml:space="preserve"> r. - 216</w:t>
      </w:r>
      <w:r w:rsidR="00571B38" w:rsidRPr="00C31456">
        <w:rPr>
          <w:rFonts w:eastAsia="MS Mincho"/>
          <w:lang w:eastAsia="ja-JP"/>
        </w:rPr>
        <w:t>3</w:t>
      </w:r>
      <w:r w:rsidRPr="00C31456">
        <w:rPr>
          <w:rFonts w:eastAsia="MS Mincho"/>
          <w:lang w:eastAsia="ja-JP"/>
        </w:rPr>
        <w:t xml:space="preserve"> r.; </w:t>
      </w:r>
    </w:p>
    <w:p w14:paraId="2C5767C2" w14:textId="0A01BDBA" w:rsidR="00084F8B" w:rsidRDefault="00084F8B" w:rsidP="004725EF">
      <w:pPr>
        <w:spacing w:after="240"/>
        <w:jc w:val="both"/>
      </w:pPr>
      <w:r>
        <w:rPr>
          <w:rFonts w:eastAsia="MS Mincho"/>
          <w:lang w:eastAsia="ja-JP"/>
        </w:rPr>
        <w:t>Po zamknięciu składowiska będzie prowadzony długookresowy monitoring składowiska</w:t>
      </w:r>
      <w:r w:rsidR="00630683" w:rsidRPr="00630683">
        <w:rPr>
          <w:rFonts w:eastAsia="MS Mincho"/>
          <w:lang w:eastAsia="ja-JP"/>
        </w:rPr>
        <w:t xml:space="preserve"> zgodnie z zezwoleniem na jego zamknięcie.</w:t>
      </w:r>
      <w:r>
        <w:rPr>
          <w:rFonts w:eastAsia="MS Mincho"/>
          <w:lang w:eastAsia="ja-JP"/>
        </w:rPr>
        <w:t>.</w:t>
      </w:r>
    </w:p>
    <w:p w14:paraId="30344F13" w14:textId="77777777" w:rsidR="00084F8B" w:rsidRPr="00F74164" w:rsidRDefault="00084F8B" w:rsidP="008D5796">
      <w:pPr>
        <w:pStyle w:val="Nagwek2"/>
      </w:pPr>
      <w:bookmarkStart w:id="76" w:name="_Toc397697010"/>
      <w:bookmarkStart w:id="77" w:name="_Toc424116696"/>
      <w:r>
        <w:t>2</w:t>
      </w:r>
      <w:r w:rsidRPr="00F74164">
        <w:t>.</w:t>
      </w:r>
      <w:r>
        <w:t>2.</w:t>
      </w:r>
      <w:r w:rsidRPr="00F74164">
        <w:t xml:space="preserve"> Wy</w:t>
      </w:r>
      <w:r>
        <w:t xml:space="preserve">typowanie </w:t>
      </w:r>
      <w:r w:rsidRPr="00F74164">
        <w:t xml:space="preserve">bezpiecznej lokalizacji składowiska głębokiego odpadów </w:t>
      </w:r>
      <w:r>
        <w:t>promieniotwórczych i budowa składowiska</w:t>
      </w:r>
      <w:bookmarkEnd w:id="76"/>
      <w:bookmarkEnd w:id="77"/>
      <w:r>
        <w:t xml:space="preserve"> </w:t>
      </w:r>
      <w:r w:rsidRPr="00F74164">
        <w:t xml:space="preserve"> </w:t>
      </w:r>
    </w:p>
    <w:p w14:paraId="61CA5E52" w14:textId="77777777" w:rsidR="00084F8B" w:rsidRDefault="00084F8B" w:rsidP="00C87B85">
      <w:pPr>
        <w:ind w:firstLine="567"/>
        <w:jc w:val="both"/>
      </w:pPr>
      <w:r>
        <w:t>Procedura wyboru i oceny lokalizacji głębokiego składowiska odpadów promieniotwórczych zależy w dużej mierze od tego, czy z przyszłym składowiskiem ma być związane planowane PURL, czy też planowane jest przeprowadzenie badań dedykowanych bezpośrednio lokalizacji składowiska, niezależnie od prowadzenia prac nad PURL. Decyzja o tym, czy SGOP może być zlokalizowane w tym samym miejscu, co PURL, może być podjęta po przeprowadzeniu badań w PURL.</w:t>
      </w:r>
    </w:p>
    <w:p w14:paraId="2B916880" w14:textId="77777777" w:rsidR="00084F8B" w:rsidRDefault="00084F8B" w:rsidP="00B3727D">
      <w:pPr>
        <w:jc w:val="both"/>
      </w:pPr>
      <w:r>
        <w:t>Dodatkowo, w warunkach polskich istnieją możliwości adaptacji istniejących obiektów podziemnych lub ich części na PURL, jednak wymagać to będzie podjęcia stosownych działań w tym kierunku.</w:t>
      </w:r>
    </w:p>
    <w:p w14:paraId="0462C1E2" w14:textId="77777777" w:rsidR="00084F8B" w:rsidRDefault="00084F8B" w:rsidP="00B3727D">
      <w:pPr>
        <w:jc w:val="both"/>
      </w:pPr>
      <w:r>
        <w:t>Wobec tego, poniżej przedstawiono dwie modelowe opcje realizacji programu dla składowiska głębokiego, z uwzględnieniem dotychczasowych rozważań w warunkach polskich – tj. ram czasowych i wariantów procesu lokalizacyjnego:</w:t>
      </w:r>
    </w:p>
    <w:p w14:paraId="5BB4A43C" w14:textId="77777777" w:rsidR="00084F8B" w:rsidRDefault="00084F8B" w:rsidP="00680678">
      <w:pPr>
        <w:pStyle w:val="ListParagraph2"/>
        <w:numPr>
          <w:ilvl w:val="0"/>
          <w:numId w:val="99"/>
        </w:numPr>
        <w:ind w:left="709"/>
        <w:jc w:val="both"/>
      </w:pPr>
      <w:r>
        <w:t xml:space="preserve"> dla procesu lokalizacji SGOP z PURL potencjalnie związanym z przyszłą lokalizacją składowiska;</w:t>
      </w:r>
    </w:p>
    <w:p w14:paraId="3C0D8749" w14:textId="77777777" w:rsidR="00084F8B" w:rsidRDefault="00084F8B" w:rsidP="000364A2">
      <w:pPr>
        <w:pStyle w:val="ListParagraph2"/>
        <w:numPr>
          <w:ilvl w:val="0"/>
          <w:numId w:val="99"/>
        </w:numPr>
        <w:ind w:left="709"/>
        <w:jc w:val="both"/>
      </w:pPr>
      <w:r>
        <w:t>dla procesu lokalizacji SGOP z PURL niezwiązanym z lokalizacją SGOP lub z możliwością adaptacji istniejących obiektów na PURL.</w:t>
      </w:r>
    </w:p>
    <w:p w14:paraId="6E0BCE2A" w14:textId="77777777" w:rsidR="00084F8B" w:rsidRDefault="00084F8B" w:rsidP="00B3727D">
      <w:pPr>
        <w:jc w:val="both"/>
      </w:pPr>
      <w:r>
        <w:t xml:space="preserve">Istnieje także możliwość, że w wyniku badań prowadzonych w PURL początkowo niezwiązanym z lokalizacją składowiska, zostanie stwierdzona przydatność tego samego masywu lub warstwy do składowania. Wtedy ścieżka postępowania nie zmienia się. To podejście wymaga jednak realizacji programu badań zgodnie z zasadą minimalizacji ingerencji w masyw lub warstwę od momentu rozpoczęcia prac (w przeciwieństwie do klasycznego górnictwa).  </w:t>
      </w:r>
    </w:p>
    <w:p w14:paraId="55F10882" w14:textId="77777777" w:rsidR="00084F8B" w:rsidRDefault="00084F8B" w:rsidP="00B3727D">
      <w:pPr>
        <w:jc w:val="both"/>
      </w:pPr>
      <w:r>
        <w:t>Obecnie dyskutowana jest zasadność ponoszenia kosztów budowy i utrzymania laboratoriów podziemnych w krajach o małych programach jądrowych i krajach bez energetyki jądrowej. Proponowanym rozwiązaniem alternatywnym jest wykorzystanie istniejących na świecie laboratoriów. Jest to efektywne kosztowo, jednak muszą być spełnione przynajmniej dwa podstawowe warunki merytoryczne:</w:t>
      </w:r>
    </w:p>
    <w:p w14:paraId="1AE048C2" w14:textId="256C8753" w:rsidR="00084F8B" w:rsidRPr="00E073C3" w:rsidRDefault="00E073C3" w:rsidP="00680678">
      <w:pPr>
        <w:pStyle w:val="ListParagraph2"/>
        <w:numPr>
          <w:ilvl w:val="0"/>
          <w:numId w:val="100"/>
        </w:numPr>
        <w:ind w:left="728"/>
      </w:pPr>
      <w:r w:rsidRPr="00E073C3">
        <w:t xml:space="preserve">podobny </w:t>
      </w:r>
      <w:r w:rsidR="00084F8B" w:rsidRPr="00E073C3">
        <w:t>typ litologiczny;</w:t>
      </w:r>
      <w:r w:rsidR="00500C53" w:rsidRPr="00E073C3">
        <w:t xml:space="preserve"> </w:t>
      </w:r>
    </w:p>
    <w:p w14:paraId="2953F2AD" w14:textId="26563C3D" w:rsidR="00084F8B" w:rsidRPr="009207EB" w:rsidRDefault="00485680" w:rsidP="00680678">
      <w:pPr>
        <w:pStyle w:val="ListParagraph2"/>
        <w:numPr>
          <w:ilvl w:val="0"/>
          <w:numId w:val="100"/>
        </w:numPr>
        <w:ind w:left="728"/>
      </w:pPr>
      <w:r w:rsidRPr="00485680">
        <w:t>zbliżone właściwości ośrodka skalnego</w:t>
      </w:r>
      <w:r>
        <w:t xml:space="preserve"> </w:t>
      </w:r>
      <w:r w:rsidRPr="00485680">
        <w:t>w zakresie typu litologicznego i jego własności (fizycznych i chemicznych)</w:t>
      </w:r>
      <w:r>
        <w:t>.</w:t>
      </w:r>
    </w:p>
    <w:p w14:paraId="1491932B" w14:textId="77777777" w:rsidR="00084F8B" w:rsidRDefault="00084F8B" w:rsidP="00B3727D">
      <w:pPr>
        <w:pStyle w:val="ListParagraph2"/>
        <w:ind w:left="0"/>
        <w:jc w:val="both"/>
      </w:pPr>
      <w:r>
        <w:t>Jednocześnie założono, że niezależnie od możliwości prowadzenia badań w innych ośrodkach, dla właściwej oceny warunków rodzimych niezbędne jest przeprowadzenie analiz własnych dla konkretnej lokalizacji SGOP.</w:t>
      </w:r>
    </w:p>
    <w:p w14:paraId="2FC79491" w14:textId="77777777" w:rsidR="00084F8B" w:rsidRDefault="00084F8B" w:rsidP="00B3727D">
      <w:pPr>
        <w:jc w:val="both"/>
        <w:rPr>
          <w:b/>
        </w:rPr>
      </w:pPr>
    </w:p>
    <w:p w14:paraId="169B3E25" w14:textId="77777777" w:rsidR="00084F8B" w:rsidRPr="00BF73E4" w:rsidRDefault="00084F8B" w:rsidP="00B3727D">
      <w:pPr>
        <w:spacing w:after="120"/>
        <w:jc w:val="both"/>
        <w:rPr>
          <w:b/>
        </w:rPr>
      </w:pPr>
      <w:r w:rsidRPr="00BF73E4">
        <w:rPr>
          <w:b/>
        </w:rPr>
        <w:t>Opcja 1</w:t>
      </w:r>
      <w:r>
        <w:rPr>
          <w:b/>
        </w:rPr>
        <w:t xml:space="preserve"> </w:t>
      </w:r>
      <w:r w:rsidRPr="00BF73E4">
        <w:rPr>
          <w:b/>
        </w:rPr>
        <w:t>–</w:t>
      </w:r>
      <w:r>
        <w:rPr>
          <w:b/>
        </w:rPr>
        <w:t xml:space="preserve"> PURL potencjalnie związane z przyszłą lokalizacją składowiska</w:t>
      </w:r>
    </w:p>
    <w:p w14:paraId="5CABBF25" w14:textId="77777777" w:rsidR="00084F8B" w:rsidRDefault="00084F8B" w:rsidP="00B3727D">
      <w:pPr>
        <w:jc w:val="both"/>
      </w:pPr>
      <w:r>
        <w:t>Istotnym warunkiem dla opcji 1 jest to, że laboratorium podziemne musi być zlokalizowane w warstwie o tym samym typie litologicznym, co samo składowisko. W warunkach polskich, w wybranych regionach (np. wysady kujawskie; monoklina przedsudecka - iłowce) jest to możliwe.</w:t>
      </w:r>
      <w:r w:rsidRPr="00E675FC">
        <w:t xml:space="preserve"> </w:t>
      </w:r>
    </w:p>
    <w:p w14:paraId="43D0E700" w14:textId="77777777" w:rsidR="00084F8B" w:rsidRDefault="00084F8B" w:rsidP="00E115A4">
      <w:pPr>
        <w:spacing w:after="120"/>
        <w:jc w:val="both"/>
      </w:pPr>
      <w:r>
        <w:t>Uwzględniając warunki krajowe i doświadczenia innych państw, możliwe jest powstanie składowiska w miejscu istnienia laboratorium, przy zachowaniu konieczności udowodnienia bezpieczeństwa lokalizacji. Wzięcie pod uwagę takiej opcji wymaga odpowiedniego zaprojektowania ośrodka badawczego.</w:t>
      </w:r>
      <w:r w:rsidRPr="005719FD">
        <w:t xml:space="preserve"> </w:t>
      </w:r>
      <w:r>
        <w:t xml:space="preserve">W ramach realizacji niniejszej opcji konieczne będzie podjęcie następujących działań: </w:t>
      </w:r>
    </w:p>
    <w:p w14:paraId="403ACECE" w14:textId="77777777" w:rsidR="00084F8B" w:rsidRDefault="00084F8B" w:rsidP="006E5A9A">
      <w:pPr>
        <w:numPr>
          <w:ilvl w:val="0"/>
          <w:numId w:val="94"/>
        </w:numPr>
        <w:spacing w:before="120" w:after="120"/>
        <w:ind w:left="709" w:hanging="284"/>
        <w:jc w:val="both"/>
      </w:pPr>
      <w:r>
        <w:t>s</w:t>
      </w:r>
      <w:r w:rsidRPr="007E1350">
        <w:t xml:space="preserve">tudium wykonalności i koncepcja badań </w:t>
      </w:r>
      <w:r>
        <w:t>-</w:t>
      </w:r>
      <w:r w:rsidRPr="007E1350">
        <w:t xml:space="preserve"> </w:t>
      </w:r>
      <w:r>
        <w:t>2 lata;</w:t>
      </w:r>
    </w:p>
    <w:p w14:paraId="2B1C8C94" w14:textId="77777777" w:rsidR="00084F8B" w:rsidRDefault="00084F8B" w:rsidP="006E5A9A">
      <w:pPr>
        <w:numPr>
          <w:ilvl w:val="0"/>
          <w:numId w:val="94"/>
        </w:numPr>
        <w:spacing w:before="120" w:after="120"/>
        <w:ind w:left="709" w:hanging="284"/>
        <w:jc w:val="both"/>
      </w:pPr>
      <w:r>
        <w:lastRenderedPageBreak/>
        <w:t>s</w:t>
      </w:r>
      <w:r w:rsidRPr="007E1350">
        <w:t xml:space="preserve">tudium kameralne – przegląd lokalizacji w oparciu o kryteria prawne (bezpieczeństwo jądrowe, ochrona środowiska </w:t>
      </w:r>
      <w:r>
        <w:t>i</w:t>
      </w:r>
      <w:r w:rsidRPr="007E1350">
        <w:t xml:space="preserve"> zasobów naturalnych </w:t>
      </w:r>
      <w:r>
        <w:t>-</w:t>
      </w:r>
      <w:r w:rsidRPr="007E1350">
        <w:t xml:space="preserve"> wód </w:t>
      </w:r>
      <w:r>
        <w:t>i</w:t>
      </w:r>
      <w:r w:rsidRPr="007E1350">
        <w:t xml:space="preserve"> złóż, konflikty zagospodarowania przestrzennego) </w:t>
      </w:r>
      <w:r>
        <w:t>-</w:t>
      </w:r>
      <w:r w:rsidRPr="007E1350">
        <w:t xml:space="preserve"> </w:t>
      </w:r>
      <w:r>
        <w:t>3 - 4 lata</w:t>
      </w:r>
      <w:r w:rsidRPr="007E1350">
        <w:t xml:space="preserve"> </w:t>
      </w:r>
      <w:r>
        <w:t>-</w:t>
      </w:r>
      <w:r w:rsidRPr="007E1350">
        <w:t xml:space="preserve"> wytypowanie obszarów perspektywicznych do badań</w:t>
      </w:r>
      <w:r>
        <w:t>;</w:t>
      </w:r>
    </w:p>
    <w:p w14:paraId="0149D825" w14:textId="77777777" w:rsidR="00084F8B" w:rsidRDefault="00084F8B" w:rsidP="006E5A9A">
      <w:pPr>
        <w:numPr>
          <w:ilvl w:val="0"/>
          <w:numId w:val="94"/>
        </w:numPr>
        <w:spacing w:before="120" w:after="120"/>
        <w:ind w:left="709" w:hanging="284"/>
        <w:jc w:val="both"/>
      </w:pPr>
      <w:r>
        <w:t>n</w:t>
      </w:r>
      <w:r w:rsidRPr="007E1350">
        <w:t>ieinwazyjne badania terenowe wybranych struktur i masywów</w:t>
      </w:r>
      <w:r>
        <w:t xml:space="preserve"> (warstw)</w:t>
      </w:r>
      <w:r w:rsidRPr="007E1350">
        <w:t xml:space="preserve"> oraz analiza materiałów archiwalnych (dokumentacje, rdzenie) – </w:t>
      </w:r>
      <w:r>
        <w:t>8 lat; wybór typu litologicznego skały macierzystej składowiska oraz lokalizacji PURL;</w:t>
      </w:r>
    </w:p>
    <w:p w14:paraId="08F5B6C5" w14:textId="77777777" w:rsidR="00084F8B" w:rsidRDefault="00084F8B" w:rsidP="006E5A9A">
      <w:pPr>
        <w:numPr>
          <w:ilvl w:val="0"/>
          <w:numId w:val="94"/>
        </w:numPr>
        <w:spacing w:before="120" w:after="120"/>
        <w:ind w:left="709" w:hanging="284"/>
      </w:pPr>
      <w:r>
        <w:t>przeprowadzenie uzgodnień i uzyskanie decyzji dla budowy PURL;</w:t>
      </w:r>
    </w:p>
    <w:p w14:paraId="5571674D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>a</w:t>
      </w:r>
      <w:r w:rsidRPr="007E1350">
        <w:t xml:space="preserve">ktualizacja koncepcji badań i studium wykonalności </w:t>
      </w:r>
      <w:r>
        <w:t>P</w:t>
      </w:r>
      <w:r w:rsidRPr="007E1350">
        <w:t xml:space="preserve">URL </w:t>
      </w:r>
      <w:r>
        <w:t>-</w:t>
      </w:r>
      <w:r w:rsidRPr="007E1350">
        <w:t xml:space="preserve"> </w:t>
      </w:r>
      <w:r>
        <w:t>2 lata;</w:t>
      </w:r>
    </w:p>
    <w:p w14:paraId="7A94E21A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>p</w:t>
      </w:r>
      <w:r w:rsidRPr="007E1350">
        <w:t xml:space="preserve">rzygotowanie oraz zatwierdzenie wniosku koncesyjnego i raportu </w:t>
      </w:r>
      <w:r>
        <w:t>„</w:t>
      </w:r>
      <w:r w:rsidRPr="00047769">
        <w:rPr>
          <w:rStyle w:val="Pogrubienie"/>
          <w:rFonts w:cs="Calibri"/>
          <w:b w:val="0"/>
          <w:bCs/>
        </w:rPr>
        <w:t xml:space="preserve">Ocena oddziaływania na środowisko </w:t>
      </w:r>
      <w:r>
        <w:rPr>
          <w:rStyle w:val="Pogrubienie"/>
          <w:rFonts w:cs="Calibri"/>
          <w:b w:val="0"/>
          <w:bCs/>
        </w:rPr>
        <w:t>(</w:t>
      </w:r>
      <w:r>
        <w:t>OOŚ)</w:t>
      </w:r>
      <w:r w:rsidRPr="007E1350">
        <w:t xml:space="preserve"> dla </w:t>
      </w:r>
      <w:r>
        <w:t>P</w:t>
      </w:r>
      <w:r w:rsidRPr="007E1350">
        <w:t>URL</w:t>
      </w:r>
      <w:r>
        <w:t>”</w:t>
      </w:r>
      <w:r w:rsidRPr="007E1350">
        <w:t xml:space="preserve"> </w:t>
      </w:r>
      <w:r>
        <w:t>-</w:t>
      </w:r>
      <w:r w:rsidRPr="007E1350">
        <w:t xml:space="preserve"> </w:t>
      </w:r>
      <w:r>
        <w:t>2 lata;</w:t>
      </w:r>
    </w:p>
    <w:p w14:paraId="3CB301F9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>b</w:t>
      </w:r>
      <w:r w:rsidRPr="007E1350">
        <w:t xml:space="preserve">udowa </w:t>
      </w:r>
      <w:r>
        <w:t>P</w:t>
      </w:r>
      <w:r w:rsidRPr="007E1350">
        <w:t>URL</w:t>
      </w:r>
      <w:r>
        <w:t xml:space="preserve"> - ok.</w:t>
      </w:r>
      <w:r w:rsidRPr="007E1350">
        <w:t xml:space="preserve"> </w:t>
      </w:r>
      <w:r>
        <w:t>5 lat;</w:t>
      </w:r>
    </w:p>
    <w:p w14:paraId="3A5F711E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>p</w:t>
      </w:r>
      <w:r w:rsidRPr="007E1350">
        <w:t xml:space="preserve">rowadzenie badań w </w:t>
      </w:r>
      <w:r>
        <w:t>P</w:t>
      </w:r>
      <w:r w:rsidRPr="007E1350">
        <w:t>URL oraz szczegółowych bad</w:t>
      </w:r>
      <w:r>
        <w:t xml:space="preserve">ań w lokalizacji składowiska, </w:t>
      </w:r>
      <w:r w:rsidRPr="007E1350">
        <w:t>opracowanie koncepcji projektowej</w:t>
      </w:r>
      <w:r>
        <w:t xml:space="preserve"> SGOP - ok. 15 lat</w:t>
      </w:r>
      <w:r w:rsidRPr="007E1350">
        <w:t xml:space="preserve">; </w:t>
      </w:r>
    </w:p>
    <w:p w14:paraId="7A83668F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>p</w:t>
      </w:r>
      <w:r w:rsidRPr="007E1350">
        <w:t>rzygotowanie dokumentacji</w:t>
      </w:r>
      <w:r>
        <w:t xml:space="preserve"> z zakresu bezpieczeństwa jądrowego i ochrona radiologiczna</w:t>
      </w:r>
      <w:r w:rsidRPr="007E1350">
        <w:t xml:space="preserve"> </w:t>
      </w:r>
      <w:r>
        <w:t xml:space="preserve">(BJiOR) </w:t>
      </w:r>
      <w:r w:rsidRPr="007E1350">
        <w:t xml:space="preserve">do zezwolenia na budowę, wniosku koncesyjnego na budowę oraz </w:t>
      </w:r>
      <w:r>
        <w:t>OOŚ</w:t>
      </w:r>
      <w:r w:rsidRPr="007E1350">
        <w:t xml:space="preserve"> dla składowiska </w:t>
      </w:r>
      <w:r>
        <w:t>- 5 lat;</w:t>
      </w:r>
    </w:p>
    <w:p w14:paraId="1E0273E9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>z</w:t>
      </w:r>
      <w:r w:rsidRPr="007E1350">
        <w:t>atwierdzenie</w:t>
      </w:r>
      <w:r>
        <w:t xml:space="preserve"> dokumentacji</w:t>
      </w:r>
      <w:r w:rsidRPr="007E1350">
        <w:t xml:space="preserve"> i uzyskanie decyzji </w:t>
      </w:r>
      <w:r>
        <w:t>-</w:t>
      </w:r>
      <w:r w:rsidRPr="007E1350">
        <w:t xml:space="preserve"> </w:t>
      </w:r>
      <w:r>
        <w:t>ok. 5 lat;</w:t>
      </w:r>
    </w:p>
    <w:p w14:paraId="5F258424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>b</w:t>
      </w:r>
      <w:r w:rsidRPr="007E1350">
        <w:t xml:space="preserve">udowa składowiska - </w:t>
      </w:r>
      <w:r>
        <w:t>ok. 7 - 8 lat</w:t>
      </w:r>
      <w:r w:rsidR="007C7ABB">
        <w:rPr>
          <w:rStyle w:val="Odwoanieprzypisudolnego"/>
        </w:rPr>
        <w:footnoteReference w:id="15"/>
      </w:r>
      <w:r>
        <w:t>;</w:t>
      </w:r>
    </w:p>
    <w:p w14:paraId="3D4B3265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>p</w:t>
      </w:r>
      <w:r w:rsidRPr="007E1350">
        <w:t xml:space="preserve">rzedłożenie </w:t>
      </w:r>
      <w:r>
        <w:t>raportu bezpieczeństwa (</w:t>
      </w:r>
      <w:r w:rsidRPr="007E1350">
        <w:t>SAR</w:t>
      </w:r>
      <w:r>
        <w:t>)</w:t>
      </w:r>
      <w:r w:rsidRPr="007E1350">
        <w:t xml:space="preserve"> i uzyskanie zezwolenia na eksploatację </w:t>
      </w:r>
      <w:r>
        <w:t>- ok. 3 lata;</w:t>
      </w:r>
    </w:p>
    <w:p w14:paraId="08D913F4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 xml:space="preserve">eksploatacja </w:t>
      </w:r>
      <w:r w:rsidRPr="007E1350">
        <w:t>S</w:t>
      </w:r>
      <w:r>
        <w:t>G</w:t>
      </w:r>
      <w:r w:rsidRPr="007E1350">
        <w:t xml:space="preserve">OP </w:t>
      </w:r>
      <w:r>
        <w:t>-</w:t>
      </w:r>
      <w:r w:rsidRPr="007E1350">
        <w:t xml:space="preserve"> </w:t>
      </w:r>
      <w:r>
        <w:t>ok. 50 lat;</w:t>
      </w:r>
    </w:p>
    <w:p w14:paraId="0ADF2128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>z</w:t>
      </w:r>
      <w:r w:rsidRPr="007E1350">
        <w:t>aprzestanie dostarczania odpadów i prac</w:t>
      </w:r>
      <w:r>
        <w:t xml:space="preserve">e przygotowawcze do zamknięcia </w:t>
      </w:r>
      <w:r w:rsidRPr="007E1350">
        <w:t>S</w:t>
      </w:r>
      <w:r>
        <w:t>G</w:t>
      </w:r>
      <w:r w:rsidRPr="007E1350">
        <w:t xml:space="preserve">OP - </w:t>
      </w:r>
      <w:r>
        <w:t>10 lat;</w:t>
      </w:r>
    </w:p>
    <w:p w14:paraId="2D07A0C6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>zamknię</w:t>
      </w:r>
      <w:r w:rsidRPr="007E1350">
        <w:t xml:space="preserve">cie </w:t>
      </w:r>
      <w:r>
        <w:t>SG</w:t>
      </w:r>
      <w:r w:rsidRPr="007E1350">
        <w:t xml:space="preserve">OP </w:t>
      </w:r>
      <w:r>
        <w:t>- 8 lat;</w:t>
      </w:r>
    </w:p>
    <w:p w14:paraId="18AF89F9" w14:textId="77777777" w:rsidR="00084F8B" w:rsidRDefault="00084F8B" w:rsidP="006E5A9A">
      <w:pPr>
        <w:numPr>
          <w:ilvl w:val="0"/>
          <w:numId w:val="95"/>
        </w:numPr>
        <w:spacing w:before="120" w:after="120"/>
        <w:ind w:left="709" w:hanging="284"/>
        <w:jc w:val="both"/>
      </w:pPr>
      <w:r>
        <w:t>m</w:t>
      </w:r>
      <w:r w:rsidRPr="007E1350">
        <w:t>o</w:t>
      </w:r>
      <w:r>
        <w:t>nitoring po zamknięciu SGOP.</w:t>
      </w:r>
    </w:p>
    <w:p w14:paraId="214CD838" w14:textId="77777777" w:rsidR="00084F8B" w:rsidRDefault="00084F8B" w:rsidP="00B3727D">
      <w:pPr>
        <w:spacing w:after="120"/>
        <w:rPr>
          <w:b/>
        </w:rPr>
      </w:pPr>
      <w:r w:rsidRPr="00BF73E4">
        <w:rPr>
          <w:b/>
        </w:rPr>
        <w:t xml:space="preserve">Opcja 2 </w:t>
      </w:r>
      <w:r>
        <w:rPr>
          <w:b/>
        </w:rPr>
        <w:t>-</w:t>
      </w:r>
      <w:r w:rsidRPr="00BF73E4">
        <w:rPr>
          <w:b/>
        </w:rPr>
        <w:t xml:space="preserve"> </w:t>
      </w:r>
      <w:r>
        <w:rPr>
          <w:b/>
        </w:rPr>
        <w:t>P</w:t>
      </w:r>
      <w:r w:rsidRPr="00BF73E4">
        <w:rPr>
          <w:b/>
        </w:rPr>
        <w:t xml:space="preserve">URL niezwiązane z przyszłą lokalizacją składowiska, możliwa adaptacja istniejących obiektów na </w:t>
      </w:r>
      <w:r>
        <w:rPr>
          <w:b/>
        </w:rPr>
        <w:t>P</w:t>
      </w:r>
      <w:r w:rsidRPr="00BF73E4">
        <w:rPr>
          <w:b/>
        </w:rPr>
        <w:t>URL</w:t>
      </w:r>
    </w:p>
    <w:p w14:paraId="1C0FB01E" w14:textId="77777777" w:rsidR="00084F8B" w:rsidRDefault="00084F8B" w:rsidP="0000292C">
      <w:pPr>
        <w:spacing w:before="120" w:after="120"/>
        <w:jc w:val="both"/>
      </w:pPr>
      <w:r>
        <w:t xml:space="preserve">Jeżeli laboratorium podziemne nie jest planowane w masywie lub warstwach </w:t>
      </w:r>
      <w:r w:rsidR="0098729C">
        <w:t>wytypowanych, jako</w:t>
      </w:r>
      <w:r>
        <w:t xml:space="preserve"> perspektywiczne do składowania, wpływa to na wydłużenie części badań i okresu budowy PURL. Przy adaptacji istniejącego obiektu w warstwie (masywie) o podobnych lub tożsamych właściwościach litologicznych, część działań może zostać przeprowadzona w krótszym okresie czasu (istniejąca infrastruktura, istniejące w większej ilości materiały archiwalne z dotychczasowych badań).</w:t>
      </w:r>
    </w:p>
    <w:p w14:paraId="20E42539" w14:textId="77777777" w:rsidR="00084F8B" w:rsidRPr="00BA3F09" w:rsidRDefault="00084F8B" w:rsidP="0000292C">
      <w:pPr>
        <w:spacing w:before="120" w:after="120"/>
        <w:jc w:val="both"/>
      </w:pPr>
      <w:r>
        <w:t>W ramach realizacji niniejszej opcji konieczne będzie podjęcie następujących działań:</w:t>
      </w:r>
    </w:p>
    <w:p w14:paraId="6B74C9A1" w14:textId="77777777" w:rsidR="00084F8B" w:rsidRPr="00886C00" w:rsidRDefault="00084F8B" w:rsidP="0000292C">
      <w:pPr>
        <w:numPr>
          <w:ilvl w:val="0"/>
          <w:numId w:val="96"/>
        </w:numPr>
        <w:spacing w:before="120" w:after="120"/>
        <w:ind w:left="709" w:hanging="283"/>
        <w:jc w:val="both"/>
        <w:rPr>
          <w:b/>
        </w:rPr>
      </w:pPr>
      <w:r>
        <w:t>s</w:t>
      </w:r>
      <w:r w:rsidRPr="007E1350">
        <w:t xml:space="preserve">tudium wykonalności i koncepcja badań </w:t>
      </w:r>
      <w:r>
        <w:t>-</w:t>
      </w:r>
      <w:r w:rsidRPr="007E1350">
        <w:t xml:space="preserve"> </w:t>
      </w:r>
      <w:r>
        <w:t>2 lata;</w:t>
      </w:r>
    </w:p>
    <w:p w14:paraId="7A682217" w14:textId="77777777" w:rsidR="00084F8B" w:rsidRDefault="00084F8B" w:rsidP="0000292C">
      <w:pPr>
        <w:numPr>
          <w:ilvl w:val="0"/>
          <w:numId w:val="96"/>
        </w:numPr>
        <w:spacing w:before="120" w:after="120"/>
        <w:ind w:left="709" w:hanging="283"/>
        <w:jc w:val="both"/>
      </w:pPr>
      <w:r>
        <w:t>s</w:t>
      </w:r>
      <w:r w:rsidRPr="007E1350">
        <w:t xml:space="preserve">tudium kameralne </w:t>
      </w:r>
      <w:r>
        <w:t>-</w:t>
      </w:r>
      <w:r w:rsidRPr="007E1350">
        <w:t xml:space="preserve"> rewizja lokalizacji w oparciu o kryteria prawne (bezpieczeństwo jądrowe, ochrona środowiska I zasobów naturalnych </w:t>
      </w:r>
      <w:r>
        <w:t>-</w:t>
      </w:r>
      <w:r w:rsidRPr="007E1350">
        <w:t xml:space="preserve"> wód </w:t>
      </w:r>
      <w:r>
        <w:t>i</w:t>
      </w:r>
      <w:r w:rsidRPr="007E1350">
        <w:t xml:space="preserve"> złóż, konflikty </w:t>
      </w:r>
      <w:r>
        <w:t xml:space="preserve">planów </w:t>
      </w:r>
      <w:r w:rsidRPr="007E1350">
        <w:t>zag</w:t>
      </w:r>
      <w:r>
        <w:t>ospodarowania przestrzennego) -</w:t>
      </w:r>
      <w:r w:rsidRPr="007E1350">
        <w:t xml:space="preserve"> </w:t>
      </w:r>
      <w:r>
        <w:t>3 - 4 lata</w:t>
      </w:r>
      <w:r w:rsidRPr="007E1350">
        <w:t xml:space="preserve"> wytypowanie perspektywicznych obszarów do badań</w:t>
      </w:r>
      <w:r>
        <w:t>;</w:t>
      </w:r>
    </w:p>
    <w:p w14:paraId="07F0CF42" w14:textId="77777777" w:rsidR="00084F8B" w:rsidRDefault="00084F8B" w:rsidP="0000292C">
      <w:pPr>
        <w:numPr>
          <w:ilvl w:val="0"/>
          <w:numId w:val="96"/>
        </w:numPr>
        <w:spacing w:before="120" w:after="120"/>
        <w:ind w:left="709" w:hanging="283"/>
        <w:jc w:val="both"/>
      </w:pPr>
      <w:r>
        <w:lastRenderedPageBreak/>
        <w:t>n</w:t>
      </w:r>
      <w:r w:rsidRPr="007E1350">
        <w:t>ieinwazyjne badania terenowe wybranych struktur i masywów</w:t>
      </w:r>
      <w:r>
        <w:t xml:space="preserve"> (warstw)</w:t>
      </w:r>
      <w:r w:rsidRPr="007E1350">
        <w:t xml:space="preserve"> oraz analiza materiałów archiwalnych (dokumentacje, rdzenie) </w:t>
      </w:r>
      <w:r>
        <w:t>-</w:t>
      </w:r>
      <w:r w:rsidRPr="007E1350">
        <w:t xml:space="preserve"> </w:t>
      </w:r>
      <w:r>
        <w:t>8 lat; wybór typu litologicznego skały macierzystej składowiska oraz lokalizacji PURL;</w:t>
      </w:r>
    </w:p>
    <w:p w14:paraId="3C4BD70A" w14:textId="77777777" w:rsidR="00084F8B" w:rsidRDefault="00084F8B" w:rsidP="0000292C">
      <w:pPr>
        <w:numPr>
          <w:ilvl w:val="0"/>
          <w:numId w:val="96"/>
        </w:numPr>
        <w:spacing w:before="120" w:after="120"/>
        <w:ind w:left="709" w:hanging="283"/>
      </w:pPr>
      <w:r>
        <w:t>przeprowadzenie uzgodnień i wystąpienie o uzyskanie decyzji dla budowy PURL lub adaptacji istniejących obiektów na PURL;</w:t>
      </w:r>
    </w:p>
    <w:p w14:paraId="44858016" w14:textId="77777777" w:rsidR="00084F8B" w:rsidRDefault="00084F8B" w:rsidP="0000292C">
      <w:pPr>
        <w:numPr>
          <w:ilvl w:val="0"/>
          <w:numId w:val="97"/>
        </w:numPr>
        <w:spacing w:before="120" w:after="120"/>
        <w:ind w:left="709" w:hanging="283"/>
        <w:jc w:val="both"/>
      </w:pPr>
      <w:r>
        <w:t>a</w:t>
      </w:r>
      <w:r w:rsidRPr="007E1350">
        <w:t xml:space="preserve">ktualizacja koncepcji badań i studium wykonalności </w:t>
      </w:r>
      <w:r>
        <w:t>P</w:t>
      </w:r>
      <w:r w:rsidRPr="007E1350">
        <w:t xml:space="preserve">URL </w:t>
      </w:r>
      <w:r>
        <w:t>-</w:t>
      </w:r>
      <w:r w:rsidRPr="007E1350">
        <w:t xml:space="preserve"> </w:t>
      </w:r>
      <w:r>
        <w:t>2 lata;</w:t>
      </w:r>
    </w:p>
    <w:p w14:paraId="508FA395" w14:textId="77777777" w:rsidR="00084F8B" w:rsidRDefault="00084F8B" w:rsidP="0000292C">
      <w:pPr>
        <w:numPr>
          <w:ilvl w:val="0"/>
          <w:numId w:val="97"/>
        </w:numPr>
        <w:spacing w:before="120" w:after="120"/>
        <w:ind w:left="709" w:hanging="283"/>
        <w:jc w:val="both"/>
      </w:pPr>
      <w:r>
        <w:t>a</w:t>
      </w:r>
      <w:r w:rsidRPr="007E1350">
        <w:t xml:space="preserve">daptacja </w:t>
      </w:r>
      <w:r>
        <w:t>istniejącego obiektu na P</w:t>
      </w:r>
      <w:r w:rsidRPr="007E1350">
        <w:t xml:space="preserve">URL </w:t>
      </w:r>
      <w:r>
        <w:t>- 3 lata lub budowa PURL – 5 lat;</w:t>
      </w:r>
    </w:p>
    <w:p w14:paraId="318371EF" w14:textId="77777777" w:rsidR="00084F8B" w:rsidRPr="007E1350" w:rsidRDefault="00084F8B" w:rsidP="0000292C">
      <w:pPr>
        <w:numPr>
          <w:ilvl w:val="0"/>
          <w:numId w:val="97"/>
        </w:numPr>
        <w:spacing w:before="120" w:after="120"/>
        <w:ind w:left="709" w:hanging="283"/>
        <w:jc w:val="both"/>
      </w:pPr>
      <w:r>
        <w:t>p</w:t>
      </w:r>
      <w:r w:rsidRPr="007E1350">
        <w:t xml:space="preserve">rowadzenie badań w </w:t>
      </w:r>
      <w:r>
        <w:t>P</w:t>
      </w:r>
      <w:r w:rsidRPr="007E1350">
        <w:t>URL oraz szczegółowych badań w lokalizacji składowiska</w:t>
      </w:r>
      <w:r>
        <w:t>,</w:t>
      </w:r>
      <w:r w:rsidRPr="007E1350">
        <w:t xml:space="preserve"> opracowanie koncepcji projektowej</w:t>
      </w:r>
      <w:r>
        <w:t xml:space="preserve"> SGOP- ok. 15 lat</w:t>
      </w:r>
      <w:r w:rsidRPr="007E1350">
        <w:t xml:space="preserve">; </w:t>
      </w:r>
    </w:p>
    <w:p w14:paraId="1AB69965" w14:textId="77777777" w:rsidR="00084F8B" w:rsidRDefault="00084F8B" w:rsidP="0000292C">
      <w:pPr>
        <w:numPr>
          <w:ilvl w:val="0"/>
          <w:numId w:val="97"/>
        </w:numPr>
        <w:spacing w:before="120" w:after="120"/>
        <w:ind w:left="709" w:hanging="283"/>
        <w:jc w:val="both"/>
      </w:pPr>
      <w:r>
        <w:t>p</w:t>
      </w:r>
      <w:r w:rsidRPr="007E1350">
        <w:t xml:space="preserve">rzygotowanie dokumentacji BJiOR do zezwolenia na budowę, wniosku koncesyjnego na budowę oraz </w:t>
      </w:r>
      <w:r>
        <w:t xml:space="preserve">OOŚ </w:t>
      </w:r>
      <w:r w:rsidRPr="007E1350">
        <w:t xml:space="preserve">dla składowiska </w:t>
      </w:r>
      <w:r>
        <w:t>- 5 lat;</w:t>
      </w:r>
    </w:p>
    <w:p w14:paraId="6A277AAD" w14:textId="77777777" w:rsidR="00084F8B" w:rsidRDefault="00084F8B" w:rsidP="0000292C">
      <w:pPr>
        <w:numPr>
          <w:ilvl w:val="0"/>
          <w:numId w:val="97"/>
        </w:numPr>
        <w:spacing w:before="120" w:after="120"/>
        <w:ind w:left="709" w:hanging="283"/>
        <w:jc w:val="both"/>
      </w:pPr>
      <w:r>
        <w:t>wystąpienia o z</w:t>
      </w:r>
      <w:r w:rsidRPr="007E1350">
        <w:t>atwierdzenie</w:t>
      </w:r>
      <w:r>
        <w:t xml:space="preserve"> dokumentacji </w:t>
      </w:r>
      <w:r w:rsidRPr="007E1350">
        <w:t xml:space="preserve">i uzyskanie decyzji </w:t>
      </w:r>
      <w:r>
        <w:t>-</w:t>
      </w:r>
      <w:r w:rsidRPr="007E1350">
        <w:t xml:space="preserve"> </w:t>
      </w:r>
      <w:r>
        <w:t>ok. 5 lat;</w:t>
      </w:r>
    </w:p>
    <w:p w14:paraId="079A2787" w14:textId="77777777" w:rsidR="00084F8B" w:rsidRDefault="00084F8B" w:rsidP="0000292C">
      <w:pPr>
        <w:numPr>
          <w:ilvl w:val="0"/>
          <w:numId w:val="97"/>
        </w:numPr>
        <w:spacing w:before="120" w:after="120"/>
        <w:ind w:left="709" w:hanging="283"/>
        <w:jc w:val="both"/>
      </w:pPr>
      <w:r>
        <w:t>b</w:t>
      </w:r>
      <w:r w:rsidRPr="007E1350">
        <w:t xml:space="preserve">udowa składowiska </w:t>
      </w:r>
      <w:r>
        <w:t>-</w:t>
      </w:r>
      <w:r w:rsidRPr="007E1350">
        <w:t xml:space="preserve"> </w:t>
      </w:r>
      <w:r>
        <w:t>10 lat;</w:t>
      </w:r>
    </w:p>
    <w:p w14:paraId="3FEB1001" w14:textId="77777777" w:rsidR="00084F8B" w:rsidRDefault="00084F8B" w:rsidP="0000292C">
      <w:pPr>
        <w:numPr>
          <w:ilvl w:val="0"/>
          <w:numId w:val="97"/>
        </w:numPr>
        <w:spacing w:before="120" w:after="120"/>
        <w:ind w:left="709" w:hanging="283"/>
        <w:jc w:val="both"/>
      </w:pPr>
      <w:r>
        <w:t>p</w:t>
      </w:r>
      <w:r w:rsidRPr="007E1350">
        <w:t xml:space="preserve">rzedłożenie SAR i </w:t>
      </w:r>
      <w:r>
        <w:t>wystąpienie o</w:t>
      </w:r>
      <w:r w:rsidRPr="007E1350">
        <w:t xml:space="preserve"> uzyskanie zezwolenia na eksploatację </w:t>
      </w:r>
      <w:r>
        <w:t>-</w:t>
      </w:r>
      <w:r w:rsidRPr="007E1350">
        <w:t xml:space="preserve"> </w:t>
      </w:r>
      <w:r>
        <w:t>3 lata;</w:t>
      </w:r>
    </w:p>
    <w:p w14:paraId="37D1C56A" w14:textId="77777777" w:rsidR="00084F8B" w:rsidRDefault="00084F8B" w:rsidP="0000292C">
      <w:pPr>
        <w:numPr>
          <w:ilvl w:val="0"/>
          <w:numId w:val="97"/>
        </w:numPr>
        <w:spacing w:before="120" w:after="120"/>
        <w:ind w:left="709" w:hanging="283"/>
        <w:jc w:val="both"/>
      </w:pPr>
      <w:r>
        <w:t xml:space="preserve">eksploatacja </w:t>
      </w:r>
      <w:r w:rsidRPr="007E1350">
        <w:t>S</w:t>
      </w:r>
      <w:r>
        <w:t>G</w:t>
      </w:r>
      <w:r w:rsidRPr="007E1350">
        <w:t xml:space="preserve">OP </w:t>
      </w:r>
      <w:r>
        <w:t>-</w:t>
      </w:r>
      <w:r w:rsidRPr="007E1350">
        <w:t xml:space="preserve"> </w:t>
      </w:r>
      <w:r>
        <w:t>–ok. 50 lat;</w:t>
      </w:r>
    </w:p>
    <w:p w14:paraId="058F3F30" w14:textId="77777777" w:rsidR="00084F8B" w:rsidRDefault="00084F8B" w:rsidP="0000292C">
      <w:pPr>
        <w:numPr>
          <w:ilvl w:val="0"/>
          <w:numId w:val="97"/>
        </w:numPr>
        <w:spacing w:before="120" w:after="120"/>
        <w:ind w:left="709" w:hanging="283"/>
        <w:jc w:val="both"/>
      </w:pPr>
      <w:r>
        <w:t>z</w:t>
      </w:r>
      <w:r w:rsidRPr="007E1350">
        <w:t>aprzestanie dostarczania odpadów i prace</w:t>
      </w:r>
      <w:r>
        <w:t xml:space="preserve"> przygotowawcze do zamknięcia SG</w:t>
      </w:r>
      <w:r w:rsidRPr="007E1350">
        <w:t xml:space="preserve">OP </w:t>
      </w:r>
      <w:r>
        <w:t>-</w:t>
      </w:r>
      <w:r w:rsidRPr="007E1350">
        <w:t xml:space="preserve"> </w:t>
      </w:r>
      <w:r>
        <w:t>10 lat;</w:t>
      </w:r>
    </w:p>
    <w:p w14:paraId="6377D972" w14:textId="77777777" w:rsidR="00084F8B" w:rsidRDefault="00084F8B" w:rsidP="0000292C">
      <w:pPr>
        <w:numPr>
          <w:ilvl w:val="0"/>
          <w:numId w:val="97"/>
        </w:numPr>
        <w:spacing w:before="120" w:after="120"/>
        <w:ind w:left="709" w:hanging="283"/>
        <w:jc w:val="both"/>
      </w:pPr>
      <w:r>
        <w:t xml:space="preserve">zamknięcie </w:t>
      </w:r>
      <w:r w:rsidRPr="007E1350">
        <w:t>S</w:t>
      </w:r>
      <w:r>
        <w:t>G</w:t>
      </w:r>
      <w:r w:rsidRPr="007E1350">
        <w:t xml:space="preserve">OP </w:t>
      </w:r>
      <w:r>
        <w:t>- ok. 8 lat;</w:t>
      </w:r>
    </w:p>
    <w:p w14:paraId="07DDCF6C" w14:textId="77777777" w:rsidR="00084F8B" w:rsidRDefault="00084F8B" w:rsidP="004725EF">
      <w:pPr>
        <w:numPr>
          <w:ilvl w:val="0"/>
          <w:numId w:val="97"/>
        </w:numPr>
        <w:spacing w:before="120" w:after="120"/>
        <w:ind w:left="709" w:hanging="283"/>
        <w:jc w:val="both"/>
      </w:pPr>
      <w:r>
        <w:t>monitoring po zamknięciu SG</w:t>
      </w:r>
      <w:r w:rsidRPr="007E1350">
        <w:t>OP</w:t>
      </w:r>
      <w:r>
        <w:t>.</w:t>
      </w:r>
    </w:p>
    <w:p w14:paraId="636B1004" w14:textId="50E72175" w:rsidR="00084F8B" w:rsidRPr="003309A0" w:rsidRDefault="00084F8B" w:rsidP="0000292C">
      <w:pPr>
        <w:spacing w:before="120" w:after="120"/>
        <w:jc w:val="both"/>
      </w:pPr>
      <w:r>
        <w:t xml:space="preserve">Mimo badań w laboratorium położonym w strukturze o tej samej litologii, lecz odrębnym masywie </w:t>
      </w:r>
      <w:r w:rsidR="00755D1B">
        <w:t>l</w:t>
      </w:r>
      <w:r w:rsidR="00755D1B" w:rsidRPr="00755D1B">
        <w:t>ub struktur</w:t>
      </w:r>
      <w:r w:rsidR="00755D1B">
        <w:t>ze</w:t>
      </w:r>
      <w:r w:rsidR="00755D1B" w:rsidRPr="00755D1B">
        <w:t xml:space="preserve"> geologiczn</w:t>
      </w:r>
      <w:r w:rsidR="00755D1B">
        <w:t>ej</w:t>
      </w:r>
      <w:r w:rsidR="00755D1B" w:rsidRPr="00755D1B">
        <w:t xml:space="preserve"> np. wysad solny wysad iłowy lub miąższy kompleks  iłowców/mułowcó</w:t>
      </w:r>
      <w:r w:rsidR="00755D1B">
        <w:t>w</w:t>
      </w:r>
      <w:r w:rsidRPr="009207EB">
        <w:t>,</w:t>
      </w:r>
      <w:r>
        <w:t xml:space="preserve"> niezbędne będzie przeprowadzenie badań także bezpośrednio w miejscu przyszłej lokalizacji. </w:t>
      </w:r>
    </w:p>
    <w:p w14:paraId="1D52429F" w14:textId="77777777" w:rsidR="00084F8B" w:rsidRPr="00F74164" w:rsidRDefault="00084F8B" w:rsidP="008D5796">
      <w:pPr>
        <w:pStyle w:val="Nagwek2"/>
      </w:pPr>
      <w:bookmarkStart w:id="78" w:name="_Toc397697011"/>
      <w:bookmarkStart w:id="79" w:name="_Toc424116697"/>
      <w:r>
        <w:t>2</w:t>
      </w:r>
      <w:r w:rsidRPr="00F74164">
        <w:t>.</w:t>
      </w:r>
      <w:r>
        <w:t>3</w:t>
      </w:r>
      <w:r w:rsidRPr="00F74164">
        <w:t xml:space="preserve">. </w:t>
      </w:r>
      <w:r w:rsidRPr="00A02F37">
        <w:t xml:space="preserve">Modyfikacja zasad </w:t>
      </w:r>
      <w:r>
        <w:t>postępowania z</w:t>
      </w:r>
      <w:r w:rsidRPr="00A02F37">
        <w:t xml:space="preserve"> odpadami promieniotwórczymi i wypalonym paliwem jądrowym oraz </w:t>
      </w:r>
      <w:r>
        <w:t xml:space="preserve">z </w:t>
      </w:r>
      <w:r w:rsidRPr="00A02F37">
        <w:t>likwidacji elektrowni jądrowych</w:t>
      </w:r>
      <w:bookmarkEnd w:id="78"/>
      <w:bookmarkEnd w:id="79"/>
    </w:p>
    <w:p w14:paraId="634CB7ED" w14:textId="77777777" w:rsidR="003F4549" w:rsidRDefault="003F4549" w:rsidP="009F1BA9">
      <w:pPr>
        <w:spacing w:before="120" w:after="120"/>
        <w:jc w:val="both"/>
      </w:pPr>
    </w:p>
    <w:p w14:paraId="77D28714" w14:textId="77777777" w:rsidR="00084F8B" w:rsidRPr="00784F93" w:rsidRDefault="00084F8B" w:rsidP="009F1BA9">
      <w:pPr>
        <w:spacing w:before="120" w:after="120"/>
        <w:jc w:val="both"/>
      </w:pPr>
      <w:r>
        <w:t>Realizacja niniejszego zadania będzie obejmować następujące działania:</w:t>
      </w:r>
    </w:p>
    <w:p w14:paraId="629508BE" w14:textId="77777777" w:rsidR="00084F8B" w:rsidRPr="00784F93" w:rsidRDefault="00084F8B" w:rsidP="005719FD">
      <w:pPr>
        <w:pStyle w:val="ListParagraph2"/>
        <w:numPr>
          <w:ilvl w:val="0"/>
          <w:numId w:val="89"/>
        </w:numPr>
        <w:tabs>
          <w:tab w:val="left" w:pos="18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o</w:t>
      </w:r>
      <w:r w:rsidRPr="00784F93">
        <w:rPr>
          <w:color w:val="000000"/>
        </w:rPr>
        <w:t xml:space="preserve">pracowanie szczegółowej koncepcji instytucjonalnej systemu </w:t>
      </w:r>
      <w:r>
        <w:rPr>
          <w:color w:val="000000"/>
        </w:rPr>
        <w:t>postępowania z</w:t>
      </w:r>
      <w:r w:rsidRPr="00784F93">
        <w:rPr>
          <w:color w:val="000000"/>
        </w:rPr>
        <w:t xml:space="preserve"> odpadami promieniotwórczymi w Polsce, w tym pochodzącymi z e</w:t>
      </w:r>
      <w:r w:rsidR="004A2F66">
        <w:rPr>
          <w:color w:val="000000"/>
        </w:rPr>
        <w:t>nergetyki jądrowej – 2020 r. - 2029</w:t>
      </w:r>
      <w:r>
        <w:rPr>
          <w:color w:val="000000"/>
        </w:rPr>
        <w:t xml:space="preserve"> r.;</w:t>
      </w:r>
    </w:p>
    <w:p w14:paraId="0A7D523E" w14:textId="77777777" w:rsidR="00084F8B" w:rsidRPr="00784F93" w:rsidRDefault="00084F8B" w:rsidP="005719FD">
      <w:pPr>
        <w:pStyle w:val="ListParagraph2"/>
        <w:numPr>
          <w:ilvl w:val="0"/>
          <w:numId w:val="89"/>
        </w:numPr>
        <w:tabs>
          <w:tab w:val="left" w:pos="18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w</w:t>
      </w:r>
      <w:r w:rsidRPr="00784F93">
        <w:rPr>
          <w:color w:val="000000"/>
        </w:rPr>
        <w:t xml:space="preserve">prowadzenie niezbędnych zmian do systemu prawnego </w:t>
      </w:r>
      <w:r w:rsidRPr="005703EC">
        <w:rPr>
          <w:rFonts w:cs="Calibri"/>
          <w:szCs w:val="24"/>
        </w:rPr>
        <w:t>w celu umożliwienia wdrożenia ww. koncepcji</w:t>
      </w:r>
      <w:r w:rsidRPr="005703EC">
        <w:rPr>
          <w:rFonts w:cs="Calibri"/>
          <w:color w:val="000000"/>
          <w:sz w:val="16"/>
        </w:rPr>
        <w:t xml:space="preserve"> </w:t>
      </w:r>
      <w:r>
        <w:rPr>
          <w:color w:val="000000"/>
        </w:rPr>
        <w:t>-</w:t>
      </w:r>
      <w:r w:rsidR="004A2F66">
        <w:rPr>
          <w:color w:val="000000"/>
        </w:rPr>
        <w:t xml:space="preserve"> 202</w:t>
      </w:r>
      <w:r w:rsidRPr="00784F93">
        <w:rPr>
          <w:color w:val="000000"/>
        </w:rPr>
        <w:t>9</w:t>
      </w:r>
      <w:r>
        <w:rPr>
          <w:color w:val="000000"/>
        </w:rPr>
        <w:t xml:space="preserve"> r. </w:t>
      </w:r>
      <w:r w:rsidRPr="00784F93">
        <w:rPr>
          <w:color w:val="000000"/>
        </w:rPr>
        <w:t>-</w:t>
      </w:r>
      <w:r>
        <w:rPr>
          <w:color w:val="000000"/>
        </w:rPr>
        <w:t xml:space="preserve"> 20</w:t>
      </w:r>
      <w:r w:rsidR="004A2F66">
        <w:rPr>
          <w:color w:val="000000"/>
        </w:rPr>
        <w:t>30</w:t>
      </w:r>
      <w:r>
        <w:rPr>
          <w:color w:val="000000"/>
        </w:rPr>
        <w:t xml:space="preserve"> r</w:t>
      </w:r>
      <w:r w:rsidRPr="00784F93">
        <w:rPr>
          <w:color w:val="000000"/>
        </w:rPr>
        <w:t>.</w:t>
      </w:r>
    </w:p>
    <w:p w14:paraId="2966C340" w14:textId="77777777" w:rsidR="00FD28CB" w:rsidRDefault="00CB0FEA" w:rsidP="00FD28CB">
      <w:pPr>
        <w:pStyle w:val="ListParagraph2"/>
        <w:tabs>
          <w:tab w:val="left" w:pos="180"/>
        </w:tabs>
        <w:spacing w:before="120" w:after="120"/>
        <w:ind w:left="0"/>
        <w:jc w:val="both"/>
      </w:pPr>
      <w:r>
        <w:t xml:space="preserve">Należy jednak podkreślić, że nie przewiduje się zmiany formy prawnej operatora – to jest </w:t>
      </w:r>
      <w:r w:rsidR="007C7ABB">
        <w:t xml:space="preserve">państwowego </w:t>
      </w:r>
      <w:r>
        <w:t>przedsiębiorstwa użyteczności publicznej</w:t>
      </w:r>
      <w:r w:rsidR="000265BD">
        <w:t>.</w:t>
      </w:r>
      <w:r>
        <w:t xml:space="preserve"> </w:t>
      </w:r>
    </w:p>
    <w:p w14:paraId="1138E6E0" w14:textId="77777777" w:rsidR="003F4549" w:rsidRPr="00FD28CB" w:rsidRDefault="003F4549" w:rsidP="00FD28CB">
      <w:pPr>
        <w:pStyle w:val="ListParagraph2"/>
        <w:tabs>
          <w:tab w:val="left" w:pos="180"/>
        </w:tabs>
        <w:spacing w:before="120" w:after="120"/>
        <w:ind w:left="0"/>
        <w:jc w:val="both"/>
      </w:pPr>
    </w:p>
    <w:p w14:paraId="665D4A69" w14:textId="1769AD05" w:rsidR="00084F8B" w:rsidRPr="00F74164" w:rsidRDefault="00084F8B" w:rsidP="008D5796">
      <w:pPr>
        <w:pStyle w:val="Nagwek2"/>
      </w:pPr>
      <w:bookmarkStart w:id="80" w:name="_Toc397697012"/>
      <w:bookmarkStart w:id="81" w:name="_Toc424116698"/>
      <w:r>
        <w:t>2</w:t>
      </w:r>
      <w:r w:rsidRPr="00F74164">
        <w:t>.</w:t>
      </w:r>
      <w:r>
        <w:t>4</w:t>
      </w:r>
      <w:r w:rsidRPr="00F74164">
        <w:t xml:space="preserve">. Stworzenie programu naukowo-badawczego dotyczącego </w:t>
      </w:r>
      <w:r>
        <w:t xml:space="preserve">postępowania </w:t>
      </w:r>
      <w:r w:rsidR="00B025CA">
        <w:br/>
      </w:r>
      <w:r>
        <w:t>z</w:t>
      </w:r>
      <w:r w:rsidRPr="00F74164">
        <w:t xml:space="preserve"> odpadami promieniotwórczymi i wypalonym paliwem jądrowym</w:t>
      </w:r>
      <w:bookmarkEnd w:id="80"/>
      <w:bookmarkEnd w:id="81"/>
    </w:p>
    <w:p w14:paraId="20832C71" w14:textId="77777777" w:rsidR="003F4549" w:rsidRDefault="003F4549" w:rsidP="005719FD">
      <w:pPr>
        <w:pStyle w:val="ListParagraph2"/>
        <w:tabs>
          <w:tab w:val="left" w:pos="180"/>
        </w:tabs>
        <w:spacing w:after="120"/>
        <w:ind w:left="28"/>
        <w:jc w:val="both"/>
        <w:rPr>
          <w:color w:val="000000"/>
        </w:rPr>
      </w:pPr>
    </w:p>
    <w:p w14:paraId="23FC8805" w14:textId="77777777" w:rsidR="00084F8B" w:rsidRDefault="00084F8B" w:rsidP="005719FD">
      <w:pPr>
        <w:pStyle w:val="ListParagraph2"/>
        <w:tabs>
          <w:tab w:val="left" w:pos="180"/>
        </w:tabs>
        <w:spacing w:after="120"/>
        <w:ind w:left="28"/>
        <w:jc w:val="both"/>
        <w:rPr>
          <w:color w:val="000000"/>
        </w:rPr>
      </w:pPr>
      <w:r>
        <w:rPr>
          <w:color w:val="000000"/>
        </w:rPr>
        <w:t>Realizacja niniejszego zadania będzie obejmować następujące działania:</w:t>
      </w:r>
    </w:p>
    <w:p w14:paraId="29FAF48B" w14:textId="7C373990" w:rsidR="00084F8B" w:rsidRPr="00784F93" w:rsidRDefault="00084F8B" w:rsidP="005719FD">
      <w:pPr>
        <w:pStyle w:val="ListParagraph2"/>
        <w:numPr>
          <w:ilvl w:val="0"/>
          <w:numId w:val="91"/>
        </w:numPr>
        <w:tabs>
          <w:tab w:val="left" w:pos="180"/>
        </w:tabs>
        <w:spacing w:after="120"/>
        <w:jc w:val="both"/>
        <w:rPr>
          <w:color w:val="000000"/>
        </w:rPr>
      </w:pPr>
      <w:r>
        <w:rPr>
          <w:color w:val="000000"/>
        </w:rPr>
        <w:t>o</w:t>
      </w:r>
      <w:r w:rsidRPr="00784F93">
        <w:rPr>
          <w:color w:val="000000"/>
        </w:rPr>
        <w:t>pracowanie programu n</w:t>
      </w:r>
      <w:r w:rsidR="004A2F66">
        <w:rPr>
          <w:color w:val="000000"/>
        </w:rPr>
        <w:t>aukowo - badawczego na lata 2020</w:t>
      </w:r>
      <w:r w:rsidR="00D4550D">
        <w:rPr>
          <w:color w:val="000000"/>
        </w:rPr>
        <w:t xml:space="preserve"> r.</w:t>
      </w:r>
      <w:r w:rsidR="004A2F66">
        <w:rPr>
          <w:color w:val="000000"/>
        </w:rPr>
        <w:t xml:space="preserve"> </w:t>
      </w:r>
      <w:r w:rsidR="00D4550D">
        <w:rPr>
          <w:color w:val="000000"/>
        </w:rPr>
        <w:t>–</w:t>
      </w:r>
      <w:r w:rsidR="004A2F66">
        <w:rPr>
          <w:color w:val="000000"/>
        </w:rPr>
        <w:t xml:space="preserve"> 202</w:t>
      </w:r>
      <w:r w:rsidR="00630683">
        <w:rPr>
          <w:color w:val="000000"/>
        </w:rPr>
        <w:t>2</w:t>
      </w:r>
      <w:r w:rsidR="00D4550D">
        <w:rPr>
          <w:color w:val="000000"/>
        </w:rPr>
        <w:t xml:space="preserve"> r.</w:t>
      </w:r>
      <w:r>
        <w:rPr>
          <w:color w:val="000000"/>
        </w:rPr>
        <w:t>;</w:t>
      </w:r>
    </w:p>
    <w:p w14:paraId="1B845256" w14:textId="63F67FC1" w:rsidR="00084F8B" w:rsidRPr="00784F93" w:rsidRDefault="00084F8B" w:rsidP="005719FD">
      <w:pPr>
        <w:pStyle w:val="ListParagraph2"/>
        <w:numPr>
          <w:ilvl w:val="0"/>
          <w:numId w:val="91"/>
        </w:numPr>
        <w:tabs>
          <w:tab w:val="left" w:pos="180"/>
        </w:tabs>
        <w:spacing w:after="120"/>
        <w:jc w:val="both"/>
        <w:rPr>
          <w:color w:val="000000"/>
        </w:rPr>
      </w:pPr>
      <w:r>
        <w:rPr>
          <w:color w:val="000000"/>
        </w:rPr>
        <w:t>r</w:t>
      </w:r>
      <w:r w:rsidRPr="00784F93">
        <w:rPr>
          <w:color w:val="000000"/>
        </w:rPr>
        <w:t xml:space="preserve">ealizacja </w:t>
      </w:r>
      <w:r>
        <w:rPr>
          <w:color w:val="000000"/>
        </w:rPr>
        <w:t>ww. p</w:t>
      </w:r>
      <w:r w:rsidRPr="00784F93">
        <w:rPr>
          <w:color w:val="000000"/>
        </w:rPr>
        <w:t xml:space="preserve">rogramu </w:t>
      </w:r>
      <w:r>
        <w:rPr>
          <w:color w:val="000000"/>
        </w:rPr>
        <w:t>-</w:t>
      </w:r>
      <w:r w:rsidR="004A2F66">
        <w:rPr>
          <w:color w:val="000000"/>
        </w:rPr>
        <w:t xml:space="preserve"> 202</w:t>
      </w:r>
      <w:r w:rsidR="00630683">
        <w:rPr>
          <w:color w:val="000000"/>
        </w:rPr>
        <w:t>3</w:t>
      </w:r>
      <w:r>
        <w:rPr>
          <w:color w:val="000000"/>
        </w:rPr>
        <w:t xml:space="preserve"> r. </w:t>
      </w:r>
      <w:r w:rsidRPr="00784F93">
        <w:rPr>
          <w:color w:val="000000"/>
        </w:rPr>
        <w:t>-</w:t>
      </w:r>
      <w:r>
        <w:rPr>
          <w:color w:val="000000"/>
        </w:rPr>
        <w:t xml:space="preserve"> 20</w:t>
      </w:r>
      <w:r w:rsidR="004A2F66">
        <w:rPr>
          <w:color w:val="000000"/>
        </w:rPr>
        <w:t>2</w:t>
      </w:r>
      <w:r w:rsidR="00630683">
        <w:rPr>
          <w:color w:val="000000"/>
        </w:rPr>
        <w:t>6</w:t>
      </w:r>
      <w:r>
        <w:rPr>
          <w:color w:val="000000"/>
        </w:rPr>
        <w:t xml:space="preserve"> r.;</w:t>
      </w:r>
    </w:p>
    <w:p w14:paraId="3E577EEA" w14:textId="6DA8550D" w:rsidR="00084F8B" w:rsidRDefault="00084F8B" w:rsidP="005719FD">
      <w:pPr>
        <w:pStyle w:val="ListParagraph2"/>
        <w:numPr>
          <w:ilvl w:val="0"/>
          <w:numId w:val="91"/>
        </w:numPr>
        <w:tabs>
          <w:tab w:val="left" w:pos="180"/>
        </w:tabs>
        <w:spacing w:after="120"/>
        <w:jc w:val="both"/>
        <w:rPr>
          <w:color w:val="000000"/>
        </w:rPr>
      </w:pPr>
      <w:r>
        <w:rPr>
          <w:color w:val="000000"/>
        </w:rPr>
        <w:t>o</w:t>
      </w:r>
      <w:r w:rsidRPr="00784F93">
        <w:rPr>
          <w:color w:val="000000"/>
        </w:rPr>
        <w:t>pracowanie kolejneg</w:t>
      </w:r>
      <w:r>
        <w:rPr>
          <w:color w:val="000000"/>
        </w:rPr>
        <w:t>o programu badawc</w:t>
      </w:r>
      <w:r w:rsidR="004A2F66">
        <w:rPr>
          <w:color w:val="000000"/>
        </w:rPr>
        <w:t>zego na lata 202</w:t>
      </w:r>
      <w:r w:rsidR="00630683">
        <w:rPr>
          <w:color w:val="000000"/>
        </w:rPr>
        <w:t>7</w:t>
      </w:r>
      <w:r w:rsidR="00D4550D">
        <w:rPr>
          <w:color w:val="000000"/>
        </w:rPr>
        <w:t xml:space="preserve"> r.</w:t>
      </w:r>
      <w:r w:rsidR="004A2F66">
        <w:rPr>
          <w:color w:val="000000"/>
        </w:rPr>
        <w:t xml:space="preserve">  </w:t>
      </w:r>
      <w:r w:rsidR="00D4550D">
        <w:rPr>
          <w:color w:val="000000"/>
        </w:rPr>
        <w:t>–</w:t>
      </w:r>
      <w:r w:rsidR="004A2F66">
        <w:rPr>
          <w:color w:val="000000"/>
        </w:rPr>
        <w:t xml:space="preserve"> 20</w:t>
      </w:r>
      <w:r w:rsidR="00630683">
        <w:rPr>
          <w:color w:val="000000"/>
        </w:rPr>
        <w:t>30</w:t>
      </w:r>
      <w:r w:rsidR="00D4550D">
        <w:rPr>
          <w:color w:val="000000"/>
        </w:rPr>
        <w:t xml:space="preserve"> r.</w:t>
      </w:r>
      <w:r>
        <w:rPr>
          <w:color w:val="000000"/>
        </w:rPr>
        <w:t>;</w:t>
      </w:r>
    </w:p>
    <w:p w14:paraId="3DACB066" w14:textId="72FA5563" w:rsidR="00084F8B" w:rsidRDefault="00084F8B" w:rsidP="008C7CE6">
      <w:pPr>
        <w:pStyle w:val="ListParagraph2"/>
        <w:numPr>
          <w:ilvl w:val="0"/>
          <w:numId w:val="91"/>
        </w:numPr>
        <w:tabs>
          <w:tab w:val="left" w:pos="180"/>
        </w:tabs>
        <w:spacing w:after="120"/>
        <w:jc w:val="both"/>
      </w:pPr>
      <w:r w:rsidRPr="005719FD">
        <w:rPr>
          <w:color w:val="000000"/>
        </w:rPr>
        <w:t xml:space="preserve">realizacja </w:t>
      </w:r>
      <w:r w:rsidR="004A2F66">
        <w:rPr>
          <w:color w:val="000000"/>
        </w:rPr>
        <w:t>programu - 20</w:t>
      </w:r>
      <w:r w:rsidR="00630683">
        <w:rPr>
          <w:color w:val="000000"/>
        </w:rPr>
        <w:t>30</w:t>
      </w:r>
      <w:r w:rsidRPr="008C7CE6">
        <w:rPr>
          <w:color w:val="000000"/>
        </w:rPr>
        <w:t xml:space="preserve"> r.</w:t>
      </w:r>
      <w:r>
        <w:rPr>
          <w:color w:val="000000"/>
        </w:rPr>
        <w:t xml:space="preserve"> </w:t>
      </w:r>
      <w:r w:rsidR="004A2F66">
        <w:rPr>
          <w:color w:val="000000"/>
        </w:rPr>
        <w:t>- 20</w:t>
      </w:r>
      <w:r w:rsidR="00630683">
        <w:rPr>
          <w:color w:val="000000"/>
        </w:rPr>
        <w:t>33</w:t>
      </w:r>
      <w:r w:rsidRPr="008C7CE6">
        <w:rPr>
          <w:color w:val="000000"/>
        </w:rPr>
        <w:t xml:space="preserve"> r.</w:t>
      </w:r>
    </w:p>
    <w:p w14:paraId="24F80748" w14:textId="77777777" w:rsidR="00084F8B" w:rsidRDefault="00084F8B" w:rsidP="008D5796">
      <w:pPr>
        <w:pStyle w:val="Nagwek2"/>
      </w:pPr>
      <w:bookmarkStart w:id="82" w:name="_Toc397697013"/>
      <w:bookmarkStart w:id="83" w:name="_Toc424116699"/>
      <w:r>
        <w:lastRenderedPageBreak/>
        <w:t xml:space="preserve">2.5. </w:t>
      </w:r>
      <w:r w:rsidRPr="00F7098E">
        <w:t xml:space="preserve">Przygotowanie kadr dla krajowych instytucji </w:t>
      </w:r>
      <w:r>
        <w:t>i podmiotów gospodarczych</w:t>
      </w:r>
      <w:r>
        <w:rPr>
          <w:rStyle w:val="Odwoanieprzypisudolnego"/>
        </w:rPr>
        <w:footnoteReference w:id="16"/>
      </w:r>
      <w:r>
        <w:t xml:space="preserve"> </w:t>
      </w:r>
      <w:r w:rsidRPr="00F7098E">
        <w:t>zaangażowanych w postępowanie z odpadami promieniotwórczymi</w:t>
      </w:r>
      <w:r>
        <w:t xml:space="preserve"> ORAZ Nadzór nad tym postępowaniem.</w:t>
      </w:r>
      <w:bookmarkEnd w:id="82"/>
      <w:bookmarkEnd w:id="83"/>
    </w:p>
    <w:p w14:paraId="1C69C3A4" w14:textId="77777777" w:rsidR="003F4549" w:rsidRDefault="003F4549" w:rsidP="008C7CE6">
      <w:pPr>
        <w:pStyle w:val="ListParagraph2"/>
        <w:tabs>
          <w:tab w:val="left" w:pos="0"/>
        </w:tabs>
        <w:spacing w:after="120"/>
        <w:ind w:left="0"/>
        <w:jc w:val="both"/>
        <w:rPr>
          <w:color w:val="000000"/>
        </w:rPr>
      </w:pPr>
    </w:p>
    <w:p w14:paraId="5A3C20E8" w14:textId="77777777" w:rsidR="00084F8B" w:rsidRDefault="00084F8B" w:rsidP="008C7CE6">
      <w:pPr>
        <w:pStyle w:val="ListParagraph2"/>
        <w:tabs>
          <w:tab w:val="left" w:pos="0"/>
        </w:tabs>
        <w:spacing w:after="120"/>
        <w:ind w:left="0"/>
        <w:jc w:val="both"/>
        <w:rPr>
          <w:color w:val="000000"/>
        </w:rPr>
      </w:pPr>
      <w:r>
        <w:rPr>
          <w:color w:val="000000"/>
        </w:rPr>
        <w:t>Realizacja niniejszego zadania będzie obejmować następujące działania:</w:t>
      </w:r>
    </w:p>
    <w:p w14:paraId="4FC7569F" w14:textId="4C171068" w:rsidR="00084F8B" w:rsidRDefault="00486D9A" w:rsidP="008C7CE6">
      <w:pPr>
        <w:pStyle w:val="ListParagraph2"/>
        <w:numPr>
          <w:ilvl w:val="0"/>
          <w:numId w:val="92"/>
        </w:numPr>
        <w:tabs>
          <w:tab w:val="left" w:pos="180"/>
        </w:tabs>
        <w:spacing w:after="120"/>
        <w:jc w:val="both"/>
        <w:rPr>
          <w:color w:val="000000"/>
        </w:rPr>
      </w:pPr>
      <w:r>
        <w:rPr>
          <w:color w:val="000000"/>
        </w:rPr>
        <w:t>zaktualizowanie potrzeb</w:t>
      </w:r>
      <w:r w:rsidR="00084F8B">
        <w:rPr>
          <w:color w:val="000000"/>
        </w:rPr>
        <w:t xml:space="preserve"> poszczególnych instytucji w tym zakresie i przygotowanie programów dla wzrostu zatrudn</w:t>
      </w:r>
      <w:r w:rsidR="004A2F66">
        <w:rPr>
          <w:color w:val="000000"/>
        </w:rPr>
        <w:t>ienia oraz szkolenia kadr - 2021 r. - 2022</w:t>
      </w:r>
      <w:r w:rsidR="00084F8B">
        <w:rPr>
          <w:color w:val="000000"/>
        </w:rPr>
        <w:t xml:space="preserve"> r.;</w:t>
      </w:r>
    </w:p>
    <w:p w14:paraId="067B3263" w14:textId="6DD3CAC8" w:rsidR="00E5340B" w:rsidRDefault="00E5340B" w:rsidP="008C7CE6">
      <w:pPr>
        <w:pStyle w:val="ListParagraph2"/>
        <w:numPr>
          <w:ilvl w:val="0"/>
          <w:numId w:val="92"/>
        </w:numPr>
        <w:tabs>
          <w:tab w:val="left" w:pos="180"/>
        </w:tabs>
        <w:spacing w:after="120"/>
        <w:jc w:val="both"/>
        <w:rPr>
          <w:color w:val="000000"/>
        </w:rPr>
      </w:pPr>
      <w:r>
        <w:rPr>
          <w:color w:val="000000"/>
        </w:rPr>
        <w:t>dla ZUOP opracowany zostanie osobny program przygotowania kadr, co jest związane budową nowego składowiska odpadów promieniotwórczych nisko</w:t>
      </w:r>
      <w:r w:rsidR="007F578A">
        <w:rPr>
          <w:color w:val="000000"/>
        </w:rPr>
        <w:t>-</w:t>
      </w:r>
      <w:r>
        <w:rPr>
          <w:color w:val="000000"/>
        </w:rPr>
        <w:t xml:space="preserve"> </w:t>
      </w:r>
      <w:r w:rsidR="00486D9A">
        <w:rPr>
          <w:color w:val="000000"/>
        </w:rPr>
        <w:t>i średnio</w:t>
      </w:r>
      <w:r>
        <w:rPr>
          <w:color w:val="000000"/>
        </w:rPr>
        <w:t xml:space="preserve">aktywnych oraz procesem zamykania KSOP. Szczegóły zostaną przedstawione w Programach wieloletnich dotyczących tych działań. </w:t>
      </w:r>
    </w:p>
    <w:p w14:paraId="2D52F2A5" w14:textId="09F069AF" w:rsidR="0082336B" w:rsidRDefault="0082336B" w:rsidP="0082336B">
      <w:pPr>
        <w:pStyle w:val="ListParagraph2"/>
        <w:numPr>
          <w:ilvl w:val="0"/>
          <w:numId w:val="92"/>
        </w:numPr>
        <w:tabs>
          <w:tab w:val="left" w:pos="180"/>
        </w:tabs>
        <w:spacing w:after="120"/>
        <w:jc w:val="both"/>
        <w:rPr>
          <w:color w:val="000000"/>
        </w:rPr>
      </w:pPr>
      <w:r>
        <w:rPr>
          <w:color w:val="000000"/>
        </w:rPr>
        <w:t>realizacja wskazanych w powyższym punkcie programów -</w:t>
      </w:r>
      <w:r w:rsidR="004A2F66">
        <w:rPr>
          <w:color w:val="000000"/>
        </w:rPr>
        <w:t xml:space="preserve"> 2023</w:t>
      </w:r>
      <w:r>
        <w:rPr>
          <w:color w:val="000000"/>
        </w:rPr>
        <w:t xml:space="preserve"> r.</w:t>
      </w:r>
      <w:r w:rsidRPr="00784F93">
        <w:rPr>
          <w:color w:val="000000"/>
        </w:rPr>
        <w:t>-</w:t>
      </w:r>
      <w:r w:rsidR="004A2F66">
        <w:rPr>
          <w:color w:val="000000"/>
        </w:rPr>
        <w:t xml:space="preserve"> 2030</w:t>
      </w:r>
      <w:r>
        <w:rPr>
          <w:color w:val="000000"/>
        </w:rPr>
        <w:t xml:space="preserve"> r.,</w:t>
      </w:r>
      <w:r w:rsidRPr="0082336B">
        <w:rPr>
          <w:color w:val="000000"/>
        </w:rPr>
        <w:t xml:space="preserve"> </w:t>
      </w:r>
      <w:r>
        <w:rPr>
          <w:color w:val="000000"/>
        </w:rPr>
        <w:t>docelowo – prze</w:t>
      </w:r>
      <w:r w:rsidR="00952C94">
        <w:rPr>
          <w:color w:val="000000"/>
        </w:rPr>
        <w:t>widuje się wzrost zatrudnienia w następujących instytucjach</w:t>
      </w:r>
      <w:r w:rsidR="005C300C">
        <w:rPr>
          <w:color w:val="000000"/>
        </w:rPr>
        <w:t xml:space="preserve"> (pod warunkiem pozyskania </w:t>
      </w:r>
      <w:r w:rsidR="005C300C" w:rsidRPr="005C300C">
        <w:rPr>
          <w:color w:val="000000"/>
        </w:rPr>
        <w:t>dodatkowych środków z budżetu państwa</w:t>
      </w:r>
      <w:r w:rsidR="005C300C">
        <w:rPr>
          <w:color w:val="000000"/>
        </w:rPr>
        <w:t>)</w:t>
      </w:r>
      <w:r>
        <w:rPr>
          <w:color w:val="000000"/>
        </w:rPr>
        <w:t>:</w:t>
      </w:r>
    </w:p>
    <w:p w14:paraId="62337875" w14:textId="77777777" w:rsidR="00084F8B" w:rsidRDefault="00084F8B" w:rsidP="0082336B">
      <w:pPr>
        <w:pStyle w:val="ListParagraph2"/>
        <w:numPr>
          <w:ilvl w:val="1"/>
          <w:numId w:val="112"/>
        </w:numPr>
        <w:tabs>
          <w:tab w:val="left" w:pos="180"/>
        </w:tabs>
        <w:spacing w:after="120"/>
        <w:ind w:left="1560" w:hanging="426"/>
        <w:jc w:val="both"/>
        <w:rPr>
          <w:color w:val="000000"/>
        </w:rPr>
      </w:pPr>
      <w:r>
        <w:rPr>
          <w:color w:val="000000"/>
        </w:rPr>
        <w:t>ZUOP,</w:t>
      </w:r>
    </w:p>
    <w:p w14:paraId="211199D9" w14:textId="3B47DE78" w:rsidR="00E5340B" w:rsidRDefault="00E5340B" w:rsidP="0082336B">
      <w:pPr>
        <w:pStyle w:val="ListParagraph2"/>
        <w:numPr>
          <w:ilvl w:val="1"/>
          <w:numId w:val="112"/>
        </w:numPr>
        <w:tabs>
          <w:tab w:val="left" w:pos="180"/>
        </w:tabs>
        <w:spacing w:after="120"/>
        <w:ind w:left="1560" w:hanging="426"/>
        <w:jc w:val="both"/>
        <w:rPr>
          <w:color w:val="000000"/>
        </w:rPr>
      </w:pPr>
      <w:r>
        <w:rPr>
          <w:color w:val="000000"/>
        </w:rPr>
        <w:t>PAA,</w:t>
      </w:r>
    </w:p>
    <w:p w14:paraId="6BA11C82" w14:textId="3131499F" w:rsidR="00CB0FEA" w:rsidRDefault="0075312A" w:rsidP="0082336B">
      <w:pPr>
        <w:pStyle w:val="ListParagraph2"/>
        <w:numPr>
          <w:ilvl w:val="1"/>
          <w:numId w:val="112"/>
        </w:numPr>
        <w:tabs>
          <w:tab w:val="left" w:pos="180"/>
        </w:tabs>
        <w:spacing w:after="120"/>
        <w:ind w:left="1560" w:hanging="426"/>
        <w:jc w:val="both"/>
        <w:rPr>
          <w:color w:val="000000"/>
        </w:rPr>
      </w:pPr>
      <w:r>
        <w:rPr>
          <w:color w:val="000000"/>
        </w:rPr>
        <w:t>MK</w:t>
      </w:r>
      <w:r w:rsidR="00CB0FEA">
        <w:rPr>
          <w:color w:val="000000"/>
        </w:rPr>
        <w:t>,</w:t>
      </w:r>
    </w:p>
    <w:p w14:paraId="1ECF98AC" w14:textId="77777777" w:rsidR="00084F8B" w:rsidRDefault="00CB0FEA" w:rsidP="0082336B">
      <w:pPr>
        <w:pStyle w:val="ListParagraph2"/>
        <w:numPr>
          <w:ilvl w:val="1"/>
          <w:numId w:val="112"/>
        </w:numPr>
        <w:tabs>
          <w:tab w:val="left" w:pos="180"/>
        </w:tabs>
        <w:spacing w:after="120"/>
        <w:ind w:left="1560" w:hanging="426"/>
        <w:jc w:val="both"/>
        <w:rPr>
          <w:color w:val="000000"/>
        </w:rPr>
      </w:pPr>
      <w:r>
        <w:rPr>
          <w:color w:val="000000"/>
        </w:rPr>
        <w:t>instytuty badawcze – według potrzeb</w:t>
      </w:r>
      <w:r w:rsidR="0082336B">
        <w:rPr>
          <w:color w:val="000000"/>
        </w:rPr>
        <w:t xml:space="preserve"> i możliwości</w:t>
      </w:r>
      <w:r w:rsidR="00084F8B">
        <w:rPr>
          <w:color w:val="000000"/>
        </w:rPr>
        <w:t>.</w:t>
      </w:r>
    </w:p>
    <w:p w14:paraId="1D20B243" w14:textId="77777777" w:rsidR="00084F8B" w:rsidRDefault="00084F8B" w:rsidP="00EA0483">
      <w:r>
        <w:rPr>
          <w:color w:val="000000"/>
        </w:rPr>
        <w:br w:type="page"/>
      </w:r>
    </w:p>
    <w:p w14:paraId="0A637B86" w14:textId="77777777" w:rsidR="00084F8B" w:rsidRPr="00F30308" w:rsidRDefault="00084F8B" w:rsidP="0012437C">
      <w:pPr>
        <w:pStyle w:val="Nagwek1"/>
        <w:spacing w:before="240" w:after="240"/>
        <w:jc w:val="both"/>
      </w:pPr>
      <w:bookmarkStart w:id="84" w:name="_Toc397697014"/>
      <w:bookmarkStart w:id="85" w:name="_Toc424116700"/>
      <w:r w:rsidRPr="00F30308">
        <w:lastRenderedPageBreak/>
        <w:t xml:space="preserve">Rozdział 3. </w:t>
      </w:r>
      <w:r w:rsidRPr="00F30308">
        <w:rPr>
          <w:rFonts w:eastAsia="MS Mincho"/>
          <w:lang w:eastAsia="ja-JP"/>
        </w:rPr>
        <w:t>Ilość wypalonego paliwa jądrowego i odpadów promieniotwórczych</w:t>
      </w:r>
      <w:bookmarkEnd w:id="84"/>
      <w:bookmarkEnd w:id="85"/>
    </w:p>
    <w:p w14:paraId="25868C96" w14:textId="65AE58A8" w:rsidR="00084F8B" w:rsidRPr="00784F93" w:rsidRDefault="00084F8B" w:rsidP="00C87B85">
      <w:pPr>
        <w:spacing w:after="120"/>
        <w:ind w:firstLine="567"/>
        <w:jc w:val="both"/>
      </w:pPr>
      <w:r>
        <w:t>Największym wytwórcą stałych odpadów promieniotwórczych w Polsce jest NCBJ, gdzie powstają głównie odpady nisko- i średnioaktywne przy eksploatacji reaktora badawczego MARIA oraz w</w:t>
      </w:r>
      <w:r w:rsidRPr="00784F93">
        <w:t xml:space="preserve"> Ośr</w:t>
      </w:r>
      <w:r>
        <w:t>odku</w:t>
      </w:r>
      <w:r w:rsidRPr="00784F93">
        <w:t xml:space="preserve"> Radioizotopów </w:t>
      </w:r>
      <w:r>
        <w:t>(zakład</w:t>
      </w:r>
      <w:r w:rsidRPr="00784F93">
        <w:t xml:space="preserve"> produkuj</w:t>
      </w:r>
      <w:r>
        <w:t xml:space="preserve">ący izotopy promieniotwórcze </w:t>
      </w:r>
      <w:r w:rsidRPr="00784F93">
        <w:t>wykorzystywan</w:t>
      </w:r>
      <w:r>
        <w:t>e</w:t>
      </w:r>
      <w:r w:rsidRPr="00784F93">
        <w:t xml:space="preserve"> w medycynie</w:t>
      </w:r>
      <w:r>
        <w:t xml:space="preserve"> do diagnostyki i terapii)</w:t>
      </w:r>
      <w:r w:rsidRPr="00784F93">
        <w:t>.</w:t>
      </w:r>
      <w:r>
        <w:t xml:space="preserve"> Pozostała część tj. około </w:t>
      </w:r>
      <w:r w:rsidR="001A5810">
        <w:t>35</w:t>
      </w:r>
      <w:r>
        <w:t xml:space="preserve">% tych </w:t>
      </w:r>
      <w:r w:rsidRPr="00784F93">
        <w:t>odpadów promieniotwórczych pochodzi ze znajdujących się na terenie całego kraju szpitali, klinik i innych instytucji wykorzystujących techniki izotopowe.</w:t>
      </w:r>
    </w:p>
    <w:p w14:paraId="35CC2638" w14:textId="77777777" w:rsidR="00084F8B" w:rsidRDefault="00084F8B" w:rsidP="00C87B85">
      <w:pPr>
        <w:spacing w:after="120"/>
        <w:jc w:val="both"/>
      </w:pPr>
      <w:r>
        <w:t>Z reaktora MARIA pochodzi również wypalone paliwo jądrowe.</w:t>
      </w:r>
    </w:p>
    <w:p w14:paraId="73E2F002" w14:textId="49A6E24B" w:rsidR="00084F8B" w:rsidRPr="00784F93" w:rsidRDefault="00084F8B" w:rsidP="00C87B85">
      <w:pPr>
        <w:spacing w:after="120"/>
        <w:jc w:val="both"/>
      </w:pPr>
      <w:r w:rsidRPr="00784F93">
        <w:t>Zgodnie z ustawą</w:t>
      </w:r>
      <w:r>
        <w:t xml:space="preserve"> –</w:t>
      </w:r>
      <w:r w:rsidRPr="00BF2F5E">
        <w:t xml:space="preserve"> Prawo atomowe</w:t>
      </w:r>
      <w:r w:rsidRPr="00784F93">
        <w:t xml:space="preserve"> w Polsce prowadzony jest rejestr źródeł </w:t>
      </w:r>
      <w:r>
        <w:t>promieniotwórczych</w:t>
      </w:r>
      <w:r w:rsidRPr="00784F93">
        <w:t xml:space="preserve">. Za prowadzenie tego rejestru odpowiedzialny jest Prezes </w:t>
      </w:r>
      <w:r>
        <w:t>PAA</w:t>
      </w:r>
      <w:r w:rsidRPr="00784F93">
        <w:t xml:space="preserve">. Zgodnie z danymi PAA, </w:t>
      </w:r>
      <w:r>
        <w:t>pod</w:t>
      </w:r>
      <w:r w:rsidRPr="00784F93">
        <w:t xml:space="preserve"> koniec </w:t>
      </w:r>
      <w:r w:rsidR="00292B1C" w:rsidRPr="00784F93">
        <w:t>201</w:t>
      </w:r>
      <w:r w:rsidR="00292B1C">
        <w:t>8</w:t>
      </w:r>
      <w:r w:rsidR="00292B1C" w:rsidRPr="00784F93">
        <w:t xml:space="preserve"> </w:t>
      </w:r>
      <w:r w:rsidRPr="00784F93">
        <w:t>r</w:t>
      </w:r>
      <w:r>
        <w:t>.</w:t>
      </w:r>
      <w:r w:rsidRPr="00784F93">
        <w:t xml:space="preserve"> w Polsce</w:t>
      </w:r>
      <w:r>
        <w:t xml:space="preserve"> znajdował</w:t>
      </w:r>
      <w:r w:rsidR="007F578A">
        <w:t>o</w:t>
      </w:r>
      <w:r>
        <w:t xml:space="preserve"> się</w:t>
      </w:r>
      <w:r w:rsidRPr="00784F93">
        <w:t xml:space="preserve"> </w:t>
      </w:r>
      <w:r w:rsidR="00292B1C">
        <w:t>26</w:t>
      </w:r>
      <w:r>
        <w:t>.</w:t>
      </w:r>
      <w:r w:rsidR="00292B1C">
        <w:t>500</w:t>
      </w:r>
      <w:r w:rsidR="00292B1C" w:rsidRPr="00784F93">
        <w:t xml:space="preserve"> </w:t>
      </w:r>
      <w:r w:rsidRPr="00784F93">
        <w:t>źród</w:t>
      </w:r>
      <w:r w:rsidR="007F578A">
        <w:t>e</w:t>
      </w:r>
      <w:r>
        <w:t>ł</w:t>
      </w:r>
      <w:r w:rsidRPr="00784F93">
        <w:t xml:space="preserve"> </w:t>
      </w:r>
      <w:r>
        <w:t>promieniotwórcz</w:t>
      </w:r>
      <w:r w:rsidR="007F578A">
        <w:t>ych</w:t>
      </w:r>
      <w:r>
        <w:rPr>
          <w:rStyle w:val="Odwoanieprzypisudolnego"/>
        </w:rPr>
        <w:footnoteReference w:id="17"/>
      </w:r>
      <w:r>
        <w:t xml:space="preserve"> w eksploatacji jak i wycofan</w:t>
      </w:r>
      <w:r w:rsidR="007F578A">
        <w:t>ych</w:t>
      </w:r>
      <w:r>
        <w:t xml:space="preserve"> już z eksploatacji i przekazan</w:t>
      </w:r>
      <w:r w:rsidR="007F578A">
        <w:t>ych</w:t>
      </w:r>
      <w:r>
        <w:t xml:space="preserve"> do ZUOP.</w:t>
      </w:r>
    </w:p>
    <w:p w14:paraId="641E695F" w14:textId="5F32985A" w:rsidR="00084F8B" w:rsidRDefault="00084F8B" w:rsidP="00C87B85">
      <w:pPr>
        <w:spacing w:after="120"/>
        <w:jc w:val="both"/>
      </w:pPr>
      <w:r w:rsidRPr="00784F93">
        <w:t xml:space="preserve">W </w:t>
      </w:r>
      <w:r w:rsidR="00192B60">
        <w:t>załączniku nr 3</w:t>
      </w:r>
      <w:r w:rsidRPr="00784F93">
        <w:t xml:space="preserve"> przedstawiono bilans odpadów </w:t>
      </w:r>
      <w:r>
        <w:t xml:space="preserve">promieniotwórczych </w:t>
      </w:r>
      <w:r w:rsidRPr="00784F93">
        <w:t xml:space="preserve">odebranych </w:t>
      </w:r>
      <w:r>
        <w:t xml:space="preserve">przez ZUOP </w:t>
      </w:r>
      <w:r w:rsidRPr="00784F93">
        <w:t>do unieszkodliwiania w latach 2000-201</w:t>
      </w:r>
      <w:r w:rsidR="0075312A">
        <w:t>9</w:t>
      </w:r>
      <w:r w:rsidRPr="00784F93">
        <w:t xml:space="preserve">. </w:t>
      </w:r>
    </w:p>
    <w:p w14:paraId="262F255C" w14:textId="77777777" w:rsidR="0075312A" w:rsidRPr="0075312A" w:rsidRDefault="0075312A" w:rsidP="0075312A">
      <w:pPr>
        <w:spacing w:after="120"/>
        <w:jc w:val="both"/>
      </w:pPr>
      <w:r w:rsidRPr="0075312A">
        <w:rPr>
          <w:noProof/>
        </w:rPr>
        <w:drawing>
          <wp:inline distT="0" distB="0" distL="0" distR="0" wp14:anchorId="79B8F2EA" wp14:editId="474BF990">
            <wp:extent cx="5753100" cy="3028950"/>
            <wp:effectExtent l="0" t="0" r="0" b="0"/>
            <wp:docPr id="70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ADEDBD7" w14:textId="77777777" w:rsidR="00084F8B" w:rsidRDefault="00084F8B" w:rsidP="002B3522">
      <w:pPr>
        <w:spacing w:after="120"/>
        <w:jc w:val="both"/>
      </w:pPr>
    </w:p>
    <w:p w14:paraId="62A4B147" w14:textId="77777777" w:rsidR="00084F8B" w:rsidRPr="00F74164" w:rsidRDefault="00084F8B" w:rsidP="008D5796">
      <w:pPr>
        <w:pStyle w:val="Nagwek2"/>
      </w:pPr>
      <w:r>
        <w:rPr>
          <w:b/>
        </w:rPr>
        <w:br w:type="page"/>
      </w:r>
      <w:bookmarkStart w:id="86" w:name="_Toc397697015"/>
      <w:bookmarkStart w:id="87" w:name="_Toc424116701"/>
      <w:r>
        <w:lastRenderedPageBreak/>
        <w:t>3</w:t>
      </w:r>
      <w:r w:rsidRPr="00F74164">
        <w:t>.1</w:t>
      </w:r>
      <w:r>
        <w:t>.</w:t>
      </w:r>
      <w:r w:rsidRPr="00F74164">
        <w:t xml:space="preserve"> </w:t>
      </w:r>
      <w:r>
        <w:t>Zebrane dotychczas O</w:t>
      </w:r>
      <w:r w:rsidRPr="00F74164">
        <w:t xml:space="preserve">dpady promieniotwórcze </w:t>
      </w:r>
      <w:r>
        <w:t>n</w:t>
      </w:r>
      <w:r w:rsidRPr="00F74164">
        <w:t>isko- i średnioaktywne</w:t>
      </w:r>
      <w:bookmarkEnd w:id="86"/>
      <w:r>
        <w:t xml:space="preserve"> oraz zużyte zamknięte źródła promieniotwórcze</w:t>
      </w:r>
      <w:bookmarkEnd w:id="87"/>
    </w:p>
    <w:p w14:paraId="6331D964" w14:textId="77777777" w:rsidR="00084F8B" w:rsidRPr="00784F93" w:rsidRDefault="00084F8B" w:rsidP="006341DE">
      <w:pPr>
        <w:spacing w:before="120" w:after="120"/>
        <w:ind w:firstLine="567"/>
        <w:jc w:val="both"/>
      </w:pPr>
      <w:r w:rsidRPr="00784F93">
        <w:t>Iloś</w:t>
      </w:r>
      <w:r>
        <w:t>ci</w:t>
      </w:r>
      <w:r w:rsidRPr="00784F93">
        <w:t xml:space="preserve"> odpadów promieniotwórczych</w:t>
      </w:r>
      <w:r>
        <w:t xml:space="preserve"> i zużytych zamkniętych źródeł promieniotwórczych,</w:t>
      </w:r>
      <w:r w:rsidRPr="00784F93">
        <w:t xml:space="preserve"> zebranych </w:t>
      </w:r>
      <w:r>
        <w:t xml:space="preserve">dotychczas </w:t>
      </w:r>
      <w:r w:rsidRPr="00784F93">
        <w:t xml:space="preserve">w Polsce do tej pory i </w:t>
      </w:r>
      <w:r>
        <w:t>znajdujących się</w:t>
      </w:r>
      <w:r w:rsidRPr="00784F93">
        <w:t xml:space="preserve"> w KSO</w:t>
      </w:r>
      <w:r>
        <w:t>P w Różanie przedstawia tabela nr 3.1</w:t>
      </w:r>
      <w:r w:rsidRPr="00784F93">
        <w:t xml:space="preserve">: </w:t>
      </w:r>
    </w:p>
    <w:p w14:paraId="0A6DC10D" w14:textId="77777777" w:rsidR="00084F8B" w:rsidRDefault="00084F8B" w:rsidP="002C1173">
      <w:r>
        <w:rPr>
          <w:b/>
        </w:rPr>
        <w:t xml:space="preserve">Tabela nr 3.1. </w:t>
      </w:r>
      <w:r w:rsidRPr="00203DE5">
        <w:rPr>
          <w:b/>
        </w:rPr>
        <w:t>Ilości odpadów zebranych w Polsce (składowanych</w:t>
      </w:r>
      <w:r>
        <w:rPr>
          <w:b/>
        </w:rPr>
        <w:t xml:space="preserve"> i przechowywanych </w:t>
      </w:r>
      <w:r w:rsidRPr="00203DE5">
        <w:rPr>
          <w:b/>
        </w:rPr>
        <w:t>w KSOP- Różan)</w:t>
      </w:r>
      <w:r w:rsidRPr="00203DE5">
        <w:rPr>
          <w:rStyle w:val="Odwoanieprzypisudolnego"/>
          <w:b/>
        </w:rPr>
        <w:footnoteReference w:id="18"/>
      </w:r>
      <w:r w:rsidRPr="00203DE5">
        <w:rPr>
          <w:b/>
        </w:rPr>
        <w:t xml:space="preserve"> </w:t>
      </w: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4"/>
        <w:gridCol w:w="1984"/>
        <w:gridCol w:w="1985"/>
        <w:gridCol w:w="1701"/>
      </w:tblGrid>
      <w:tr w:rsidR="00EF6D04" w:rsidRPr="00EF6D04" w14:paraId="51B478B5" w14:textId="77777777" w:rsidTr="00D30EA0">
        <w:trPr>
          <w:trHeight w:val="300"/>
        </w:trPr>
        <w:tc>
          <w:tcPr>
            <w:tcW w:w="8804" w:type="dxa"/>
            <w:gridSpan w:val="4"/>
            <w:shd w:val="clear" w:color="auto" w:fill="92D050"/>
            <w:noWrap/>
            <w:vAlign w:val="center"/>
          </w:tcPr>
          <w:p w14:paraId="2F93BC88" w14:textId="2E309D91" w:rsidR="00EF6D04" w:rsidRPr="00EF6D04" w:rsidRDefault="00EF6D04" w:rsidP="00EF6D04">
            <w:pPr>
              <w:rPr>
                <w:b/>
                <w:bCs/>
              </w:rPr>
            </w:pPr>
            <w:r w:rsidRPr="00EF6D04">
              <w:rPr>
                <w:b/>
                <w:bCs/>
              </w:rPr>
              <w:t xml:space="preserve">Odpady w Różanie (stan na dzień 31 grudnia </w:t>
            </w:r>
            <w:r w:rsidR="00D05786">
              <w:rPr>
                <w:b/>
                <w:bCs/>
              </w:rPr>
              <w:t>2019</w:t>
            </w:r>
            <w:r w:rsidRPr="00EF6D04">
              <w:rPr>
                <w:b/>
                <w:bCs/>
              </w:rPr>
              <w:t xml:space="preserve"> r.)</w:t>
            </w:r>
          </w:p>
        </w:tc>
      </w:tr>
      <w:tr w:rsidR="00EF6D04" w:rsidRPr="00EF6D04" w14:paraId="2322BA7B" w14:textId="77777777" w:rsidTr="00D30EA0">
        <w:trPr>
          <w:trHeight w:val="840"/>
        </w:trPr>
        <w:tc>
          <w:tcPr>
            <w:tcW w:w="3134" w:type="dxa"/>
            <w:vAlign w:val="center"/>
          </w:tcPr>
          <w:p w14:paraId="1387A6A7" w14:textId="77777777" w:rsidR="00EF6D04" w:rsidRPr="00EF6D04" w:rsidRDefault="00EF6D04" w:rsidP="00EF6D04">
            <w:r w:rsidRPr="00EF6D04">
              <w:t>Obiekt</w:t>
            </w:r>
          </w:p>
        </w:tc>
        <w:tc>
          <w:tcPr>
            <w:tcW w:w="1984" w:type="dxa"/>
            <w:vAlign w:val="center"/>
          </w:tcPr>
          <w:p w14:paraId="5611018D" w14:textId="77777777" w:rsidR="00EF6D04" w:rsidRPr="00EF6D04" w:rsidRDefault="00EF6D04" w:rsidP="00EF6D04">
            <w:r w:rsidRPr="00EF6D04">
              <w:t>Objętość bez opakowania[m</w:t>
            </w:r>
            <w:r w:rsidRPr="00EF6D04">
              <w:rPr>
                <w:vertAlign w:val="superscript"/>
              </w:rPr>
              <w:t>3</w:t>
            </w:r>
            <w:r w:rsidRPr="00EF6D04">
              <w:t>]</w:t>
            </w:r>
          </w:p>
        </w:tc>
        <w:tc>
          <w:tcPr>
            <w:tcW w:w="1985" w:type="dxa"/>
            <w:vAlign w:val="center"/>
          </w:tcPr>
          <w:p w14:paraId="6575507E" w14:textId="54BC2436" w:rsidR="00EF6D04" w:rsidRPr="00EF6D04" w:rsidRDefault="00EF6D04" w:rsidP="00EF6D04">
            <w:r w:rsidRPr="00EF6D04">
              <w:t>Aktyw</w:t>
            </w:r>
            <w:r w:rsidR="00D05786">
              <w:t>ność całkowita [GBq] (31.12.2019</w:t>
            </w:r>
            <w:r w:rsidRPr="00EF6D04">
              <w:t xml:space="preserve"> r.)</w:t>
            </w:r>
          </w:p>
        </w:tc>
        <w:tc>
          <w:tcPr>
            <w:tcW w:w="1701" w:type="dxa"/>
            <w:vAlign w:val="center"/>
          </w:tcPr>
          <w:p w14:paraId="609DDC8B" w14:textId="77777777" w:rsidR="00EF6D04" w:rsidRPr="00EF6D04" w:rsidRDefault="00EF6D04" w:rsidP="00EF6D04">
            <w:r w:rsidRPr="00EF6D04">
              <w:t>Kategorie i podkategorie odpadów</w:t>
            </w:r>
          </w:p>
        </w:tc>
      </w:tr>
      <w:tr w:rsidR="00D05786" w:rsidRPr="00EF6D04" w14:paraId="5D8E1D7C" w14:textId="77777777" w:rsidTr="00D30EA0">
        <w:trPr>
          <w:trHeight w:val="300"/>
        </w:trPr>
        <w:tc>
          <w:tcPr>
            <w:tcW w:w="3134" w:type="dxa"/>
            <w:vAlign w:val="center"/>
          </w:tcPr>
          <w:p w14:paraId="0658CF70" w14:textId="77777777" w:rsidR="00D05786" w:rsidRPr="00EF6D04" w:rsidRDefault="00D05786" w:rsidP="00D05786">
            <w:r w:rsidRPr="00EF6D04">
              <w:t>Obiekt nr 1</w:t>
            </w:r>
          </w:p>
        </w:tc>
        <w:tc>
          <w:tcPr>
            <w:tcW w:w="1984" w:type="dxa"/>
            <w:noWrap/>
            <w:vAlign w:val="center"/>
          </w:tcPr>
          <w:p w14:paraId="181AAB7F" w14:textId="77777777" w:rsidR="00D05786" w:rsidRPr="00EF6D04" w:rsidRDefault="00D05786" w:rsidP="00D05786">
            <w:r w:rsidRPr="00EF6D04">
              <w:t>805,5</w:t>
            </w:r>
          </w:p>
        </w:tc>
        <w:tc>
          <w:tcPr>
            <w:tcW w:w="1985" w:type="dxa"/>
            <w:noWrap/>
            <w:vAlign w:val="center"/>
          </w:tcPr>
          <w:p w14:paraId="5231D644" w14:textId="63751BB5" w:rsidR="00D05786" w:rsidRPr="00EF6D04" w:rsidRDefault="00D05786" w:rsidP="00D05786">
            <w:r w:rsidRPr="00EF6D04">
              <w:t>14</w:t>
            </w:r>
            <w:r>
              <w:t> 004,7</w:t>
            </w:r>
          </w:p>
        </w:tc>
        <w:tc>
          <w:tcPr>
            <w:tcW w:w="1701" w:type="dxa"/>
            <w:vMerge w:val="restart"/>
            <w:vAlign w:val="center"/>
          </w:tcPr>
          <w:p w14:paraId="5CF5D235" w14:textId="77777777" w:rsidR="00D05786" w:rsidRPr="00EF6D04" w:rsidRDefault="00D05786" w:rsidP="00D05786">
            <w:r w:rsidRPr="00EF6D04">
              <w:t xml:space="preserve">Odpady promieniotwórcze długożyciowe niskoaktywne </w:t>
            </w:r>
          </w:p>
        </w:tc>
      </w:tr>
      <w:tr w:rsidR="00D05786" w:rsidRPr="00EF6D04" w14:paraId="6C7061BE" w14:textId="77777777" w:rsidTr="00D30EA0">
        <w:trPr>
          <w:trHeight w:val="280"/>
        </w:trPr>
        <w:tc>
          <w:tcPr>
            <w:tcW w:w="3134" w:type="dxa"/>
            <w:vAlign w:val="center"/>
          </w:tcPr>
          <w:p w14:paraId="300DFCE8" w14:textId="77777777" w:rsidR="00D05786" w:rsidRPr="00EF6D04" w:rsidRDefault="00D05786" w:rsidP="00D05786">
            <w:r w:rsidRPr="00EF6D04">
              <w:t>Obiekt nr 8a</w:t>
            </w:r>
          </w:p>
        </w:tc>
        <w:tc>
          <w:tcPr>
            <w:tcW w:w="1984" w:type="dxa"/>
            <w:noWrap/>
            <w:vAlign w:val="center"/>
          </w:tcPr>
          <w:p w14:paraId="23AC2879" w14:textId="77777777" w:rsidR="00D05786" w:rsidRPr="00EF6D04" w:rsidRDefault="00D05786" w:rsidP="00D05786">
            <w:r w:rsidRPr="00EF6D04">
              <w:t>3,7</w:t>
            </w:r>
          </w:p>
        </w:tc>
        <w:tc>
          <w:tcPr>
            <w:tcW w:w="1985" w:type="dxa"/>
            <w:noWrap/>
            <w:vAlign w:val="center"/>
          </w:tcPr>
          <w:p w14:paraId="1E997BC8" w14:textId="1AA26852" w:rsidR="00D05786" w:rsidRPr="00EF6D04" w:rsidRDefault="00D05786" w:rsidP="00D05786">
            <w:r>
              <w:t>756,8</w:t>
            </w:r>
          </w:p>
        </w:tc>
        <w:tc>
          <w:tcPr>
            <w:tcW w:w="1701" w:type="dxa"/>
            <w:vMerge/>
            <w:vAlign w:val="center"/>
          </w:tcPr>
          <w:p w14:paraId="012E68A0" w14:textId="77777777" w:rsidR="00D05786" w:rsidRPr="00EF6D04" w:rsidRDefault="00D05786" w:rsidP="00D05786"/>
        </w:tc>
      </w:tr>
      <w:tr w:rsidR="00D05786" w:rsidRPr="00EF6D04" w14:paraId="6DDB39CB" w14:textId="77777777" w:rsidTr="00D30EA0">
        <w:trPr>
          <w:trHeight w:val="280"/>
        </w:trPr>
        <w:tc>
          <w:tcPr>
            <w:tcW w:w="3134" w:type="dxa"/>
            <w:vAlign w:val="center"/>
          </w:tcPr>
          <w:p w14:paraId="2E62A8E4" w14:textId="77777777" w:rsidR="00D05786" w:rsidRPr="00EF6D04" w:rsidRDefault="00D05786" w:rsidP="00D05786">
            <w:r w:rsidRPr="00EF6D04">
              <w:t>Obiekt nr 2</w:t>
            </w:r>
          </w:p>
        </w:tc>
        <w:tc>
          <w:tcPr>
            <w:tcW w:w="1984" w:type="dxa"/>
            <w:noWrap/>
            <w:vAlign w:val="center"/>
          </w:tcPr>
          <w:p w14:paraId="19F60361" w14:textId="77777777" w:rsidR="00D05786" w:rsidRPr="00EF6D04" w:rsidRDefault="00D05786" w:rsidP="00D05786">
            <w:r w:rsidRPr="00EF6D04">
              <w:t>46,9</w:t>
            </w:r>
          </w:p>
        </w:tc>
        <w:tc>
          <w:tcPr>
            <w:tcW w:w="1985" w:type="dxa"/>
            <w:noWrap/>
            <w:vAlign w:val="center"/>
          </w:tcPr>
          <w:p w14:paraId="0DEC5DD5" w14:textId="14576D19" w:rsidR="00D05786" w:rsidRPr="00EF6D04" w:rsidRDefault="00D05786" w:rsidP="00D05786">
            <w:r>
              <w:t>342,9</w:t>
            </w:r>
          </w:p>
        </w:tc>
        <w:tc>
          <w:tcPr>
            <w:tcW w:w="1701" w:type="dxa"/>
            <w:vMerge/>
            <w:vAlign w:val="center"/>
          </w:tcPr>
          <w:p w14:paraId="3FD873B2" w14:textId="77777777" w:rsidR="00D05786" w:rsidRPr="00EF6D04" w:rsidRDefault="00D05786" w:rsidP="00D05786"/>
        </w:tc>
      </w:tr>
      <w:tr w:rsidR="00D05786" w:rsidRPr="00EF6D04" w14:paraId="2F39053E" w14:textId="77777777" w:rsidTr="00D30EA0">
        <w:trPr>
          <w:trHeight w:val="280"/>
        </w:trPr>
        <w:tc>
          <w:tcPr>
            <w:tcW w:w="3134" w:type="dxa"/>
            <w:vAlign w:val="center"/>
          </w:tcPr>
          <w:p w14:paraId="0E45218D" w14:textId="77777777" w:rsidR="00D05786" w:rsidRPr="00EF6D04" w:rsidRDefault="00D05786" w:rsidP="00D05786">
            <w:r w:rsidRPr="00EF6D04">
              <w:t>Obiekt nr 3</w:t>
            </w:r>
          </w:p>
        </w:tc>
        <w:tc>
          <w:tcPr>
            <w:tcW w:w="1984" w:type="dxa"/>
            <w:noWrap/>
            <w:vAlign w:val="center"/>
          </w:tcPr>
          <w:p w14:paraId="0D24DAFE" w14:textId="77777777" w:rsidR="00D05786" w:rsidRPr="00EF6D04" w:rsidRDefault="00D05786" w:rsidP="00D05786">
            <w:r w:rsidRPr="00EF6D04">
              <w:t>530,5</w:t>
            </w:r>
          </w:p>
        </w:tc>
        <w:tc>
          <w:tcPr>
            <w:tcW w:w="1985" w:type="dxa"/>
            <w:noWrap/>
            <w:vAlign w:val="center"/>
          </w:tcPr>
          <w:p w14:paraId="59F201A9" w14:textId="393EF1F3" w:rsidR="00D05786" w:rsidRPr="00EF6D04" w:rsidRDefault="00D05786" w:rsidP="00D05786">
            <w:r>
              <w:t>2 449,0</w:t>
            </w:r>
          </w:p>
        </w:tc>
        <w:tc>
          <w:tcPr>
            <w:tcW w:w="1701" w:type="dxa"/>
            <w:vMerge/>
            <w:vAlign w:val="center"/>
          </w:tcPr>
          <w:p w14:paraId="3436A3DC" w14:textId="77777777" w:rsidR="00D05786" w:rsidRPr="00EF6D04" w:rsidRDefault="00D05786" w:rsidP="00D05786"/>
        </w:tc>
      </w:tr>
      <w:tr w:rsidR="00D05786" w:rsidRPr="00EF6D04" w14:paraId="245BFCEE" w14:textId="77777777" w:rsidTr="00D30EA0">
        <w:trPr>
          <w:trHeight w:val="345"/>
        </w:trPr>
        <w:tc>
          <w:tcPr>
            <w:tcW w:w="3134" w:type="dxa"/>
            <w:vAlign w:val="center"/>
          </w:tcPr>
          <w:p w14:paraId="398AD897" w14:textId="77777777" w:rsidR="00D05786" w:rsidRPr="00EF6D04" w:rsidRDefault="00D05786" w:rsidP="00D05786">
            <w:pPr>
              <w:rPr>
                <w:bCs/>
              </w:rPr>
            </w:pPr>
            <w:r w:rsidRPr="00EF6D04">
              <w:rPr>
                <w:bCs/>
              </w:rPr>
              <w:t>Razem: Obiekt nr 1, 2, 3 i 8a</w:t>
            </w:r>
          </w:p>
        </w:tc>
        <w:tc>
          <w:tcPr>
            <w:tcW w:w="1984" w:type="dxa"/>
            <w:noWrap/>
            <w:vAlign w:val="center"/>
          </w:tcPr>
          <w:p w14:paraId="1EA3F41F" w14:textId="77777777" w:rsidR="00D05786" w:rsidRPr="00EF6D04" w:rsidRDefault="00D05786" w:rsidP="00D05786">
            <w:pPr>
              <w:rPr>
                <w:bCs/>
              </w:rPr>
            </w:pPr>
            <w:r w:rsidRPr="00EF6D04">
              <w:rPr>
                <w:bCs/>
              </w:rPr>
              <w:t>1 386,6</w:t>
            </w:r>
          </w:p>
        </w:tc>
        <w:tc>
          <w:tcPr>
            <w:tcW w:w="1985" w:type="dxa"/>
            <w:noWrap/>
            <w:vAlign w:val="center"/>
          </w:tcPr>
          <w:p w14:paraId="12D905E2" w14:textId="024DE145" w:rsidR="00D05786" w:rsidRPr="00EF6D04" w:rsidRDefault="00D05786" w:rsidP="00D05786">
            <w:pPr>
              <w:rPr>
                <w:bCs/>
              </w:rPr>
            </w:pPr>
            <w:r>
              <w:rPr>
                <w:bCs/>
              </w:rPr>
              <w:t>17 553,3</w:t>
            </w:r>
          </w:p>
        </w:tc>
        <w:tc>
          <w:tcPr>
            <w:tcW w:w="1701" w:type="dxa"/>
            <w:vMerge/>
            <w:vAlign w:val="center"/>
          </w:tcPr>
          <w:p w14:paraId="2AC3608E" w14:textId="77777777" w:rsidR="00D05786" w:rsidRPr="00EF6D04" w:rsidRDefault="00D05786" w:rsidP="00D05786"/>
        </w:tc>
      </w:tr>
      <w:tr w:rsidR="00D05786" w:rsidRPr="00EF6D04" w14:paraId="32FA0E6C" w14:textId="77777777" w:rsidTr="00D30EA0">
        <w:trPr>
          <w:trHeight w:val="280"/>
        </w:trPr>
        <w:tc>
          <w:tcPr>
            <w:tcW w:w="3134" w:type="dxa"/>
            <w:vAlign w:val="center"/>
          </w:tcPr>
          <w:p w14:paraId="78030C07" w14:textId="77777777" w:rsidR="00D05786" w:rsidRPr="00EF6D04" w:rsidRDefault="00D05786" w:rsidP="00D05786">
            <w:pPr>
              <w:rPr>
                <w:bCs/>
              </w:rPr>
            </w:pPr>
            <w:r w:rsidRPr="00EF6D04">
              <w:rPr>
                <w:bCs/>
              </w:rPr>
              <w:t>Obiekt nr 3a (źródła)</w:t>
            </w:r>
          </w:p>
        </w:tc>
        <w:tc>
          <w:tcPr>
            <w:tcW w:w="1984" w:type="dxa"/>
            <w:noWrap/>
            <w:vAlign w:val="center"/>
          </w:tcPr>
          <w:p w14:paraId="27F15305" w14:textId="1B4A8644" w:rsidR="00D05786" w:rsidRPr="00EF6D04" w:rsidRDefault="00D05786" w:rsidP="00D05786">
            <w:pPr>
              <w:rPr>
                <w:bCs/>
              </w:rPr>
            </w:pPr>
            <w:r w:rsidRPr="00EF6D04">
              <w:rPr>
                <w:bCs/>
              </w:rPr>
              <w:t>1,</w:t>
            </w:r>
            <w:r>
              <w:rPr>
                <w:bCs/>
              </w:rPr>
              <w:t>9</w:t>
            </w:r>
          </w:p>
        </w:tc>
        <w:tc>
          <w:tcPr>
            <w:tcW w:w="1985" w:type="dxa"/>
            <w:noWrap/>
            <w:vAlign w:val="center"/>
          </w:tcPr>
          <w:p w14:paraId="700A9EA3" w14:textId="0928493B" w:rsidR="00D05786" w:rsidRPr="00EF6D04" w:rsidRDefault="00D05786" w:rsidP="00D05786">
            <w:pPr>
              <w:rPr>
                <w:bCs/>
              </w:rPr>
            </w:pPr>
            <w:r>
              <w:rPr>
                <w:bCs/>
              </w:rPr>
              <w:t>5 627,5</w:t>
            </w:r>
          </w:p>
        </w:tc>
        <w:tc>
          <w:tcPr>
            <w:tcW w:w="1701" w:type="dxa"/>
            <w:vAlign w:val="center"/>
          </w:tcPr>
          <w:p w14:paraId="6274B96A" w14:textId="5B29FF94" w:rsidR="00D05786" w:rsidRPr="00EF6D04" w:rsidRDefault="00D05786" w:rsidP="00D05786">
            <w:r w:rsidRPr="00EF6D04">
              <w:t>Zużyte zamknięte źródła nisko</w:t>
            </w:r>
            <w:r>
              <w:t>-</w:t>
            </w:r>
            <w:r w:rsidRPr="00EF6D04">
              <w:t xml:space="preserve"> i średnioaktywne krótkożyciowe</w:t>
            </w:r>
          </w:p>
        </w:tc>
      </w:tr>
      <w:tr w:rsidR="00D05786" w:rsidRPr="00EF6D04" w14:paraId="7A792818" w14:textId="77777777" w:rsidTr="00D30EA0">
        <w:trPr>
          <w:trHeight w:val="280"/>
        </w:trPr>
        <w:tc>
          <w:tcPr>
            <w:tcW w:w="3134" w:type="dxa"/>
            <w:vAlign w:val="center"/>
          </w:tcPr>
          <w:p w14:paraId="3E0802D3" w14:textId="77777777" w:rsidR="00D05786" w:rsidRPr="00EF6D04" w:rsidRDefault="00D05786" w:rsidP="00D05786">
            <w:r w:rsidRPr="00EF6D04">
              <w:t>Obiekt nr 8</w:t>
            </w:r>
          </w:p>
        </w:tc>
        <w:tc>
          <w:tcPr>
            <w:tcW w:w="1984" w:type="dxa"/>
            <w:noWrap/>
            <w:vAlign w:val="center"/>
          </w:tcPr>
          <w:p w14:paraId="54613E54" w14:textId="336127A8" w:rsidR="00D05786" w:rsidRPr="00EF6D04" w:rsidRDefault="00D05786" w:rsidP="00D05786">
            <w:r w:rsidRPr="00D05786">
              <w:t>2 706,7</w:t>
            </w:r>
          </w:p>
        </w:tc>
        <w:tc>
          <w:tcPr>
            <w:tcW w:w="1985" w:type="dxa"/>
            <w:noWrap/>
            <w:vAlign w:val="center"/>
          </w:tcPr>
          <w:p w14:paraId="31A10903" w14:textId="0789B26A" w:rsidR="00D05786" w:rsidRPr="00EF6D04" w:rsidRDefault="00D05786" w:rsidP="00D05786">
            <w:r>
              <w:t>24 456,3</w:t>
            </w:r>
          </w:p>
        </w:tc>
        <w:tc>
          <w:tcPr>
            <w:tcW w:w="1701" w:type="dxa"/>
            <w:vAlign w:val="center"/>
          </w:tcPr>
          <w:p w14:paraId="09E39288" w14:textId="77777777" w:rsidR="00D05786" w:rsidRPr="00EF6D04" w:rsidRDefault="00D05786" w:rsidP="00D05786">
            <w:r w:rsidRPr="00EF6D04">
              <w:t xml:space="preserve">Odpady promieniotwórcze niskoaktywne krótkożyciowe </w:t>
            </w:r>
          </w:p>
        </w:tc>
      </w:tr>
      <w:tr w:rsidR="00EF6D04" w:rsidRPr="00EF6D04" w14:paraId="5B2D86F2" w14:textId="77777777" w:rsidTr="00D30EA0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8804" w:type="dxa"/>
            <w:gridSpan w:val="4"/>
          </w:tcPr>
          <w:p w14:paraId="150425DF" w14:textId="5DA867E1" w:rsidR="00EF6D04" w:rsidRPr="00EF6D04" w:rsidRDefault="00EF6D04" w:rsidP="00D05786">
            <w:pPr>
              <w:rPr>
                <w:b/>
              </w:rPr>
            </w:pPr>
            <w:r w:rsidRPr="00EF6D04">
              <w:rPr>
                <w:b/>
              </w:rPr>
              <w:t xml:space="preserve">RAZEM W KSOP RÓŻAN: </w:t>
            </w:r>
            <w:r w:rsidR="00D05786" w:rsidRPr="00D05786">
              <w:rPr>
                <w:b/>
              </w:rPr>
              <w:t xml:space="preserve">4 095,2 </w:t>
            </w:r>
            <w:r w:rsidRPr="00EF6D04">
              <w:rPr>
                <w:b/>
              </w:rPr>
              <w:t>m</w:t>
            </w:r>
            <w:r w:rsidRPr="00EF6D04">
              <w:rPr>
                <w:b/>
                <w:vertAlign w:val="superscript"/>
              </w:rPr>
              <w:t>3</w:t>
            </w:r>
            <w:r w:rsidRPr="00EF6D04">
              <w:rPr>
                <w:b/>
              </w:rPr>
              <w:t xml:space="preserve"> odpadów promieniotwórczych   </w:t>
            </w:r>
          </w:p>
        </w:tc>
      </w:tr>
    </w:tbl>
    <w:p w14:paraId="7C9ECED2" w14:textId="77777777" w:rsidR="00EF6D04" w:rsidRDefault="00EF6D04" w:rsidP="002C1173"/>
    <w:p w14:paraId="7371577B" w14:textId="7197B559" w:rsidR="00084F8B" w:rsidRDefault="00084F8B" w:rsidP="00E60B0D">
      <w:pPr>
        <w:spacing w:before="240" w:after="240"/>
        <w:jc w:val="both"/>
      </w:pPr>
      <w:r w:rsidRPr="00C87B85">
        <w:t>W magazynie ZUOP w Otwocku</w:t>
      </w:r>
      <w:r w:rsidR="00EF6D04">
        <w:t>-Świerk</w:t>
      </w:r>
      <w:r w:rsidR="002642B8">
        <w:t>u</w:t>
      </w:r>
      <w:r w:rsidR="00EF6D04">
        <w:t xml:space="preserve"> jest przechowywanych 75</w:t>
      </w:r>
      <w:r w:rsidRPr="00C87B85">
        <w:t xml:space="preserve"> zużytych zamkniętych źródeł promieniotwórczych wysokoaktywnych</w:t>
      </w:r>
      <w:r w:rsidR="00C070E1">
        <w:t xml:space="preserve"> pochodzących z zastosowań medycznych</w:t>
      </w:r>
      <w:r w:rsidR="0037072D">
        <w:t xml:space="preserve"> i naukowych</w:t>
      </w:r>
      <w:r w:rsidR="004E296B">
        <w:t>.</w:t>
      </w:r>
      <w:r w:rsidRPr="00C87B85">
        <w:t xml:space="preserve"> </w:t>
      </w:r>
    </w:p>
    <w:p w14:paraId="37861D6D" w14:textId="77777777" w:rsidR="00D05786" w:rsidRPr="00C21890" w:rsidRDefault="00D05786" w:rsidP="00D05786">
      <w:pPr>
        <w:spacing w:before="240" w:after="240"/>
        <w:jc w:val="both"/>
      </w:pPr>
      <w:r w:rsidRPr="00C21890">
        <w:rPr>
          <w:noProof/>
        </w:rPr>
        <w:drawing>
          <wp:inline distT="0" distB="0" distL="0" distR="0" wp14:anchorId="2F23AF86" wp14:editId="071161C1">
            <wp:extent cx="5605670" cy="2896870"/>
            <wp:effectExtent l="0" t="0" r="14605" b="17780"/>
            <wp:docPr id="71" name="Obi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466ABFF" w14:textId="77777777" w:rsidR="00084F8B" w:rsidRPr="00F74164" w:rsidRDefault="00084F8B" w:rsidP="008D5796">
      <w:pPr>
        <w:pStyle w:val="Nagwek2"/>
      </w:pPr>
      <w:bookmarkStart w:id="88" w:name="_Toc397697016"/>
      <w:bookmarkStart w:id="89" w:name="_Toc424116702"/>
      <w:r>
        <w:lastRenderedPageBreak/>
        <w:t>3</w:t>
      </w:r>
      <w:r w:rsidRPr="00F74164">
        <w:t>.2</w:t>
      </w:r>
      <w:r>
        <w:t>.</w:t>
      </w:r>
      <w:r w:rsidRPr="00F74164">
        <w:t xml:space="preserve"> Prognoz</w:t>
      </w:r>
      <w:r>
        <w:t>a</w:t>
      </w:r>
      <w:r w:rsidRPr="00F74164">
        <w:t xml:space="preserve"> ilości odpadów promieniotwórczych</w:t>
      </w:r>
      <w:r>
        <w:t xml:space="preserve"> z zastosowań medycznych, naukowych i przemysłowych (spoza sektora energetyki jądrowej)</w:t>
      </w:r>
      <w:bookmarkEnd w:id="88"/>
      <w:bookmarkEnd w:id="89"/>
    </w:p>
    <w:p w14:paraId="31E13F5D" w14:textId="4E439284" w:rsidR="00084F8B" w:rsidRPr="00784F93" w:rsidRDefault="00084F8B" w:rsidP="00C87B85">
      <w:pPr>
        <w:spacing w:before="120" w:after="120"/>
        <w:ind w:firstLine="567"/>
        <w:jc w:val="both"/>
      </w:pPr>
      <w:r w:rsidRPr="00784F93">
        <w:t xml:space="preserve">Na potrzeby </w:t>
      </w:r>
      <w:r>
        <w:t>Krajowego p</w:t>
      </w:r>
      <w:r w:rsidRPr="00784F93">
        <w:t xml:space="preserve">lanu ZUOP dokonał oszacowania ilości odpadów </w:t>
      </w:r>
      <w:r>
        <w:t>z zastosowań medycznych, naukowych i przemysłowych</w:t>
      </w:r>
      <w:r w:rsidDel="00DE751D">
        <w:t xml:space="preserve"> </w:t>
      </w:r>
      <w:r>
        <w:t>(spoza sektora energetyki jądrowej)</w:t>
      </w:r>
      <w:r w:rsidR="00D543D3">
        <w:t xml:space="preserve"> od 2020</w:t>
      </w:r>
      <w:r>
        <w:t xml:space="preserve"> r.</w:t>
      </w:r>
      <w:r w:rsidRPr="00784F93">
        <w:t>:</w:t>
      </w:r>
    </w:p>
    <w:p w14:paraId="29489194" w14:textId="75339206" w:rsidR="00084F8B" w:rsidRPr="00784F93" w:rsidRDefault="00290CCB" w:rsidP="0000292C">
      <w:pPr>
        <w:numPr>
          <w:ilvl w:val="0"/>
          <w:numId w:val="38"/>
        </w:numPr>
        <w:tabs>
          <w:tab w:val="clear" w:pos="1080"/>
          <w:tab w:val="num" w:pos="709"/>
        </w:tabs>
        <w:spacing w:before="120" w:after="120"/>
        <w:ind w:left="709" w:hanging="283"/>
        <w:jc w:val="both"/>
      </w:pPr>
      <w:r>
        <w:t>do 203</w:t>
      </w:r>
      <w:r w:rsidR="00C50CF3">
        <w:t>2</w:t>
      </w:r>
      <w:r w:rsidR="00084F8B">
        <w:t xml:space="preserve"> r. przewiduje się następujące ilości odpadów promieniotwórczych:</w:t>
      </w:r>
    </w:p>
    <w:p w14:paraId="6005967B" w14:textId="128C935E" w:rsidR="00084F8B" w:rsidRPr="00B025CA" w:rsidRDefault="00084F8B" w:rsidP="001D569B">
      <w:pPr>
        <w:numPr>
          <w:ilvl w:val="0"/>
          <w:numId w:val="111"/>
        </w:numPr>
        <w:spacing w:before="120" w:after="120"/>
        <w:ind w:left="1418" w:hanging="338"/>
        <w:jc w:val="both"/>
      </w:pPr>
      <w:r w:rsidRPr="00B025CA">
        <w:t xml:space="preserve">odpady promieniotwórcze stałe krótkożyciowe nisko- i średnioaktywne: 40 </w:t>
      </w:r>
      <w:r w:rsidRPr="00B025CA">
        <w:rPr>
          <w:rFonts w:eastAsia="MS Mincho"/>
          <w:lang w:eastAsia="ja-JP"/>
        </w:rPr>
        <w:t>m</w:t>
      </w:r>
      <w:r w:rsidRPr="00B025CA">
        <w:rPr>
          <w:rFonts w:eastAsia="MS Mincho"/>
          <w:vertAlign w:val="superscript"/>
          <w:lang w:eastAsia="ja-JP"/>
        </w:rPr>
        <w:t>3</w:t>
      </w:r>
      <w:r w:rsidRPr="00B025CA">
        <w:t xml:space="preserve"> rocznie, co daje łącznie </w:t>
      </w:r>
      <w:r w:rsidR="00D543D3" w:rsidRPr="00B025CA">
        <w:t>52</w:t>
      </w:r>
      <w:r w:rsidRPr="00B025CA">
        <w:t xml:space="preserve">0 </w:t>
      </w:r>
      <w:r w:rsidRPr="00B025CA">
        <w:rPr>
          <w:rFonts w:eastAsia="MS Mincho"/>
          <w:lang w:eastAsia="ja-JP"/>
        </w:rPr>
        <w:t>m</w:t>
      </w:r>
      <w:r w:rsidRPr="00B025CA">
        <w:rPr>
          <w:rFonts w:eastAsia="MS Mincho"/>
          <w:vertAlign w:val="superscript"/>
          <w:lang w:eastAsia="ja-JP"/>
        </w:rPr>
        <w:t>3</w:t>
      </w:r>
      <w:r w:rsidRPr="00B025CA">
        <w:t>,</w:t>
      </w:r>
    </w:p>
    <w:p w14:paraId="516AE3F8" w14:textId="764E1CC1" w:rsidR="00084F8B" w:rsidRPr="00784F93" w:rsidRDefault="00084F8B" w:rsidP="001D569B">
      <w:pPr>
        <w:numPr>
          <w:ilvl w:val="0"/>
          <w:numId w:val="111"/>
        </w:numPr>
        <w:spacing w:before="120" w:after="120"/>
        <w:ind w:left="1418" w:hanging="338"/>
        <w:jc w:val="both"/>
      </w:pPr>
      <w:r w:rsidRPr="006A508A">
        <w:t xml:space="preserve">odpady promieniotwórcze </w:t>
      </w:r>
      <w:r w:rsidRPr="00784F93">
        <w:t>stałe długożyciowe</w:t>
      </w:r>
      <w:r>
        <w:t xml:space="preserve"> niskoaktywne</w:t>
      </w:r>
      <w:r w:rsidRPr="00784F93">
        <w:t xml:space="preserve">: 2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</w:t>
      </w:r>
      <w:r>
        <w:t xml:space="preserve">rocznie, co daje łącznie </w:t>
      </w:r>
      <w:r w:rsidRPr="00784F93">
        <w:t>2</w:t>
      </w:r>
      <w:r w:rsidR="00D543D3">
        <w:t>6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>
        <w:t>.</w:t>
      </w:r>
    </w:p>
    <w:p w14:paraId="0CB88188" w14:textId="77777777" w:rsidR="00084F8B" w:rsidRPr="00784F93" w:rsidRDefault="00084F8B" w:rsidP="00352D1C">
      <w:pPr>
        <w:spacing w:before="120" w:after="120"/>
        <w:ind w:left="1134"/>
        <w:jc w:val="both"/>
      </w:pPr>
      <w:r w:rsidRPr="00784F93">
        <w:t xml:space="preserve">Odpady </w:t>
      </w:r>
      <w:r w:rsidRPr="006A508A">
        <w:t xml:space="preserve">promieniotwórcze </w:t>
      </w:r>
      <w:r w:rsidRPr="00784F93">
        <w:t xml:space="preserve">stałe </w:t>
      </w:r>
      <w:r>
        <w:t>krótkożyciowe</w:t>
      </w:r>
      <w:r w:rsidRPr="00784F93">
        <w:t xml:space="preserve"> nisko- i średnioaktywne będą składowane w</w:t>
      </w:r>
      <w:r>
        <w:t> </w:t>
      </w:r>
      <w:r w:rsidRPr="00784F93">
        <w:t>istniejącym KSOP w Różanie. Natomiast odpady długożyciowe</w:t>
      </w:r>
      <w:r>
        <w:t xml:space="preserve"> nisko- i średnioaktywne</w:t>
      </w:r>
      <w:r w:rsidR="00A010C9">
        <w:t xml:space="preserve"> </w:t>
      </w:r>
      <w:r w:rsidRPr="00784F93">
        <w:t>zostaną tam umieszczone czasowo</w:t>
      </w:r>
      <w:r>
        <w:t>, tj. do czasu zamknięcia</w:t>
      </w:r>
      <w:r w:rsidRPr="00235D26">
        <w:t xml:space="preserve"> </w:t>
      </w:r>
      <w:r w:rsidRPr="00784F93">
        <w:t>KSOP w Różanie</w:t>
      </w:r>
      <w:r>
        <w:t>.</w:t>
      </w:r>
      <w:r w:rsidRPr="00784F93">
        <w:t xml:space="preserve"> </w:t>
      </w:r>
      <w:r>
        <w:t>Potem zostaną</w:t>
      </w:r>
      <w:r w:rsidRPr="00784F93">
        <w:t xml:space="preserve"> </w:t>
      </w:r>
      <w:r>
        <w:t>one przeniesione w celu przechowania do NSPOP do czasu uruchomienia SGOP</w:t>
      </w:r>
      <w:r w:rsidRPr="00784F93">
        <w:t xml:space="preserve">, </w:t>
      </w:r>
      <w:r>
        <w:t>gdzie zostaną przeniesione do składowania.</w:t>
      </w:r>
    </w:p>
    <w:p w14:paraId="1D4DE91E" w14:textId="0717EF8A" w:rsidR="00084F8B" w:rsidRPr="00784F93" w:rsidRDefault="00084F8B" w:rsidP="0000292C">
      <w:pPr>
        <w:numPr>
          <w:ilvl w:val="0"/>
          <w:numId w:val="38"/>
        </w:numPr>
        <w:tabs>
          <w:tab w:val="clear" w:pos="1080"/>
          <w:tab w:val="num" w:pos="709"/>
        </w:tabs>
        <w:spacing w:before="120" w:after="120"/>
        <w:ind w:left="709" w:hanging="283"/>
        <w:jc w:val="both"/>
      </w:pPr>
      <w:r>
        <w:t>W</w:t>
      </w:r>
      <w:r w:rsidRPr="00784F93">
        <w:t xml:space="preserve"> latach </w:t>
      </w:r>
      <w:r>
        <w:t xml:space="preserve">od </w:t>
      </w:r>
      <w:r w:rsidR="00290CCB">
        <w:t>203</w:t>
      </w:r>
      <w:r w:rsidR="00C50CF3">
        <w:t>3</w:t>
      </w:r>
      <w:r>
        <w:t xml:space="preserve"> r. do </w:t>
      </w:r>
      <w:r w:rsidR="00290CCB">
        <w:t>205</w:t>
      </w:r>
      <w:r w:rsidR="00C50CF3">
        <w:t>0</w:t>
      </w:r>
      <w:r>
        <w:t xml:space="preserve"> r. przewiduje się następujące ilości odpadów </w:t>
      </w:r>
      <w:r w:rsidR="00486D9A">
        <w:t>promieniotwórczych:</w:t>
      </w:r>
    </w:p>
    <w:p w14:paraId="50F4EBE7" w14:textId="5AAB2F37" w:rsidR="00084F8B" w:rsidRPr="00784F93" w:rsidRDefault="00084F8B" w:rsidP="001D569B">
      <w:pPr>
        <w:numPr>
          <w:ilvl w:val="0"/>
          <w:numId w:val="113"/>
        </w:numPr>
        <w:spacing w:before="120" w:after="120"/>
        <w:ind w:left="1418" w:hanging="284"/>
        <w:jc w:val="both"/>
      </w:pPr>
      <w:r w:rsidRPr="006A508A">
        <w:t xml:space="preserve">odpady promieniotwórcze </w:t>
      </w:r>
      <w:r w:rsidRPr="00784F93">
        <w:t xml:space="preserve">stałe </w:t>
      </w:r>
      <w:r>
        <w:t>krótkożyciowe</w:t>
      </w:r>
      <w:r w:rsidRPr="00784F93">
        <w:t xml:space="preserve"> nisko- i średnioaktywne:</w:t>
      </w:r>
      <w:r>
        <w:t xml:space="preserve"> </w:t>
      </w:r>
      <w:r w:rsidRPr="00784F93">
        <w:t xml:space="preserve">40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</w:t>
      </w:r>
      <w:r>
        <w:t xml:space="preserve">rocznie, co daje łącznie </w:t>
      </w:r>
      <w:r w:rsidRPr="00784F93">
        <w:t>1.</w:t>
      </w:r>
      <w:r w:rsidR="003729C4">
        <w:t>120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>
        <w:t>,</w:t>
      </w:r>
    </w:p>
    <w:p w14:paraId="5F0AEC1C" w14:textId="053C4D1C" w:rsidR="00084F8B" w:rsidRPr="00784F93" w:rsidRDefault="00084F8B" w:rsidP="001D569B">
      <w:pPr>
        <w:numPr>
          <w:ilvl w:val="0"/>
          <w:numId w:val="113"/>
        </w:numPr>
        <w:spacing w:before="120" w:after="120"/>
        <w:ind w:left="1418" w:hanging="284"/>
        <w:jc w:val="both"/>
      </w:pPr>
      <w:r w:rsidRPr="006A508A">
        <w:t xml:space="preserve">odpady promieniotwórcze </w:t>
      </w:r>
      <w:r w:rsidRPr="00784F93">
        <w:t>stałe długożyciowe</w:t>
      </w:r>
      <w:r w:rsidRPr="00D75DC0">
        <w:t xml:space="preserve"> </w:t>
      </w:r>
      <w:r>
        <w:t>nisko- i średnioaktywne</w:t>
      </w:r>
      <w:r w:rsidRPr="00784F93">
        <w:t xml:space="preserve">: 2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</w:t>
      </w:r>
      <w:r>
        <w:t xml:space="preserve">rocznie, co daje łącznie </w:t>
      </w:r>
      <w:r w:rsidRPr="00784F93">
        <w:t>5</w:t>
      </w:r>
      <w:r w:rsidR="003729C4">
        <w:t>6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>
        <w:t>.</w:t>
      </w:r>
    </w:p>
    <w:p w14:paraId="4110DD4A" w14:textId="77777777" w:rsidR="00084F8B" w:rsidRPr="00784F93" w:rsidRDefault="00084F8B" w:rsidP="001816E4">
      <w:pPr>
        <w:spacing w:before="120" w:after="120"/>
        <w:ind w:left="1134"/>
        <w:jc w:val="both"/>
      </w:pPr>
      <w:r>
        <w:t>Stałe o</w:t>
      </w:r>
      <w:r w:rsidRPr="00784F93">
        <w:t xml:space="preserve">dpady </w:t>
      </w:r>
      <w:r w:rsidRPr="006A508A">
        <w:t>promieniotwórcz</w:t>
      </w:r>
      <w:r>
        <w:t>e krótkożyciowe</w:t>
      </w:r>
      <w:r w:rsidRPr="00784F93">
        <w:t xml:space="preserve"> nisko- i średnioaktywne będą składowane w</w:t>
      </w:r>
      <w:r>
        <w:t> NSPOP</w:t>
      </w:r>
      <w:r w:rsidRPr="00784F93">
        <w:t xml:space="preserve">. Natomiast odpady długożyciowe zostaną tam umieszczone </w:t>
      </w:r>
      <w:r>
        <w:t>w celu przechowania do czasu uruchomienia SGOP</w:t>
      </w:r>
      <w:r w:rsidRPr="00784F93">
        <w:t xml:space="preserve">, </w:t>
      </w:r>
      <w:r>
        <w:t>gdzie zostaną przeniesione do składowania.</w:t>
      </w:r>
    </w:p>
    <w:p w14:paraId="3F064809" w14:textId="77777777" w:rsidR="00084F8B" w:rsidRPr="00F74164" w:rsidRDefault="00084F8B" w:rsidP="008D5796">
      <w:pPr>
        <w:pStyle w:val="Nagwek2"/>
      </w:pPr>
      <w:bookmarkStart w:id="90" w:name="_Toc397697017"/>
      <w:bookmarkStart w:id="91" w:name="_Toc424116703"/>
      <w:r>
        <w:t>3</w:t>
      </w:r>
      <w:r w:rsidRPr="00F74164">
        <w:t>.3</w:t>
      </w:r>
      <w:r>
        <w:t>.</w:t>
      </w:r>
      <w:r w:rsidRPr="00F74164">
        <w:t xml:space="preserve"> Prognoz</w:t>
      </w:r>
      <w:r>
        <w:t>a</w:t>
      </w:r>
      <w:r w:rsidRPr="00F74164">
        <w:t xml:space="preserve"> ilości odpadów </w:t>
      </w:r>
      <w:r>
        <w:t xml:space="preserve">promieniotwórczych </w:t>
      </w:r>
      <w:r w:rsidRPr="00F74164">
        <w:t xml:space="preserve">z reaktora </w:t>
      </w:r>
      <w:r>
        <w:t>MARIA</w:t>
      </w:r>
      <w:bookmarkEnd w:id="90"/>
      <w:bookmarkEnd w:id="91"/>
      <w:r w:rsidRPr="00F74164">
        <w:t xml:space="preserve"> </w:t>
      </w:r>
    </w:p>
    <w:p w14:paraId="6F06472D" w14:textId="258C5F77" w:rsidR="00084F8B" w:rsidRPr="00784F93" w:rsidRDefault="00084F8B" w:rsidP="00C87B85">
      <w:pPr>
        <w:spacing w:before="120" w:after="120"/>
        <w:ind w:firstLine="567"/>
        <w:jc w:val="both"/>
      </w:pPr>
      <w:r w:rsidRPr="00784F93">
        <w:t xml:space="preserve">Na potrzeby </w:t>
      </w:r>
      <w:r>
        <w:t xml:space="preserve">Krajowego planu </w:t>
      </w:r>
      <w:r w:rsidR="003729C4">
        <w:t>NCBJ</w:t>
      </w:r>
      <w:r w:rsidRPr="00784F93">
        <w:t xml:space="preserve"> dokonał oszacowania ilości odpadów promieniotw</w:t>
      </w:r>
      <w:r w:rsidR="00D543D3">
        <w:t>órczych z reaktora MARIA od 2020</w:t>
      </w:r>
      <w:r>
        <w:t xml:space="preserve"> r.</w:t>
      </w:r>
      <w:r w:rsidRPr="00784F93">
        <w:t>:</w:t>
      </w:r>
    </w:p>
    <w:p w14:paraId="5EE5753E" w14:textId="12931DFE" w:rsidR="00084F8B" w:rsidRDefault="00290CCB" w:rsidP="0000292C">
      <w:pPr>
        <w:numPr>
          <w:ilvl w:val="0"/>
          <w:numId w:val="116"/>
        </w:numPr>
        <w:spacing w:before="120" w:after="120"/>
        <w:ind w:left="709" w:hanging="283"/>
        <w:jc w:val="both"/>
      </w:pPr>
      <w:r>
        <w:t>do 203</w:t>
      </w:r>
      <w:r w:rsidR="003729C4">
        <w:t>2</w:t>
      </w:r>
      <w:r w:rsidR="00084F8B">
        <w:t xml:space="preserve"> r. przewiduje się następujące ilości odpadów promieniotwórczych:</w:t>
      </w:r>
    </w:p>
    <w:p w14:paraId="23CFBAF2" w14:textId="00499C92" w:rsidR="00084F8B" w:rsidRPr="00784F93" w:rsidRDefault="00084F8B" w:rsidP="008016BE">
      <w:pPr>
        <w:numPr>
          <w:ilvl w:val="0"/>
          <w:numId w:val="104"/>
        </w:numPr>
        <w:spacing w:before="120" w:after="120"/>
        <w:ind w:left="1418" w:hanging="284"/>
        <w:jc w:val="both"/>
      </w:pPr>
      <w:r>
        <w:t xml:space="preserve">odpady promieniotwórcze </w:t>
      </w:r>
      <w:r w:rsidRPr="00784F93">
        <w:t xml:space="preserve">stałe </w:t>
      </w:r>
      <w:r>
        <w:t>krótkożyciowe</w:t>
      </w:r>
      <w:r w:rsidRPr="00784F93">
        <w:t xml:space="preserve"> niskoaktywne: 4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</w:t>
      </w:r>
      <w:r>
        <w:t>rocznie, co daje łącznie</w:t>
      </w:r>
      <w:r w:rsidRPr="00784F93">
        <w:t xml:space="preserve"> </w:t>
      </w:r>
      <w:r w:rsidR="003729C4">
        <w:t>5</w:t>
      </w:r>
      <w:r w:rsidR="00D543D3">
        <w:t>2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>
        <w:t>,</w:t>
      </w:r>
    </w:p>
    <w:p w14:paraId="73438D35" w14:textId="490FA5DE" w:rsidR="00084F8B" w:rsidRPr="00784F93" w:rsidRDefault="00084F8B" w:rsidP="008016BE">
      <w:pPr>
        <w:numPr>
          <w:ilvl w:val="0"/>
          <w:numId w:val="104"/>
        </w:numPr>
        <w:spacing w:before="120" w:after="120"/>
        <w:ind w:left="1418" w:hanging="284"/>
        <w:jc w:val="both"/>
      </w:pPr>
      <w:r>
        <w:t xml:space="preserve">odpady promieniotwórcze </w:t>
      </w:r>
      <w:r w:rsidRPr="00784F93">
        <w:t xml:space="preserve">ciekłe </w:t>
      </w:r>
      <w:r>
        <w:t>krótkożyciowe</w:t>
      </w:r>
      <w:r w:rsidRPr="00784F93">
        <w:t xml:space="preserve"> niskoaktywne: 25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</w:t>
      </w:r>
      <w:r>
        <w:t>rocznie, co daje łącznie</w:t>
      </w:r>
      <w:r w:rsidRPr="00784F93">
        <w:t xml:space="preserve"> </w:t>
      </w:r>
      <w:r w:rsidR="007037BC">
        <w:t>3</w:t>
      </w:r>
      <w:r w:rsidR="00D543D3">
        <w:t>25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(</w:t>
      </w:r>
      <w:r>
        <w:t xml:space="preserve">docelowo do składowania w postaci stałej, jako </w:t>
      </w:r>
      <w:r w:rsidRPr="00784F93">
        <w:t>produkty cementowania koncentratów powyparnych</w:t>
      </w:r>
      <w:r>
        <w:t>: 1</w:t>
      </w:r>
      <w:r w:rsidRPr="008016BE">
        <w:rPr>
          <w:rFonts w:eastAsia="MS Mincho"/>
          <w:lang w:eastAsia="ja-JP"/>
        </w:rPr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>
        <w:t xml:space="preserve"> rocznie, co daje</w:t>
      </w:r>
      <w:r w:rsidRPr="00784F93">
        <w:t xml:space="preserve"> </w:t>
      </w:r>
      <w:r>
        <w:t>łącznie</w:t>
      </w:r>
      <w:r w:rsidRPr="00784F93">
        <w:t xml:space="preserve"> 1</w:t>
      </w:r>
      <w:r w:rsidR="00D543D3">
        <w:t>3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>
        <w:t>).</w:t>
      </w:r>
    </w:p>
    <w:p w14:paraId="018D2C69" w14:textId="2A943008" w:rsidR="00084F8B" w:rsidRDefault="00084F8B" w:rsidP="007C673D">
      <w:pPr>
        <w:spacing w:before="120" w:after="120"/>
        <w:jc w:val="both"/>
      </w:pPr>
      <w:r w:rsidRPr="00784F93">
        <w:t xml:space="preserve">Odpady </w:t>
      </w:r>
      <w:r>
        <w:t>promieniotwórcze</w:t>
      </w:r>
      <w:r w:rsidRPr="00784F93">
        <w:t xml:space="preserve"> stałe </w:t>
      </w:r>
      <w:r>
        <w:t>krótkożyciowe</w:t>
      </w:r>
      <w:r w:rsidRPr="00784F93">
        <w:t xml:space="preserve"> niskoaktywne będą składowane </w:t>
      </w:r>
      <w:r>
        <w:t xml:space="preserve">w KSOP </w:t>
      </w:r>
      <w:r w:rsidR="00A010C9">
        <w:t xml:space="preserve">w </w:t>
      </w:r>
      <w:r>
        <w:t>Różanie</w:t>
      </w:r>
      <w:r w:rsidR="009A227F">
        <w:t>.</w:t>
      </w:r>
      <w:r>
        <w:t xml:space="preserve"> </w:t>
      </w:r>
    </w:p>
    <w:p w14:paraId="1FED58E4" w14:textId="2972C8B4" w:rsidR="00084F8B" w:rsidRPr="00784F93" w:rsidRDefault="00084F8B" w:rsidP="0000292C">
      <w:pPr>
        <w:numPr>
          <w:ilvl w:val="0"/>
          <w:numId w:val="38"/>
        </w:numPr>
        <w:tabs>
          <w:tab w:val="clear" w:pos="1080"/>
          <w:tab w:val="num" w:pos="709"/>
        </w:tabs>
        <w:spacing w:before="120" w:after="120"/>
        <w:ind w:left="709" w:hanging="283"/>
        <w:jc w:val="both"/>
      </w:pPr>
      <w:r>
        <w:t>W</w:t>
      </w:r>
      <w:r w:rsidRPr="00784F93">
        <w:t xml:space="preserve"> latach </w:t>
      </w:r>
      <w:r>
        <w:t xml:space="preserve">od </w:t>
      </w:r>
      <w:r w:rsidR="00290CCB">
        <w:t>203</w:t>
      </w:r>
      <w:r w:rsidR="003729C4">
        <w:t>3</w:t>
      </w:r>
      <w:r>
        <w:t xml:space="preserve"> r. do 20</w:t>
      </w:r>
      <w:r w:rsidRPr="00784F93">
        <w:t>40</w:t>
      </w:r>
      <w:r>
        <w:t xml:space="preserve"> r.</w:t>
      </w:r>
      <w:r w:rsidRPr="00784F93">
        <w:t xml:space="preserve"> (w przypadku przedłużenia okresu eksploatacji reaktora MARIA do 2040</w:t>
      </w:r>
      <w:r>
        <w:t xml:space="preserve"> r.</w:t>
      </w:r>
      <w:r w:rsidRPr="00784F93">
        <w:t>):</w:t>
      </w:r>
    </w:p>
    <w:p w14:paraId="6F77E4C3" w14:textId="68791CEE" w:rsidR="00084F8B" w:rsidRPr="00784F93" w:rsidRDefault="00084F8B" w:rsidP="008016BE">
      <w:pPr>
        <w:numPr>
          <w:ilvl w:val="0"/>
          <w:numId w:val="105"/>
        </w:numPr>
        <w:spacing w:before="120" w:after="120"/>
        <w:ind w:left="1418"/>
        <w:jc w:val="both"/>
      </w:pPr>
      <w:r>
        <w:t xml:space="preserve">odpady promieniotwórcze </w:t>
      </w:r>
      <w:r w:rsidRPr="00784F93">
        <w:t xml:space="preserve">stałe </w:t>
      </w:r>
      <w:r>
        <w:t>krótkożyciowe</w:t>
      </w:r>
      <w:r w:rsidRPr="00784F93">
        <w:t xml:space="preserve"> niskoaktywne: 4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</w:t>
      </w:r>
      <w:r>
        <w:t>rocznie, co daje łącznie</w:t>
      </w:r>
      <w:r w:rsidR="00290CCB">
        <w:t xml:space="preserve"> </w:t>
      </w:r>
      <w:r w:rsidR="003729C4">
        <w:t>32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>
        <w:t>,</w:t>
      </w:r>
    </w:p>
    <w:p w14:paraId="6590128C" w14:textId="10909B63" w:rsidR="00084F8B" w:rsidRPr="00784F93" w:rsidRDefault="00084F8B" w:rsidP="008016BE">
      <w:pPr>
        <w:numPr>
          <w:ilvl w:val="0"/>
          <w:numId w:val="106"/>
        </w:numPr>
        <w:spacing w:before="120" w:after="120"/>
        <w:ind w:left="1418"/>
        <w:jc w:val="both"/>
      </w:pPr>
      <w:r>
        <w:t xml:space="preserve">odpady promieniotwórcze </w:t>
      </w:r>
      <w:r w:rsidRPr="00784F93">
        <w:t>ciekłe</w:t>
      </w:r>
      <w:r>
        <w:t xml:space="preserve"> krótkożyciowe</w:t>
      </w:r>
      <w:r w:rsidRPr="00784F93">
        <w:t xml:space="preserve"> niskoaktywne: 25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</w:t>
      </w:r>
      <w:r>
        <w:t>rocznie, co daje łącznie</w:t>
      </w:r>
      <w:r w:rsidR="00290CCB">
        <w:t xml:space="preserve"> </w:t>
      </w:r>
      <w:r w:rsidRPr="00784F93">
        <w:t>2</w:t>
      </w:r>
      <w:r w:rsidR="003729C4">
        <w:t>0</w:t>
      </w:r>
      <w:r w:rsidR="00290CCB">
        <w:t>0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(docelowo do składowania </w:t>
      </w:r>
      <w:r>
        <w:t xml:space="preserve">w postaci stałej, </w:t>
      </w:r>
      <w:r w:rsidRPr="00784F93">
        <w:t>jako produkty cementowania koncentratów powyparnych</w:t>
      </w:r>
      <w:r>
        <w:t>: 1</w:t>
      </w:r>
      <w:r w:rsidRPr="008016BE">
        <w:rPr>
          <w:rFonts w:eastAsia="MS Mincho"/>
          <w:lang w:eastAsia="ja-JP"/>
        </w:rPr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>
        <w:t xml:space="preserve"> rocznie, co daje</w:t>
      </w:r>
      <w:r w:rsidRPr="00784F93">
        <w:t xml:space="preserve"> </w:t>
      </w:r>
      <w:r>
        <w:t>łącznie</w:t>
      </w:r>
      <w:r w:rsidR="003A36BC">
        <w:t xml:space="preserve"> 8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>
        <w:t>).</w:t>
      </w:r>
    </w:p>
    <w:p w14:paraId="63247746" w14:textId="222F2039" w:rsidR="00084F8B" w:rsidRPr="00784F93" w:rsidRDefault="00084F8B" w:rsidP="0000292C">
      <w:pPr>
        <w:numPr>
          <w:ilvl w:val="0"/>
          <w:numId w:val="38"/>
        </w:numPr>
        <w:tabs>
          <w:tab w:val="clear" w:pos="1080"/>
          <w:tab w:val="num" w:pos="709"/>
        </w:tabs>
        <w:spacing w:before="120" w:after="120"/>
        <w:ind w:left="709" w:hanging="283"/>
        <w:jc w:val="both"/>
      </w:pPr>
      <w:r>
        <w:lastRenderedPageBreak/>
        <w:t>W</w:t>
      </w:r>
      <w:r w:rsidRPr="00784F93">
        <w:t xml:space="preserve"> latach </w:t>
      </w:r>
      <w:r>
        <w:t xml:space="preserve">od </w:t>
      </w:r>
      <w:r w:rsidR="00290CCB">
        <w:t>203</w:t>
      </w:r>
      <w:r w:rsidR="003729C4">
        <w:t>3</w:t>
      </w:r>
      <w:r>
        <w:t xml:space="preserve"> r. do 20</w:t>
      </w:r>
      <w:r w:rsidRPr="00784F93">
        <w:t>50</w:t>
      </w:r>
      <w:r>
        <w:t xml:space="preserve"> r.</w:t>
      </w:r>
      <w:r w:rsidRPr="00784F93">
        <w:t xml:space="preserve"> (w przypadku przedłużenia okresu eksploatacji reaktora MARIA do 2050</w:t>
      </w:r>
      <w:r>
        <w:t xml:space="preserve"> r.</w:t>
      </w:r>
      <w:r w:rsidRPr="00784F93">
        <w:t>):</w:t>
      </w:r>
    </w:p>
    <w:p w14:paraId="0900A049" w14:textId="16D7FF6A" w:rsidR="00084F8B" w:rsidRPr="00784F93" w:rsidRDefault="00084F8B" w:rsidP="00AF18C3">
      <w:pPr>
        <w:numPr>
          <w:ilvl w:val="0"/>
          <w:numId w:val="106"/>
        </w:numPr>
        <w:spacing w:before="120" w:after="120"/>
        <w:ind w:left="1418" w:hanging="284"/>
        <w:jc w:val="both"/>
      </w:pPr>
      <w:r>
        <w:t>odpady promieniotwórcze</w:t>
      </w:r>
      <w:r w:rsidRPr="00784F93">
        <w:t xml:space="preserve"> stałe </w:t>
      </w:r>
      <w:r>
        <w:t>krótkożyciowe</w:t>
      </w:r>
      <w:r w:rsidRPr="00784F93">
        <w:t xml:space="preserve"> niskoaktywne: 4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</w:t>
      </w:r>
      <w:r>
        <w:t>rocznie, co daje łącznie</w:t>
      </w:r>
      <w:r w:rsidR="00290CCB">
        <w:t xml:space="preserve"> </w:t>
      </w:r>
      <w:r w:rsidR="003729C4">
        <w:t>72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>
        <w:rPr>
          <w:rFonts w:eastAsia="MS Mincho"/>
          <w:lang w:eastAsia="ja-JP"/>
        </w:rPr>
        <w:t>,</w:t>
      </w:r>
    </w:p>
    <w:p w14:paraId="7811BA8D" w14:textId="65A987B6" w:rsidR="00084F8B" w:rsidRPr="00784F93" w:rsidRDefault="00084F8B" w:rsidP="00AF18C3">
      <w:pPr>
        <w:numPr>
          <w:ilvl w:val="0"/>
          <w:numId w:val="106"/>
        </w:numPr>
        <w:spacing w:before="120" w:after="120"/>
        <w:ind w:left="1418" w:hanging="284"/>
        <w:jc w:val="both"/>
      </w:pPr>
      <w:r>
        <w:t xml:space="preserve">odpady promieniotwórcze </w:t>
      </w:r>
      <w:r w:rsidRPr="00784F93">
        <w:t>ciekłe</w:t>
      </w:r>
      <w:r>
        <w:t xml:space="preserve"> krótkożyciowe</w:t>
      </w:r>
      <w:r w:rsidRPr="00784F93">
        <w:t xml:space="preserve"> niskoaktywne: 25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</w:t>
      </w:r>
      <w:r>
        <w:t>rocznie, co daje łącznie</w:t>
      </w:r>
      <w:r w:rsidR="00290CCB">
        <w:t xml:space="preserve"> </w:t>
      </w:r>
      <w:r w:rsidR="003729C4">
        <w:t>4</w:t>
      </w:r>
      <w:r w:rsidR="00290CCB">
        <w:t>00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 xml:space="preserve"> (docelowo do składowania </w:t>
      </w:r>
      <w:r>
        <w:t xml:space="preserve">w postaci stałej, </w:t>
      </w:r>
      <w:r w:rsidRPr="00784F93">
        <w:t>jako produkty cementowania koncentratów powyparnych</w:t>
      </w:r>
      <w:r>
        <w:t>: 1</w:t>
      </w:r>
      <w:r w:rsidRPr="008016BE">
        <w:rPr>
          <w:rFonts w:eastAsia="MS Mincho"/>
          <w:lang w:eastAsia="ja-JP"/>
        </w:rPr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>
        <w:t xml:space="preserve"> rocznie, co daje</w:t>
      </w:r>
      <w:r w:rsidRPr="00784F93">
        <w:t xml:space="preserve"> </w:t>
      </w:r>
      <w:r>
        <w:t>łącznie</w:t>
      </w:r>
      <w:r w:rsidRPr="00784F93">
        <w:t xml:space="preserve"> </w:t>
      </w:r>
      <w:r w:rsidR="003729C4">
        <w:t>18</w:t>
      </w:r>
      <w:r w:rsidRPr="00784F93"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t>)</w:t>
      </w:r>
      <w:r>
        <w:t>.</w:t>
      </w:r>
      <w:r w:rsidRPr="00784F93">
        <w:t xml:space="preserve"> </w:t>
      </w:r>
    </w:p>
    <w:p w14:paraId="5B2EAF9A" w14:textId="77777777" w:rsidR="00084F8B" w:rsidRPr="00784F93" w:rsidRDefault="00084F8B" w:rsidP="007804A0">
      <w:pPr>
        <w:spacing w:before="120" w:after="120"/>
        <w:jc w:val="both"/>
      </w:pPr>
      <w:r w:rsidRPr="00784F93">
        <w:t xml:space="preserve">Odpady </w:t>
      </w:r>
      <w:r w:rsidRPr="00F417AA">
        <w:t xml:space="preserve">promieniotwórcze </w:t>
      </w:r>
      <w:r w:rsidRPr="00784F93">
        <w:t xml:space="preserve">stałe </w:t>
      </w:r>
      <w:r>
        <w:t>krótkożyciowe</w:t>
      </w:r>
      <w:r w:rsidRPr="00784F93">
        <w:t xml:space="preserve"> niskoaktywne będą składowane w </w:t>
      </w:r>
      <w:r>
        <w:t>NSPOP</w:t>
      </w:r>
      <w:r w:rsidRPr="00784F93">
        <w:t>.</w:t>
      </w:r>
    </w:p>
    <w:p w14:paraId="291394DE" w14:textId="77777777" w:rsidR="00084F8B" w:rsidRPr="00F74164" w:rsidRDefault="00084F8B" w:rsidP="008D5796">
      <w:pPr>
        <w:pStyle w:val="Nagwek2"/>
      </w:pPr>
      <w:bookmarkStart w:id="92" w:name="_Toc397697018"/>
      <w:bookmarkStart w:id="93" w:name="_Toc424116704"/>
      <w:r>
        <w:t>3</w:t>
      </w:r>
      <w:r w:rsidRPr="00F74164">
        <w:t>.4</w:t>
      </w:r>
      <w:r>
        <w:t>.</w:t>
      </w:r>
      <w:r w:rsidRPr="00F74164">
        <w:t xml:space="preserve"> Prognozy zużycia zestawów niskowzbogaconego paliwa jądrowego typu MR w reaktorze </w:t>
      </w:r>
      <w:r>
        <w:t>MARIA</w:t>
      </w:r>
      <w:bookmarkEnd w:id="92"/>
      <w:bookmarkEnd w:id="93"/>
    </w:p>
    <w:p w14:paraId="6F42CE08" w14:textId="77777777" w:rsidR="00084F8B" w:rsidRDefault="00084F8B" w:rsidP="004725EF">
      <w:pPr>
        <w:pStyle w:val="ListParagraph2"/>
        <w:spacing w:before="120" w:after="120"/>
        <w:ind w:left="0" w:firstLine="567"/>
        <w:jc w:val="both"/>
      </w:pPr>
      <w:r w:rsidRPr="00784F93">
        <w:t xml:space="preserve">Na potrzeby </w:t>
      </w:r>
      <w:r>
        <w:t>Krajowego p</w:t>
      </w:r>
      <w:r w:rsidRPr="00784F93">
        <w:t>lanu dokonano oszacowania ilości odpadów promieniotwórczych z reaktora MARIA</w:t>
      </w:r>
      <w:r>
        <w:t>, uwzględniając p</w:t>
      </w:r>
      <w:r w:rsidRPr="00784F93">
        <w:t>lanowane roczne zużycie paliwa</w:t>
      </w:r>
      <w:r>
        <w:t xml:space="preserve"> (wynosi ono od 20 do 25 zestawów paliwa MR) oraz planowany czas pracy reaktora MARIA (</w:t>
      </w:r>
      <w:r w:rsidRPr="00784F93">
        <w:t>przewiduje się jego przedłużenie do 2040</w:t>
      </w:r>
      <w:r>
        <w:t xml:space="preserve"> r.</w:t>
      </w:r>
      <w:r w:rsidRPr="00784F93">
        <w:t>, z dopuszczeniem możliwości przedłużen</w:t>
      </w:r>
      <w:r>
        <w:t xml:space="preserve">ia jego pracy o kolejne 10 lat - </w:t>
      </w:r>
      <w:r w:rsidRPr="00784F93">
        <w:t>do 2050</w:t>
      </w:r>
      <w:r>
        <w:t xml:space="preserve"> r.</w:t>
      </w:r>
      <w:r w:rsidRPr="00784F93">
        <w:t>).</w:t>
      </w:r>
    </w:p>
    <w:p w14:paraId="70E6EA63" w14:textId="77777777" w:rsidR="00084F8B" w:rsidRPr="00784F93" w:rsidRDefault="00084F8B" w:rsidP="00C95559">
      <w:pPr>
        <w:pStyle w:val="ListParagraph2"/>
        <w:spacing w:before="120" w:after="120"/>
        <w:ind w:left="0"/>
        <w:jc w:val="both"/>
      </w:pPr>
      <w:r w:rsidRPr="00784F93">
        <w:t xml:space="preserve">Obliczenie </w:t>
      </w:r>
      <w:r>
        <w:t>w ujęciu i</w:t>
      </w:r>
      <w:r w:rsidRPr="00784F93">
        <w:t>lości</w:t>
      </w:r>
      <w:r>
        <w:t>owym oraz objętościowym dotyczące</w:t>
      </w:r>
      <w:r w:rsidRPr="00784F93">
        <w:t xml:space="preserve"> zestawów wypalonego niskowzbogaconego paliwa MR przedstawia </w:t>
      </w:r>
      <w:r>
        <w:t>poniższa tabela nr 3.2</w:t>
      </w:r>
      <w:r w:rsidRPr="00784F93">
        <w:t xml:space="preserve">. </w:t>
      </w:r>
    </w:p>
    <w:p w14:paraId="65BABDF1" w14:textId="77777777" w:rsidR="00084F8B" w:rsidRDefault="00084F8B" w:rsidP="00C95559">
      <w:pPr>
        <w:pStyle w:val="ListParagraph2"/>
        <w:spacing w:before="120" w:after="120"/>
        <w:ind w:left="0"/>
        <w:jc w:val="both"/>
      </w:pPr>
      <w:r w:rsidRPr="00784F93">
        <w:t xml:space="preserve">Obliczenia wykonano dla </w:t>
      </w:r>
      <w:r>
        <w:t>czterech</w:t>
      </w:r>
      <w:r w:rsidRPr="00784F93">
        <w:t xml:space="preserve"> </w:t>
      </w:r>
      <w:r>
        <w:t>opcji</w:t>
      </w:r>
      <w:r w:rsidRPr="00784F93">
        <w:t xml:space="preserve">, </w:t>
      </w:r>
      <w:r>
        <w:t>zakładających</w:t>
      </w:r>
      <w:r w:rsidRPr="00784F93">
        <w:t>, że wyłączenie reaktora nastąpi w 2040</w:t>
      </w:r>
      <w:r>
        <w:t xml:space="preserve"> r.</w:t>
      </w:r>
      <w:r w:rsidRPr="00784F93">
        <w:t xml:space="preserve"> lub w 2050</w:t>
      </w:r>
      <w:r>
        <w:t xml:space="preserve"> r</w:t>
      </w:r>
      <w:r w:rsidRPr="00784F93">
        <w:t>.</w:t>
      </w:r>
      <w:r>
        <w:t xml:space="preserve"> przy wykorzystaniu 20 lub 25 zestawów paliwa MR.</w:t>
      </w:r>
    </w:p>
    <w:p w14:paraId="4815A8A2" w14:textId="77777777" w:rsidR="00084F8B" w:rsidRDefault="00084F8B" w:rsidP="00C95559">
      <w:pPr>
        <w:pStyle w:val="ListParagraph2"/>
        <w:spacing w:before="120" w:after="120"/>
        <w:ind w:left="0"/>
        <w:jc w:val="both"/>
      </w:pPr>
    </w:p>
    <w:p w14:paraId="01F31FC7" w14:textId="569C5508" w:rsidR="00084F8B" w:rsidRPr="0036181F" w:rsidRDefault="00084F8B" w:rsidP="00C95559">
      <w:pPr>
        <w:pStyle w:val="ListParagraph2"/>
        <w:spacing w:before="120" w:after="120"/>
        <w:ind w:left="0"/>
        <w:jc w:val="both"/>
        <w:rPr>
          <w:b/>
        </w:rPr>
      </w:pPr>
      <w:r w:rsidRPr="00D54CAD">
        <w:rPr>
          <w:b/>
        </w:rPr>
        <w:t>Tabela nr 3.</w:t>
      </w:r>
      <w:r>
        <w:rPr>
          <w:b/>
        </w:rPr>
        <w:t>2</w:t>
      </w:r>
      <w:r w:rsidRPr="00D54CAD">
        <w:rPr>
          <w:b/>
        </w:rPr>
        <w:t xml:space="preserve"> </w:t>
      </w:r>
      <w:r w:rsidRPr="00D54CAD">
        <w:rPr>
          <w:rFonts w:eastAsia="MS MinNew Roman"/>
          <w:b/>
        </w:rPr>
        <w:t>Planowane zużycie paliwa ty</w:t>
      </w:r>
      <w:r w:rsidR="00D543D3">
        <w:rPr>
          <w:rFonts w:eastAsia="MS MinNew Roman"/>
          <w:b/>
        </w:rPr>
        <w:t>pu MR w reaktorze MARIA (od 2020</w:t>
      </w:r>
      <w:r w:rsidRPr="00D54CAD">
        <w:rPr>
          <w:rFonts w:eastAsia="MS MinNew Roman"/>
          <w:b/>
        </w:rPr>
        <w:t xml:space="preserve"> r.)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6"/>
        <w:gridCol w:w="2855"/>
        <w:gridCol w:w="2855"/>
      </w:tblGrid>
      <w:tr w:rsidR="00084F8B" w:rsidRPr="00800F6F" w14:paraId="711DF3DB" w14:textId="77777777" w:rsidTr="0036181F">
        <w:tc>
          <w:tcPr>
            <w:tcW w:w="8566" w:type="dxa"/>
            <w:gridSpan w:val="3"/>
            <w:shd w:val="clear" w:color="auto" w:fill="92D050"/>
          </w:tcPr>
          <w:p w14:paraId="6716CF5C" w14:textId="5DCA7031" w:rsidR="00084F8B" w:rsidRPr="00800F6F" w:rsidRDefault="00084F8B" w:rsidP="007804A0">
            <w:pPr>
              <w:pStyle w:val="ListParagraph2"/>
              <w:ind w:left="0"/>
              <w:jc w:val="center"/>
              <w:rPr>
                <w:rFonts w:eastAsia="MS MinNew Roman"/>
                <w:color w:val="FFFFFF"/>
              </w:rPr>
            </w:pPr>
            <w:r w:rsidRPr="00800F6F">
              <w:rPr>
                <w:rFonts w:eastAsia="MS MinNew Roman"/>
                <w:color w:val="FFFFFF"/>
              </w:rPr>
              <w:t>Planowane zużycie paliwa ty</w:t>
            </w:r>
            <w:r w:rsidR="00D543D3">
              <w:rPr>
                <w:rFonts w:eastAsia="MS MinNew Roman"/>
                <w:color w:val="FFFFFF"/>
              </w:rPr>
              <w:t>pu MR w reaktorze MARIA (od 2020</w:t>
            </w:r>
            <w:r w:rsidRPr="00800F6F">
              <w:rPr>
                <w:rFonts w:eastAsia="MS MinNew Roman"/>
                <w:color w:val="FFFFFF"/>
              </w:rPr>
              <w:t xml:space="preserve"> r.)</w:t>
            </w:r>
          </w:p>
        </w:tc>
      </w:tr>
      <w:tr w:rsidR="00084F8B" w:rsidRPr="00800F6F" w14:paraId="5B75AD67" w14:textId="77777777" w:rsidTr="0036181F">
        <w:tc>
          <w:tcPr>
            <w:tcW w:w="2856" w:type="dxa"/>
            <w:tcBorders>
              <w:bottom w:val="double" w:sz="4" w:space="0" w:color="auto"/>
              <w:right w:val="double" w:sz="4" w:space="0" w:color="auto"/>
            </w:tcBorders>
          </w:tcPr>
          <w:p w14:paraId="25211DEF" w14:textId="77777777" w:rsidR="00084F8B" w:rsidRPr="00800F6F" w:rsidRDefault="00084F8B" w:rsidP="00DE116C">
            <w:pPr>
              <w:pStyle w:val="ListParagraph2"/>
              <w:ind w:left="0"/>
              <w:jc w:val="both"/>
              <w:rPr>
                <w:rFonts w:eastAsia="MS MinNew Roman"/>
              </w:rPr>
            </w:pPr>
            <w:r w:rsidRPr="00800F6F">
              <w:rPr>
                <w:rFonts w:eastAsia="MS MinNew Roman"/>
              </w:rPr>
              <w:t>Zużycie:</w:t>
            </w:r>
          </w:p>
        </w:tc>
        <w:tc>
          <w:tcPr>
            <w:tcW w:w="2855" w:type="dxa"/>
            <w:tcBorders>
              <w:left w:val="double" w:sz="4" w:space="0" w:color="auto"/>
              <w:bottom w:val="double" w:sz="4" w:space="0" w:color="auto"/>
            </w:tcBorders>
          </w:tcPr>
          <w:p w14:paraId="02861998" w14:textId="77777777" w:rsidR="00084F8B" w:rsidRPr="00800F6F" w:rsidRDefault="00084F8B" w:rsidP="00DE116C">
            <w:pPr>
              <w:pStyle w:val="ListParagraph2"/>
              <w:ind w:left="0"/>
              <w:jc w:val="center"/>
              <w:rPr>
                <w:rFonts w:eastAsia="MS MinNew Roman"/>
              </w:rPr>
            </w:pPr>
            <w:r w:rsidRPr="00800F6F">
              <w:rPr>
                <w:rFonts w:eastAsia="MS MinNew Roman"/>
              </w:rPr>
              <w:t>20 zestawów/rok</w:t>
            </w:r>
          </w:p>
        </w:tc>
        <w:tc>
          <w:tcPr>
            <w:tcW w:w="2855" w:type="dxa"/>
            <w:tcBorders>
              <w:bottom w:val="double" w:sz="4" w:space="0" w:color="auto"/>
            </w:tcBorders>
          </w:tcPr>
          <w:p w14:paraId="6D907F6F" w14:textId="77777777" w:rsidR="00084F8B" w:rsidRPr="00800F6F" w:rsidRDefault="00084F8B" w:rsidP="00DE116C">
            <w:pPr>
              <w:pStyle w:val="ListParagraph2"/>
              <w:ind w:left="0"/>
              <w:jc w:val="center"/>
              <w:rPr>
                <w:rFonts w:eastAsia="MS MinNew Roman"/>
              </w:rPr>
            </w:pPr>
            <w:r w:rsidRPr="00800F6F">
              <w:rPr>
                <w:rFonts w:eastAsia="MS MinNew Roman"/>
              </w:rPr>
              <w:t>25 zestawów/rok</w:t>
            </w:r>
          </w:p>
        </w:tc>
      </w:tr>
      <w:tr w:rsidR="00084F8B" w:rsidRPr="00800F6F" w14:paraId="68892C58" w14:textId="77777777" w:rsidTr="0036181F">
        <w:tc>
          <w:tcPr>
            <w:tcW w:w="2856" w:type="dxa"/>
            <w:tcBorders>
              <w:top w:val="double" w:sz="4" w:space="0" w:color="auto"/>
              <w:right w:val="double" w:sz="4" w:space="0" w:color="auto"/>
            </w:tcBorders>
          </w:tcPr>
          <w:p w14:paraId="4C8A1E5C" w14:textId="688FB167" w:rsidR="00084F8B" w:rsidRPr="00800F6F" w:rsidRDefault="00486D9A" w:rsidP="00DE116C">
            <w:pPr>
              <w:pStyle w:val="ListParagraph2"/>
              <w:ind w:left="0"/>
              <w:jc w:val="both"/>
              <w:rPr>
                <w:rFonts w:eastAsia="MS MinNew Roman"/>
              </w:rPr>
            </w:pPr>
            <w:r w:rsidRPr="00800F6F">
              <w:rPr>
                <w:rFonts w:eastAsia="MS MinNew Roman"/>
              </w:rPr>
              <w:t>Do 2040 r</w:t>
            </w:r>
            <w:r w:rsidR="00084F8B" w:rsidRPr="00800F6F">
              <w:rPr>
                <w:rFonts w:eastAsia="MS MinNew Roman"/>
              </w:rPr>
              <w:t xml:space="preserve">. 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</w:tcBorders>
          </w:tcPr>
          <w:p w14:paraId="69BB965F" w14:textId="16C4981F" w:rsidR="00084F8B" w:rsidRPr="00800F6F" w:rsidRDefault="00D543D3" w:rsidP="003729C4">
            <w:pPr>
              <w:pStyle w:val="ListParagraph2"/>
              <w:ind w:left="0"/>
              <w:jc w:val="center"/>
              <w:rPr>
                <w:rFonts w:eastAsia="MS MinNew Roman"/>
                <w:vertAlign w:val="superscript"/>
              </w:rPr>
            </w:pPr>
            <w:r>
              <w:rPr>
                <w:rFonts w:eastAsia="MS MinNew Roman"/>
              </w:rPr>
              <w:t>42</w:t>
            </w:r>
            <w:r w:rsidR="003729C4">
              <w:rPr>
                <w:rFonts w:eastAsia="MS MinNew Roman"/>
              </w:rPr>
              <w:t>0</w:t>
            </w:r>
            <w:r w:rsidR="00290CCB">
              <w:rPr>
                <w:rFonts w:eastAsia="MS MinNew Roman"/>
              </w:rPr>
              <w:t xml:space="preserve"> zestawów -</w:t>
            </w:r>
            <w:r>
              <w:rPr>
                <w:rFonts w:eastAsia="MS MinNew Roman"/>
              </w:rPr>
              <w:t>148</w:t>
            </w:r>
            <w:r w:rsidR="00084F8B" w:rsidRPr="00800F6F">
              <w:rPr>
                <w:rFonts w:eastAsia="MS MinNew Roman"/>
              </w:rPr>
              <w:t xml:space="preserve"> m</w:t>
            </w:r>
            <w:r w:rsidR="00084F8B" w:rsidRPr="00800F6F">
              <w:rPr>
                <w:rFonts w:eastAsia="MS MinNew Roman"/>
                <w:vertAlign w:val="superscript"/>
              </w:rPr>
              <w:t>3</w:t>
            </w:r>
          </w:p>
        </w:tc>
        <w:tc>
          <w:tcPr>
            <w:tcW w:w="2855" w:type="dxa"/>
            <w:tcBorders>
              <w:top w:val="double" w:sz="4" w:space="0" w:color="auto"/>
            </w:tcBorders>
          </w:tcPr>
          <w:p w14:paraId="5C84AA61" w14:textId="3E08BF72" w:rsidR="00084F8B" w:rsidRPr="00800F6F" w:rsidRDefault="00D543D3" w:rsidP="003729C4">
            <w:pPr>
              <w:pStyle w:val="ListParagraph2"/>
              <w:ind w:left="0"/>
              <w:jc w:val="center"/>
              <w:rPr>
                <w:rFonts w:eastAsia="MS MinNew Roman"/>
                <w:vertAlign w:val="superscript"/>
              </w:rPr>
            </w:pPr>
            <w:r>
              <w:rPr>
                <w:rFonts w:eastAsia="MS MinNew Roman"/>
              </w:rPr>
              <w:t>425</w:t>
            </w:r>
            <w:r w:rsidR="00084F8B" w:rsidRPr="00800F6F">
              <w:rPr>
                <w:rFonts w:eastAsia="MS MinNew Roman"/>
              </w:rPr>
              <w:t xml:space="preserve"> zesta</w:t>
            </w:r>
            <w:r w:rsidR="00290CCB">
              <w:rPr>
                <w:rFonts w:eastAsia="MS MinNew Roman"/>
              </w:rPr>
              <w:t xml:space="preserve">wów – </w:t>
            </w:r>
            <w:r>
              <w:rPr>
                <w:rFonts w:eastAsia="MS MinNew Roman"/>
              </w:rPr>
              <w:t>150</w:t>
            </w:r>
            <w:r w:rsidR="003729C4">
              <w:rPr>
                <w:rFonts w:eastAsia="MS MinNew Roman"/>
              </w:rPr>
              <w:t xml:space="preserve"> </w:t>
            </w:r>
            <w:r w:rsidR="00084F8B" w:rsidRPr="00800F6F">
              <w:rPr>
                <w:rFonts w:eastAsia="MS MinNew Roman"/>
              </w:rPr>
              <w:t>m</w:t>
            </w:r>
            <w:r w:rsidR="00084F8B" w:rsidRPr="00800F6F">
              <w:rPr>
                <w:rFonts w:eastAsia="MS MinNew Roman"/>
                <w:vertAlign w:val="superscript"/>
              </w:rPr>
              <w:t>3</w:t>
            </w:r>
          </w:p>
        </w:tc>
      </w:tr>
      <w:tr w:rsidR="00084F8B" w:rsidRPr="00800F6F" w14:paraId="35ADFA90" w14:textId="77777777" w:rsidTr="0036181F">
        <w:tc>
          <w:tcPr>
            <w:tcW w:w="2856" w:type="dxa"/>
            <w:tcBorders>
              <w:right w:val="double" w:sz="4" w:space="0" w:color="auto"/>
            </w:tcBorders>
          </w:tcPr>
          <w:p w14:paraId="71771564" w14:textId="77777777" w:rsidR="00084F8B" w:rsidRPr="00800F6F" w:rsidRDefault="00084F8B" w:rsidP="00FB54BC">
            <w:pPr>
              <w:pStyle w:val="ListParagraph2"/>
              <w:ind w:left="0"/>
              <w:jc w:val="both"/>
              <w:rPr>
                <w:rFonts w:eastAsia="MS MinNew Roman"/>
              </w:rPr>
            </w:pPr>
            <w:r w:rsidRPr="00800F6F">
              <w:rPr>
                <w:rFonts w:eastAsia="MS MinNew Roman"/>
              </w:rPr>
              <w:t>Do 2050 r.</w:t>
            </w:r>
          </w:p>
        </w:tc>
        <w:tc>
          <w:tcPr>
            <w:tcW w:w="2855" w:type="dxa"/>
            <w:tcBorders>
              <w:left w:val="double" w:sz="4" w:space="0" w:color="auto"/>
            </w:tcBorders>
          </w:tcPr>
          <w:p w14:paraId="007C8CFA" w14:textId="44869218" w:rsidR="00084F8B" w:rsidRPr="00800F6F" w:rsidRDefault="00D543D3" w:rsidP="00E3222A">
            <w:pPr>
              <w:pStyle w:val="ListParagraph2"/>
              <w:ind w:left="0"/>
              <w:jc w:val="center"/>
              <w:rPr>
                <w:rFonts w:eastAsia="MS MinNew Roman"/>
                <w:vertAlign w:val="superscript"/>
              </w:rPr>
            </w:pPr>
            <w:r>
              <w:rPr>
                <w:rFonts w:eastAsia="MS MinNew Roman"/>
              </w:rPr>
              <w:t>62</w:t>
            </w:r>
            <w:r w:rsidR="003729C4">
              <w:rPr>
                <w:rFonts w:eastAsia="MS MinNew Roman"/>
              </w:rPr>
              <w:t>0</w:t>
            </w:r>
            <w:r w:rsidR="00084F8B" w:rsidRPr="00800F6F">
              <w:rPr>
                <w:rFonts w:eastAsia="MS MinNew Roman"/>
              </w:rPr>
              <w:t xml:space="preserve"> </w:t>
            </w:r>
            <w:r w:rsidR="00486D9A" w:rsidRPr="00800F6F">
              <w:rPr>
                <w:rFonts w:eastAsia="MS MinNew Roman"/>
              </w:rPr>
              <w:t>zestawów</w:t>
            </w:r>
            <w:r w:rsidR="00486D9A" w:rsidRPr="00800F6F" w:rsidDel="00D54CAD">
              <w:rPr>
                <w:rFonts w:eastAsia="MS MinNew Roman"/>
              </w:rPr>
              <w:t xml:space="preserve"> </w:t>
            </w:r>
            <w:r>
              <w:rPr>
                <w:rFonts w:eastAsia="MS MinNew Roman"/>
              </w:rPr>
              <w:t>– 219</w:t>
            </w:r>
            <w:r w:rsidR="00486D9A">
              <w:rPr>
                <w:rFonts w:eastAsia="MS MinNew Roman"/>
              </w:rPr>
              <w:t xml:space="preserve"> </w:t>
            </w:r>
            <w:r w:rsidR="00486D9A" w:rsidRPr="00800F6F">
              <w:rPr>
                <w:rFonts w:eastAsia="MS MinNew Roman"/>
              </w:rPr>
              <w:t>m</w:t>
            </w:r>
            <w:r w:rsidR="00084F8B" w:rsidRPr="00800F6F">
              <w:rPr>
                <w:rFonts w:eastAsia="MS MinNew Roman"/>
                <w:vertAlign w:val="superscript"/>
              </w:rPr>
              <w:t>3</w:t>
            </w:r>
          </w:p>
        </w:tc>
        <w:tc>
          <w:tcPr>
            <w:tcW w:w="2855" w:type="dxa"/>
          </w:tcPr>
          <w:p w14:paraId="4538F8CF" w14:textId="55CE0343" w:rsidR="00084F8B" w:rsidRPr="00800F6F" w:rsidRDefault="00D543D3" w:rsidP="00E3222A">
            <w:pPr>
              <w:pStyle w:val="ListParagraph2"/>
              <w:ind w:left="0"/>
              <w:jc w:val="center"/>
              <w:rPr>
                <w:rFonts w:eastAsia="MS MinNew Roman"/>
                <w:vertAlign w:val="superscript"/>
              </w:rPr>
            </w:pPr>
            <w:r>
              <w:rPr>
                <w:rFonts w:eastAsia="MS MinNew Roman"/>
              </w:rPr>
              <w:t>675</w:t>
            </w:r>
            <w:r w:rsidR="00084F8B" w:rsidRPr="00800F6F">
              <w:rPr>
                <w:rFonts w:eastAsia="MS MinNew Roman"/>
              </w:rPr>
              <w:t xml:space="preserve"> </w:t>
            </w:r>
            <w:r w:rsidR="00486D9A" w:rsidRPr="00800F6F">
              <w:rPr>
                <w:rFonts w:eastAsia="MS MinNew Roman"/>
              </w:rPr>
              <w:t>zestawów</w:t>
            </w:r>
            <w:r>
              <w:rPr>
                <w:rFonts w:eastAsia="MS MinNew Roman"/>
              </w:rPr>
              <w:t xml:space="preserve"> – 239</w:t>
            </w:r>
            <w:r w:rsidR="00486D9A">
              <w:rPr>
                <w:rFonts w:eastAsia="MS MinNew Roman"/>
              </w:rPr>
              <w:t xml:space="preserve"> </w:t>
            </w:r>
            <w:r w:rsidR="00486D9A" w:rsidRPr="00800F6F">
              <w:rPr>
                <w:rFonts w:eastAsia="MS MinNew Roman"/>
              </w:rPr>
              <w:t>m</w:t>
            </w:r>
            <w:r w:rsidR="00084F8B" w:rsidRPr="00800F6F">
              <w:rPr>
                <w:rFonts w:eastAsia="MS MinNew Roman"/>
                <w:vertAlign w:val="superscript"/>
              </w:rPr>
              <w:t>3</w:t>
            </w:r>
          </w:p>
        </w:tc>
      </w:tr>
    </w:tbl>
    <w:p w14:paraId="6E7231B0" w14:textId="77777777" w:rsidR="00084F8B" w:rsidRDefault="00084F8B" w:rsidP="00141C2D">
      <w:pPr>
        <w:pStyle w:val="ListParagraph2"/>
        <w:spacing w:before="120" w:after="120"/>
        <w:ind w:left="0"/>
        <w:jc w:val="both"/>
      </w:pPr>
    </w:p>
    <w:p w14:paraId="2DE922CD" w14:textId="77777777" w:rsidR="00084F8B" w:rsidRDefault="00084F8B" w:rsidP="00141C2D">
      <w:pPr>
        <w:pStyle w:val="ListParagraph2"/>
        <w:spacing w:before="120" w:after="120"/>
        <w:ind w:left="0"/>
        <w:jc w:val="both"/>
      </w:pPr>
      <w:r>
        <w:t>Wypalone paliwo z reaktora MARIA będzie w przyszłości składowane w GSOP.</w:t>
      </w:r>
    </w:p>
    <w:p w14:paraId="63E8E1AC" w14:textId="77777777" w:rsidR="00084F8B" w:rsidRDefault="00084F8B" w:rsidP="00141C2D">
      <w:pPr>
        <w:pStyle w:val="ListParagraph2"/>
        <w:spacing w:before="120" w:after="120"/>
        <w:ind w:left="0"/>
        <w:jc w:val="both"/>
      </w:pPr>
    </w:p>
    <w:p w14:paraId="78265D18" w14:textId="77777777" w:rsidR="00084F8B" w:rsidRPr="00F74164" w:rsidRDefault="00084F8B" w:rsidP="00C87B85">
      <w:pPr>
        <w:pStyle w:val="Nagwek2"/>
        <w:spacing w:before="120" w:after="120"/>
      </w:pPr>
      <w:bookmarkStart w:id="94" w:name="_Toc424116705"/>
      <w:r>
        <w:t>3.5. Prognoza Ilości zużytych Zamkniętych źródeł Promieniotwórczych</w:t>
      </w:r>
      <w:bookmarkEnd w:id="94"/>
      <w:r>
        <w:t xml:space="preserve"> </w:t>
      </w:r>
      <w:r w:rsidRPr="00F74164">
        <w:t xml:space="preserve"> </w:t>
      </w:r>
    </w:p>
    <w:p w14:paraId="72CE6B36" w14:textId="398D8CCF" w:rsidR="00084F8B" w:rsidRDefault="00084F8B" w:rsidP="00C87B85">
      <w:pPr>
        <w:pStyle w:val="ListParagraph2"/>
        <w:spacing w:before="120" w:after="120"/>
        <w:ind w:left="0" w:firstLine="567"/>
        <w:jc w:val="both"/>
      </w:pPr>
      <w:r w:rsidRPr="00784F93">
        <w:t xml:space="preserve">Na potrzeby </w:t>
      </w:r>
      <w:r>
        <w:t>Krajowego p</w:t>
      </w:r>
      <w:r w:rsidRPr="00784F93">
        <w:t xml:space="preserve">lanu </w:t>
      </w:r>
      <w:r w:rsidR="00E5340B">
        <w:t xml:space="preserve">dokonano </w:t>
      </w:r>
      <w:r w:rsidRPr="00784F93">
        <w:t>oszacowania ilości</w:t>
      </w:r>
      <w:r>
        <w:t xml:space="preserve"> zużytych zamkniętych źródeł promieniotwórczych:</w:t>
      </w:r>
    </w:p>
    <w:p w14:paraId="73F3DC71" w14:textId="77777777" w:rsidR="00084F8B" w:rsidRPr="007D3D27" w:rsidRDefault="00084F8B" w:rsidP="004725EF">
      <w:pPr>
        <w:numPr>
          <w:ilvl w:val="0"/>
          <w:numId w:val="38"/>
        </w:numPr>
        <w:tabs>
          <w:tab w:val="clear" w:pos="1080"/>
          <w:tab w:val="num" w:pos="709"/>
        </w:tabs>
        <w:spacing w:before="120" w:after="120"/>
        <w:ind w:left="709" w:hanging="283"/>
        <w:rPr>
          <w:rFonts w:cs="Calibri"/>
          <w:szCs w:val="24"/>
        </w:rPr>
      </w:pPr>
      <w:r w:rsidRPr="007D3D27">
        <w:rPr>
          <w:rFonts w:cs="Calibri"/>
          <w:szCs w:val="24"/>
        </w:rPr>
        <w:t xml:space="preserve">do </w:t>
      </w:r>
      <w:r w:rsidRPr="00C070E1">
        <w:rPr>
          <w:rFonts w:cs="Calibri"/>
          <w:szCs w:val="24"/>
        </w:rPr>
        <w:t>2050</w:t>
      </w:r>
      <w:r w:rsidRPr="007D3D27">
        <w:rPr>
          <w:rFonts w:cs="Calibri"/>
          <w:szCs w:val="24"/>
        </w:rPr>
        <w:t xml:space="preserve"> roku szacuje się </w:t>
      </w:r>
      <w:r>
        <w:rPr>
          <w:rFonts w:cs="Calibri"/>
          <w:szCs w:val="24"/>
        </w:rPr>
        <w:t xml:space="preserve">odebrać </w:t>
      </w:r>
      <w:r w:rsidRPr="007D3D27">
        <w:rPr>
          <w:rFonts w:cs="Calibri"/>
          <w:szCs w:val="24"/>
        </w:rPr>
        <w:t xml:space="preserve">następujące ilości </w:t>
      </w:r>
      <w:r>
        <w:rPr>
          <w:rFonts w:cs="Calibri"/>
          <w:szCs w:val="24"/>
        </w:rPr>
        <w:t>zużytych</w:t>
      </w:r>
      <w:r w:rsidRPr="007D3D27">
        <w:rPr>
          <w:rFonts w:cs="Calibri"/>
          <w:szCs w:val="24"/>
        </w:rPr>
        <w:t xml:space="preserve"> zamkni</w:t>
      </w:r>
      <w:r>
        <w:rPr>
          <w:rFonts w:cs="Calibri"/>
          <w:szCs w:val="24"/>
        </w:rPr>
        <w:t>ętych źródeł promieniotwórczych</w:t>
      </w:r>
      <w:r w:rsidRPr="007D3D27">
        <w:rPr>
          <w:rFonts w:cs="Calibri"/>
          <w:szCs w:val="24"/>
        </w:rPr>
        <w:t xml:space="preserve"> </w:t>
      </w:r>
      <w:r w:rsidRPr="007838D7">
        <w:rPr>
          <w:rFonts w:cs="Calibri"/>
          <w:szCs w:val="24"/>
        </w:rPr>
        <w:t>krótkożyciowych</w:t>
      </w:r>
      <w:r>
        <w:rPr>
          <w:rFonts w:cs="Calibri"/>
          <w:szCs w:val="24"/>
        </w:rPr>
        <w:t>:</w:t>
      </w:r>
    </w:p>
    <w:p w14:paraId="6D5CD58E" w14:textId="1C1D1B9A" w:rsidR="00084F8B" w:rsidRPr="007D3D27" w:rsidRDefault="004725EF" w:rsidP="004725EF">
      <w:pPr>
        <w:spacing w:before="120" w:after="120"/>
        <w:ind w:left="1134"/>
        <w:rPr>
          <w:rFonts w:cs="Calibri"/>
          <w:szCs w:val="24"/>
        </w:rPr>
      </w:pPr>
      <w:r>
        <w:rPr>
          <w:rFonts w:cs="Calibri"/>
          <w:szCs w:val="24"/>
        </w:rPr>
        <w:t xml:space="preserve">- </w:t>
      </w:r>
      <w:r w:rsidR="00084F8B" w:rsidRPr="007D3D27">
        <w:rPr>
          <w:rFonts w:cs="Calibri"/>
          <w:szCs w:val="24"/>
        </w:rPr>
        <w:t>Niskoaktywnych – 5</w:t>
      </w:r>
      <w:r w:rsidR="00225E02">
        <w:rPr>
          <w:rFonts w:cs="Calibri"/>
          <w:szCs w:val="24"/>
        </w:rPr>
        <w:t>1</w:t>
      </w:r>
      <w:r w:rsidR="00084F8B" w:rsidRPr="007D3D27">
        <w:rPr>
          <w:rFonts w:cs="Calibri"/>
          <w:szCs w:val="24"/>
        </w:rPr>
        <w:t xml:space="preserve"> </w:t>
      </w:r>
      <w:r w:rsidR="00225E02">
        <w:rPr>
          <w:rFonts w:cs="Calibri"/>
          <w:szCs w:val="24"/>
        </w:rPr>
        <w:t>23</w:t>
      </w:r>
      <w:r w:rsidR="00084F8B" w:rsidRPr="007D3D27">
        <w:rPr>
          <w:rFonts w:cs="Calibri"/>
          <w:szCs w:val="24"/>
        </w:rPr>
        <w:t>0 szt.</w:t>
      </w:r>
      <w:r w:rsidR="00084F8B">
        <w:rPr>
          <w:rFonts w:cs="Calibri"/>
          <w:szCs w:val="24"/>
        </w:rPr>
        <w:t>;</w:t>
      </w:r>
    </w:p>
    <w:p w14:paraId="1D79A831" w14:textId="3FEDEE11" w:rsidR="00084F8B" w:rsidRPr="007D3D27" w:rsidRDefault="004725EF" w:rsidP="004725EF">
      <w:pPr>
        <w:spacing w:before="120" w:after="120"/>
        <w:ind w:left="1134"/>
        <w:rPr>
          <w:rFonts w:cs="Calibri"/>
          <w:szCs w:val="24"/>
        </w:rPr>
      </w:pPr>
      <w:r>
        <w:rPr>
          <w:rFonts w:cs="Calibri"/>
          <w:szCs w:val="24"/>
        </w:rPr>
        <w:t xml:space="preserve">- </w:t>
      </w:r>
      <w:r w:rsidR="00084F8B" w:rsidRPr="007D3D27">
        <w:rPr>
          <w:rFonts w:cs="Calibri"/>
          <w:szCs w:val="24"/>
        </w:rPr>
        <w:t>Średnioaktywnych – 2</w:t>
      </w:r>
      <w:r w:rsidR="00225E02">
        <w:rPr>
          <w:rFonts w:cs="Calibri"/>
          <w:szCs w:val="24"/>
        </w:rPr>
        <w:t>3</w:t>
      </w:r>
      <w:r w:rsidR="00084F8B" w:rsidRPr="007D3D27">
        <w:rPr>
          <w:rFonts w:cs="Calibri"/>
          <w:szCs w:val="24"/>
        </w:rPr>
        <w:t xml:space="preserve"> 0</w:t>
      </w:r>
      <w:r w:rsidR="00225E02">
        <w:rPr>
          <w:rFonts w:cs="Calibri"/>
          <w:szCs w:val="24"/>
        </w:rPr>
        <w:t>48</w:t>
      </w:r>
      <w:r w:rsidR="00084F8B" w:rsidRPr="007D3D27">
        <w:rPr>
          <w:rFonts w:cs="Calibri"/>
          <w:szCs w:val="24"/>
        </w:rPr>
        <w:t xml:space="preserve"> szt.</w:t>
      </w:r>
      <w:r w:rsidR="00084F8B">
        <w:rPr>
          <w:rFonts w:cs="Calibri"/>
          <w:szCs w:val="24"/>
        </w:rPr>
        <w:t>;</w:t>
      </w:r>
    </w:p>
    <w:p w14:paraId="5F36202A" w14:textId="500D3FEF" w:rsidR="00084F8B" w:rsidRPr="007D3D27" w:rsidRDefault="004725EF" w:rsidP="004725EF">
      <w:pPr>
        <w:spacing w:before="120" w:after="120"/>
        <w:ind w:left="1134"/>
        <w:rPr>
          <w:rFonts w:cs="Calibri"/>
          <w:szCs w:val="24"/>
        </w:rPr>
      </w:pPr>
      <w:r>
        <w:rPr>
          <w:rFonts w:cs="Calibri"/>
          <w:szCs w:val="24"/>
        </w:rPr>
        <w:t xml:space="preserve">- </w:t>
      </w:r>
      <w:r w:rsidR="00084F8B" w:rsidRPr="007D3D27">
        <w:rPr>
          <w:rFonts w:cs="Calibri"/>
          <w:szCs w:val="24"/>
        </w:rPr>
        <w:t xml:space="preserve">Wysokoaktywnych- </w:t>
      </w:r>
      <w:r w:rsidR="00225E02">
        <w:rPr>
          <w:rFonts w:cs="Calibri"/>
          <w:szCs w:val="24"/>
        </w:rPr>
        <w:t>73</w:t>
      </w:r>
      <w:r w:rsidR="00084F8B" w:rsidRPr="007D3D27">
        <w:rPr>
          <w:rFonts w:cs="Calibri"/>
          <w:szCs w:val="24"/>
        </w:rPr>
        <w:t xml:space="preserve"> szt.</w:t>
      </w:r>
    </w:p>
    <w:p w14:paraId="3A7CC639" w14:textId="77777777" w:rsidR="00084F8B" w:rsidRPr="007D3D27" w:rsidRDefault="00084F8B" w:rsidP="004725EF">
      <w:pPr>
        <w:numPr>
          <w:ilvl w:val="0"/>
          <w:numId w:val="38"/>
        </w:numPr>
        <w:tabs>
          <w:tab w:val="clear" w:pos="1080"/>
          <w:tab w:val="num" w:pos="709"/>
        </w:tabs>
        <w:spacing w:before="120" w:after="120"/>
        <w:ind w:left="709" w:hanging="283"/>
        <w:rPr>
          <w:rFonts w:cs="Calibri"/>
        </w:rPr>
      </w:pPr>
      <w:r w:rsidRPr="007838D7">
        <w:rPr>
          <w:rFonts w:cs="Calibri"/>
          <w:szCs w:val="24"/>
        </w:rPr>
        <w:t xml:space="preserve">do </w:t>
      </w:r>
      <w:r w:rsidRPr="00C070E1">
        <w:rPr>
          <w:rFonts w:cs="Calibri"/>
          <w:szCs w:val="24"/>
        </w:rPr>
        <w:t xml:space="preserve">2050 </w:t>
      </w:r>
      <w:r w:rsidRPr="007838D7">
        <w:rPr>
          <w:rFonts w:cs="Calibri"/>
          <w:szCs w:val="24"/>
        </w:rPr>
        <w:t xml:space="preserve">roku szacuje się </w:t>
      </w:r>
      <w:r>
        <w:rPr>
          <w:rFonts w:cs="Calibri"/>
          <w:szCs w:val="24"/>
        </w:rPr>
        <w:t xml:space="preserve">odebrać </w:t>
      </w:r>
      <w:r w:rsidRPr="007838D7">
        <w:rPr>
          <w:rFonts w:cs="Calibri"/>
          <w:szCs w:val="24"/>
        </w:rPr>
        <w:t xml:space="preserve">następujące ilości </w:t>
      </w:r>
      <w:r>
        <w:rPr>
          <w:rFonts w:cs="Calibri"/>
          <w:szCs w:val="24"/>
        </w:rPr>
        <w:t>zużytych</w:t>
      </w:r>
      <w:r w:rsidRPr="007838D7">
        <w:rPr>
          <w:rFonts w:cs="Calibri"/>
          <w:szCs w:val="24"/>
        </w:rPr>
        <w:t xml:space="preserve"> zamkniętych źródeł promieniotwórczych </w:t>
      </w:r>
      <w:r w:rsidRPr="007D3D27">
        <w:rPr>
          <w:rFonts w:cs="Calibri"/>
        </w:rPr>
        <w:t>długożyciowych:</w:t>
      </w:r>
    </w:p>
    <w:p w14:paraId="5FCD3FD0" w14:textId="71DAC3C1" w:rsidR="00084F8B" w:rsidRPr="007D3D27" w:rsidRDefault="004725EF" w:rsidP="004725EF">
      <w:pPr>
        <w:spacing w:before="120" w:after="120" w:line="240" w:lineRule="auto"/>
        <w:ind w:left="1077"/>
        <w:rPr>
          <w:rFonts w:cs="Calibri"/>
        </w:rPr>
      </w:pPr>
      <w:r>
        <w:rPr>
          <w:rFonts w:cs="Calibri"/>
        </w:rPr>
        <w:t xml:space="preserve">- </w:t>
      </w:r>
      <w:r w:rsidR="00084F8B" w:rsidRPr="007D3D27">
        <w:rPr>
          <w:rFonts w:cs="Calibri"/>
        </w:rPr>
        <w:t xml:space="preserve">Niskoaktywnych  - </w:t>
      </w:r>
      <w:r w:rsidR="00225E02">
        <w:rPr>
          <w:rFonts w:cs="Calibri"/>
        </w:rPr>
        <w:t>2 859</w:t>
      </w:r>
      <w:r w:rsidR="00084F8B">
        <w:rPr>
          <w:rFonts w:cs="Calibri"/>
        </w:rPr>
        <w:t>szt., oraz</w:t>
      </w:r>
      <w:r w:rsidR="00225E02">
        <w:rPr>
          <w:rFonts w:cs="Calibri"/>
        </w:rPr>
        <w:t xml:space="preserve"> 533 781</w:t>
      </w:r>
      <w:r w:rsidR="00084F8B" w:rsidRPr="007D3D27">
        <w:rPr>
          <w:rFonts w:cs="Calibri"/>
        </w:rPr>
        <w:t xml:space="preserve"> </w:t>
      </w:r>
      <w:r w:rsidR="00486D9A" w:rsidRPr="007D3D27">
        <w:rPr>
          <w:rFonts w:cs="Calibri"/>
        </w:rPr>
        <w:t>szt.</w:t>
      </w:r>
      <w:r w:rsidR="00084F8B" w:rsidRPr="003F75DE">
        <w:rPr>
          <w:rFonts w:cs="Calibri"/>
        </w:rPr>
        <w:t xml:space="preserve"> </w:t>
      </w:r>
      <w:r w:rsidR="00084F8B">
        <w:rPr>
          <w:rFonts w:cs="Calibri"/>
        </w:rPr>
        <w:t>czujek dymu;</w:t>
      </w:r>
    </w:p>
    <w:p w14:paraId="6015F6DC" w14:textId="17C452B4" w:rsidR="00084F8B" w:rsidRDefault="004725EF" w:rsidP="0000292C">
      <w:pPr>
        <w:spacing w:before="120" w:after="240" w:line="240" w:lineRule="auto"/>
        <w:ind w:left="1077"/>
        <w:rPr>
          <w:rFonts w:cs="Calibri"/>
        </w:rPr>
      </w:pPr>
      <w:r>
        <w:rPr>
          <w:rFonts w:cs="Calibri"/>
        </w:rPr>
        <w:t xml:space="preserve">- </w:t>
      </w:r>
      <w:r w:rsidR="00084F8B" w:rsidRPr="007D3D27">
        <w:rPr>
          <w:rFonts w:cs="Calibri"/>
        </w:rPr>
        <w:t xml:space="preserve">Średnioaktywnych – </w:t>
      </w:r>
      <w:r w:rsidR="00225E02">
        <w:rPr>
          <w:rFonts w:cs="Calibri"/>
        </w:rPr>
        <w:t>14 731</w:t>
      </w:r>
      <w:r w:rsidR="00084F8B" w:rsidRPr="007D3D27">
        <w:rPr>
          <w:rFonts w:cs="Calibri"/>
        </w:rPr>
        <w:t xml:space="preserve"> szt.</w:t>
      </w:r>
    </w:p>
    <w:p w14:paraId="45AC5021" w14:textId="77777777" w:rsidR="00D30EA0" w:rsidRDefault="00D30EA0" w:rsidP="0000292C">
      <w:pPr>
        <w:spacing w:before="120" w:after="240" w:line="240" w:lineRule="auto"/>
        <w:ind w:left="1077"/>
      </w:pPr>
    </w:p>
    <w:p w14:paraId="7E8AE5A4" w14:textId="77777777" w:rsidR="00084F8B" w:rsidRPr="00F74164" w:rsidRDefault="00084F8B" w:rsidP="008D5796">
      <w:pPr>
        <w:pStyle w:val="Nagwek2"/>
      </w:pPr>
      <w:bookmarkStart w:id="95" w:name="_Toc397697019"/>
      <w:bookmarkStart w:id="96" w:name="_Toc424116706"/>
      <w:r>
        <w:lastRenderedPageBreak/>
        <w:t>3</w:t>
      </w:r>
      <w:r w:rsidRPr="00F74164">
        <w:t>.</w:t>
      </w:r>
      <w:r>
        <w:t>6.</w:t>
      </w:r>
      <w:r w:rsidRPr="00F74164">
        <w:t xml:space="preserve"> Odpady </w:t>
      </w:r>
      <w:r w:rsidRPr="00EA0483">
        <w:rPr>
          <w:rFonts w:cs="Calibri"/>
        </w:rPr>
        <w:t>promieniotwórcze</w:t>
      </w:r>
      <w:r w:rsidRPr="00F74164">
        <w:t xml:space="preserve"> pochodzące z energetyki jądrowej</w:t>
      </w:r>
      <w:bookmarkEnd w:id="95"/>
      <w:bookmarkEnd w:id="96"/>
    </w:p>
    <w:p w14:paraId="3198B4BF" w14:textId="09EAC6CC" w:rsidR="00084F8B" w:rsidRPr="00784F93" w:rsidRDefault="00084F8B" w:rsidP="00C87B85">
      <w:pPr>
        <w:spacing w:before="120" w:after="120"/>
        <w:ind w:firstLine="567"/>
        <w:jc w:val="both"/>
      </w:pPr>
      <w:r w:rsidRPr="00784F93">
        <w:t xml:space="preserve">Opracowując bilans odpadów promieniotwórczych </w:t>
      </w:r>
      <w:r>
        <w:t>wytworzonych w</w:t>
      </w:r>
      <w:r w:rsidRPr="00784F93">
        <w:t xml:space="preserve"> elektrowniach jądrowych</w:t>
      </w:r>
      <w:r>
        <w:t xml:space="preserve"> </w:t>
      </w:r>
      <w:r w:rsidRPr="00784F93">
        <w:t>w Polsce</w:t>
      </w:r>
      <w:r>
        <w:t>, dla których proces inwestycyjny przebiega</w:t>
      </w:r>
      <w:r w:rsidRPr="00784F93">
        <w:t xml:space="preserve"> zgodnie z przyjętym w </w:t>
      </w:r>
      <w:r w:rsidR="002D72F1" w:rsidRPr="00784F93">
        <w:t>P</w:t>
      </w:r>
      <w:r w:rsidR="00B025CA">
        <w:t>PEJ</w:t>
      </w:r>
      <w:r w:rsidR="002D72F1" w:rsidRPr="00784F93">
        <w:t xml:space="preserve"> </w:t>
      </w:r>
      <w:r w:rsidRPr="00784F93">
        <w:t>scenariuszem rozwoju energetyki jądrowej, poczyniono następujące założenia:</w:t>
      </w:r>
    </w:p>
    <w:p w14:paraId="4A5ADA14" w14:textId="2ADD0488" w:rsidR="00084F8B" w:rsidRPr="00784F93" w:rsidRDefault="00486D9A" w:rsidP="004725EF">
      <w:pPr>
        <w:numPr>
          <w:ilvl w:val="0"/>
          <w:numId w:val="8"/>
        </w:numPr>
        <w:autoSpaceDE w:val="0"/>
        <w:autoSpaceDN w:val="0"/>
        <w:ind w:left="709" w:hanging="284"/>
        <w:jc w:val="both"/>
      </w:pPr>
      <w:r w:rsidRPr="00A9153A">
        <w:t>w</w:t>
      </w:r>
      <w:r w:rsidR="00084F8B" w:rsidRPr="00A9153A">
        <w:t xml:space="preserve"> Polsce zostaną wybudowane </w:t>
      </w:r>
      <w:r w:rsidR="005C5AAC" w:rsidRPr="00A9153A">
        <w:t xml:space="preserve">co najmniej </w:t>
      </w:r>
      <w:r w:rsidR="00084F8B" w:rsidRPr="00A9153A">
        <w:t>dwie elektrownie jądrowe o mocy ok. 3000 MW każda, wyposażone w reaktory generacji</w:t>
      </w:r>
      <w:r w:rsidR="002D72F1" w:rsidRPr="00A9153A">
        <w:t xml:space="preserve"> III</w:t>
      </w:r>
      <w:r w:rsidR="002D72F1">
        <w:t>/III+</w:t>
      </w:r>
      <w:r w:rsidR="00084F8B">
        <w:t>;</w:t>
      </w:r>
    </w:p>
    <w:p w14:paraId="1A6D112D" w14:textId="77777777" w:rsidR="00084F8B" w:rsidRPr="00784F93" w:rsidRDefault="00084F8B" w:rsidP="004725EF">
      <w:pPr>
        <w:numPr>
          <w:ilvl w:val="0"/>
          <w:numId w:val="8"/>
        </w:numPr>
        <w:autoSpaceDE w:val="0"/>
        <w:autoSpaceDN w:val="0"/>
        <w:ind w:left="709" w:hanging="284"/>
        <w:jc w:val="both"/>
      </w:pPr>
      <w:r>
        <w:t xml:space="preserve">założony </w:t>
      </w:r>
      <w:r w:rsidRPr="00784F93">
        <w:t>czas pracy</w:t>
      </w:r>
      <w:r>
        <w:t xml:space="preserve"> każdego z reaktorów </w:t>
      </w:r>
      <w:r w:rsidRPr="00784F93">
        <w:t>wynosi 60 lat</w:t>
      </w:r>
      <w:r>
        <w:t>;</w:t>
      </w:r>
    </w:p>
    <w:p w14:paraId="6538B201" w14:textId="77777777" w:rsidR="00084F8B" w:rsidRPr="00784F93" w:rsidRDefault="00084F8B" w:rsidP="004725EF">
      <w:pPr>
        <w:numPr>
          <w:ilvl w:val="0"/>
          <w:numId w:val="8"/>
        </w:numPr>
        <w:autoSpaceDE w:val="0"/>
        <w:autoSpaceDN w:val="0"/>
        <w:ind w:left="709" w:hanging="284"/>
        <w:jc w:val="both"/>
      </w:pPr>
      <w:r w:rsidRPr="00784F93">
        <w:t xml:space="preserve">odpady </w:t>
      </w:r>
      <w:r w:rsidRPr="00F417AA">
        <w:t>promieniotwórcze</w:t>
      </w:r>
      <w:r w:rsidRPr="00784F93">
        <w:t xml:space="preserve"> z likwidacji poszczególnych </w:t>
      </w:r>
      <w:r>
        <w:t>reaktorów</w:t>
      </w:r>
      <w:r w:rsidRPr="00784F93">
        <w:t xml:space="preserve"> będą wliczane do bilansu przez </w:t>
      </w:r>
      <w:r>
        <w:t xml:space="preserve">30 </w:t>
      </w:r>
      <w:r w:rsidRPr="00784F93">
        <w:t>lat od wyłączenia bloku</w:t>
      </w:r>
      <w:r>
        <w:t>;</w:t>
      </w:r>
    </w:p>
    <w:p w14:paraId="4B11B537" w14:textId="77777777" w:rsidR="00084F8B" w:rsidRDefault="00084F8B" w:rsidP="00BB74DC">
      <w:pPr>
        <w:ind w:firstLine="283"/>
        <w:jc w:val="both"/>
        <w:rPr>
          <w:rFonts w:eastAsia="MS Mincho"/>
          <w:lang w:eastAsia="ja-JP"/>
        </w:rPr>
      </w:pPr>
      <w:r w:rsidRPr="00784F93">
        <w:rPr>
          <w:rFonts w:eastAsia="MS Mincho"/>
          <w:lang w:eastAsia="ja-JP"/>
        </w:rPr>
        <w:t>Dla określenia ilości zapotrzebowania na paliwo jądrowe oraz ilości wytwarzanych odpadów promieniotwórczych i wypalonego paliwa jądrowego przez sektor energetyki jądrowej posłużono się obliczeniami NCBJ wykonanymi dla technologii lekkowodnej</w:t>
      </w:r>
      <w:r>
        <w:rPr>
          <w:rFonts w:eastAsia="MS Mincho"/>
          <w:lang w:eastAsia="ja-JP"/>
        </w:rPr>
        <w:t xml:space="preserve"> (PWR)</w:t>
      </w:r>
      <w:r>
        <w:rPr>
          <w:rStyle w:val="Odwoanieprzypisudolnego"/>
          <w:rFonts w:eastAsia="MS Mincho"/>
          <w:lang w:eastAsia="ja-JP"/>
        </w:rPr>
        <w:footnoteReference w:id="19"/>
      </w:r>
      <w:r>
        <w:rPr>
          <w:rFonts w:eastAsia="MS Mincho"/>
          <w:lang w:eastAsia="ja-JP"/>
        </w:rPr>
        <w:t xml:space="preserve">. </w:t>
      </w:r>
    </w:p>
    <w:p w14:paraId="0161EB8E" w14:textId="77777777" w:rsidR="00084F8B" w:rsidRPr="00F74164" w:rsidRDefault="00084F8B" w:rsidP="008D5796">
      <w:pPr>
        <w:pStyle w:val="Nagwek3"/>
        <w:rPr>
          <w:rFonts w:eastAsia="MS Mincho"/>
          <w:lang w:eastAsia="ja-JP"/>
        </w:rPr>
      </w:pPr>
      <w:bookmarkStart w:id="97" w:name="_Toc397697020"/>
      <w:bookmarkStart w:id="98" w:name="_Toc424116707"/>
      <w:r>
        <w:rPr>
          <w:rFonts w:eastAsia="MS Mincho"/>
          <w:lang w:eastAsia="ja-JP"/>
        </w:rPr>
        <w:t>3</w:t>
      </w:r>
      <w:r w:rsidRPr="00F74164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>6</w:t>
      </w:r>
      <w:r w:rsidRPr="00F74164">
        <w:rPr>
          <w:rFonts w:eastAsia="MS Mincho"/>
          <w:lang w:eastAsia="ja-JP"/>
        </w:rPr>
        <w:t>.1</w:t>
      </w:r>
      <w:r>
        <w:rPr>
          <w:rFonts w:eastAsia="MS Mincho"/>
          <w:lang w:eastAsia="ja-JP"/>
        </w:rPr>
        <w:t>.</w:t>
      </w:r>
      <w:r w:rsidRPr="00F74164">
        <w:rPr>
          <w:rFonts w:eastAsia="MS Mincho"/>
          <w:lang w:eastAsia="ja-JP"/>
        </w:rPr>
        <w:t xml:space="preserve"> Odpady </w:t>
      </w:r>
      <w:r w:rsidRPr="00EA0483">
        <w:rPr>
          <w:rFonts w:cs="Calibri"/>
        </w:rPr>
        <w:t>promieniotwórcze</w:t>
      </w:r>
      <w:r w:rsidRPr="008434E1">
        <w:rPr>
          <w:rFonts w:eastAsia="MS Mincho" w:cs="Calibri"/>
          <w:lang w:eastAsia="ja-JP"/>
        </w:rPr>
        <w:t xml:space="preserve"> </w:t>
      </w:r>
      <w:r>
        <w:rPr>
          <w:rFonts w:eastAsia="MS Mincho" w:cs="Calibri"/>
          <w:lang w:eastAsia="ja-JP"/>
        </w:rPr>
        <w:t xml:space="preserve">krótkożyciowe </w:t>
      </w:r>
      <w:r w:rsidRPr="00F74164">
        <w:rPr>
          <w:rFonts w:eastAsia="MS Mincho"/>
          <w:lang w:eastAsia="ja-JP"/>
        </w:rPr>
        <w:t>nisko- i średnioaktywne</w:t>
      </w:r>
      <w:bookmarkEnd w:id="97"/>
      <w:bookmarkEnd w:id="98"/>
    </w:p>
    <w:p w14:paraId="249661A2" w14:textId="77777777" w:rsidR="00084F8B" w:rsidRDefault="00084F8B" w:rsidP="00C87B85">
      <w:pPr>
        <w:spacing w:before="120" w:after="120"/>
        <w:ind w:firstLine="567"/>
        <w:jc w:val="both"/>
        <w:rPr>
          <w:rFonts w:eastAsia="MS Mincho"/>
          <w:lang w:eastAsia="ja-JP"/>
        </w:rPr>
      </w:pPr>
      <w:r w:rsidRPr="00784F93">
        <w:rPr>
          <w:rFonts w:eastAsia="MS Mincho"/>
          <w:lang w:eastAsia="ja-JP"/>
        </w:rPr>
        <w:t xml:space="preserve">Na podstawie analizy </w:t>
      </w:r>
      <w:r>
        <w:rPr>
          <w:rFonts w:eastAsia="MS Mincho"/>
          <w:lang w:eastAsia="ja-JP"/>
        </w:rPr>
        <w:t>ww. danych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zakłada się</w:t>
      </w:r>
      <w:r w:rsidRPr="00784F93">
        <w:rPr>
          <w:rFonts w:eastAsia="MS Mincho"/>
          <w:lang w:eastAsia="ja-JP"/>
        </w:rPr>
        <w:t xml:space="preserve"> całkowitą ilość odpadów promieniotwórczych</w:t>
      </w:r>
      <w:r>
        <w:rPr>
          <w:rFonts w:eastAsia="MS Mincho"/>
          <w:lang w:eastAsia="ja-JP"/>
        </w:rPr>
        <w:t xml:space="preserve"> krótkożyciowych nisko- i średnioaktywnych</w:t>
      </w:r>
      <w:r w:rsidRPr="00784F93">
        <w:rPr>
          <w:rFonts w:eastAsia="MS Mincho"/>
          <w:lang w:eastAsia="ja-JP"/>
        </w:rPr>
        <w:t xml:space="preserve"> z </w:t>
      </w:r>
      <w:r>
        <w:rPr>
          <w:rFonts w:eastAsia="MS Mincho"/>
          <w:lang w:eastAsia="ja-JP"/>
        </w:rPr>
        <w:t xml:space="preserve">60 - letniej </w:t>
      </w:r>
      <w:r w:rsidRPr="00784F93">
        <w:rPr>
          <w:rFonts w:eastAsia="MS Mincho"/>
          <w:lang w:eastAsia="ja-JP"/>
        </w:rPr>
        <w:t>eksploatacji obu siłowni jądrowych na 54</w:t>
      </w:r>
      <w:r>
        <w:rPr>
          <w:rFonts w:eastAsia="MS Mincho"/>
          <w:lang w:eastAsia="ja-JP"/>
        </w:rPr>
        <w:t> </w:t>
      </w:r>
      <w:r w:rsidRPr="00784F93">
        <w:rPr>
          <w:rFonts w:eastAsia="MS Mincho"/>
          <w:lang w:eastAsia="ja-JP"/>
        </w:rPr>
        <w:t>000 m</w:t>
      </w:r>
      <w:r w:rsidRPr="00D54CAD">
        <w:rPr>
          <w:rFonts w:eastAsia="MS Mincho"/>
          <w:vertAlign w:val="superscript"/>
          <w:lang w:eastAsia="ja-JP"/>
        </w:rPr>
        <w:t>3</w:t>
      </w:r>
      <w:r w:rsidRPr="00784F93">
        <w:rPr>
          <w:rFonts w:eastAsia="MS Mincho"/>
          <w:lang w:eastAsia="ja-JP"/>
        </w:rPr>
        <w:t xml:space="preserve"> (45 000 m</w:t>
      </w:r>
      <w:r w:rsidRPr="00D54CAD">
        <w:rPr>
          <w:rFonts w:eastAsia="MS Mincho"/>
          <w:vertAlign w:val="superscript"/>
          <w:lang w:eastAsia="ja-JP"/>
        </w:rPr>
        <w:t>3</w:t>
      </w:r>
      <w:r w:rsidRPr="00784F93">
        <w:rPr>
          <w:rFonts w:eastAsia="MS Mincho"/>
          <w:lang w:eastAsia="ja-JP"/>
        </w:rPr>
        <w:t xml:space="preserve"> nisko- i 9 000 m</w:t>
      </w:r>
      <w:r w:rsidRPr="00D54CAD">
        <w:rPr>
          <w:rFonts w:eastAsia="MS Mincho"/>
          <w:vertAlign w:val="superscript"/>
          <w:lang w:eastAsia="ja-JP"/>
        </w:rPr>
        <w:t>3</w:t>
      </w:r>
      <w:r w:rsidRPr="00784F93">
        <w:rPr>
          <w:rFonts w:eastAsia="MS Mincho"/>
          <w:lang w:eastAsia="ja-JP"/>
        </w:rPr>
        <w:t xml:space="preserve"> średnioaktywnych)</w:t>
      </w:r>
      <w:r>
        <w:rPr>
          <w:rFonts w:eastAsia="MS Mincho"/>
          <w:lang w:eastAsia="ja-JP"/>
        </w:rPr>
        <w:t xml:space="preserve">. </w:t>
      </w:r>
    </w:p>
    <w:p w14:paraId="382C3C6D" w14:textId="77777777" w:rsidR="00084F8B" w:rsidRPr="00BB74DC" w:rsidRDefault="002E4457" w:rsidP="00C95559">
      <w:pPr>
        <w:spacing w:before="120" w:after="120"/>
        <w:jc w:val="both"/>
        <w:rPr>
          <w:rFonts w:eastAsia="MS Mincho"/>
          <w:lang w:eastAsia="ja-JP"/>
        </w:rPr>
      </w:pPr>
      <w:r>
        <w:rPr>
          <w:noProof/>
        </w:rPr>
        <w:drawing>
          <wp:inline distT="0" distB="0" distL="0" distR="0" wp14:anchorId="0A826E9A" wp14:editId="62023FE9">
            <wp:extent cx="5353050" cy="3028950"/>
            <wp:effectExtent l="0" t="0" r="0" b="0"/>
            <wp:docPr id="72" name="Wykres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35D4E3F" w14:textId="77777777" w:rsidR="00AD1555" w:rsidRPr="00BB74DC" w:rsidRDefault="00AD1555" w:rsidP="00C95559">
      <w:pPr>
        <w:spacing w:before="120" w:after="120"/>
        <w:jc w:val="both"/>
        <w:rPr>
          <w:rFonts w:eastAsia="MS Mincho"/>
          <w:lang w:eastAsia="ja-JP"/>
        </w:rPr>
      </w:pPr>
    </w:p>
    <w:p w14:paraId="03FC4C50" w14:textId="77777777" w:rsidR="00084F8B" w:rsidRPr="00F74164" w:rsidRDefault="00084F8B" w:rsidP="008D5796">
      <w:pPr>
        <w:pStyle w:val="Nagwek3"/>
        <w:rPr>
          <w:rFonts w:eastAsia="MS Mincho"/>
          <w:lang w:eastAsia="ja-JP"/>
        </w:rPr>
      </w:pPr>
      <w:bookmarkStart w:id="99" w:name="_Toc397697021"/>
      <w:bookmarkStart w:id="100" w:name="_Toc424116708"/>
      <w:r>
        <w:rPr>
          <w:rFonts w:eastAsia="MS Mincho"/>
          <w:lang w:eastAsia="ja-JP"/>
        </w:rPr>
        <w:t>3</w:t>
      </w:r>
      <w:r w:rsidRPr="00F74164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>6</w:t>
      </w:r>
      <w:r w:rsidRPr="00F74164">
        <w:rPr>
          <w:rFonts w:eastAsia="MS Mincho"/>
          <w:lang w:eastAsia="ja-JP"/>
        </w:rPr>
        <w:t>.2</w:t>
      </w:r>
      <w:r>
        <w:rPr>
          <w:rFonts w:eastAsia="MS Mincho"/>
          <w:lang w:eastAsia="ja-JP"/>
        </w:rPr>
        <w:t>.</w:t>
      </w:r>
      <w:r w:rsidRPr="00F74164">
        <w:rPr>
          <w:rFonts w:eastAsia="MS Mincho"/>
          <w:lang w:eastAsia="ja-JP"/>
        </w:rPr>
        <w:t xml:space="preserve"> Wypalone paliwo jądrowe</w:t>
      </w:r>
      <w:bookmarkEnd w:id="99"/>
      <w:bookmarkEnd w:id="100"/>
    </w:p>
    <w:p w14:paraId="01085D8D" w14:textId="30A313C5" w:rsidR="00084F8B" w:rsidRDefault="00084F8B" w:rsidP="00C87B85">
      <w:pPr>
        <w:spacing w:after="120"/>
        <w:ind w:firstLine="567"/>
        <w:jc w:val="both"/>
      </w:pPr>
      <w:r>
        <w:t xml:space="preserve">Przyjęto, że w związku z realizacją </w:t>
      </w:r>
      <w:r w:rsidR="005D52A7" w:rsidRPr="00904041">
        <w:t>P</w:t>
      </w:r>
      <w:r w:rsidR="00904041" w:rsidRPr="00904041">
        <w:t>PEJ</w:t>
      </w:r>
      <w:r w:rsidR="005D52A7" w:rsidRPr="00F75614">
        <w:rPr>
          <w:color w:val="FF0000"/>
        </w:rPr>
        <w:t xml:space="preserve"> </w:t>
      </w:r>
      <w:r>
        <w:t>(</w:t>
      </w:r>
      <w:r w:rsidRPr="00A9153A">
        <w:t xml:space="preserve">budowa </w:t>
      </w:r>
      <w:r w:rsidR="005C5AAC" w:rsidRPr="00A9153A">
        <w:t xml:space="preserve">co najmniej </w:t>
      </w:r>
      <w:r w:rsidRPr="00A9153A">
        <w:t>dwóch elektrowni jądrowych o mocy ok. 6000 MW</w:t>
      </w:r>
      <w:r>
        <w:t>), w ciągu 60 lat ich eksploatacji wytworzone zostanie  6.700 tHM wypalonego paliwa.</w:t>
      </w:r>
    </w:p>
    <w:p w14:paraId="38F99E73" w14:textId="77777777" w:rsidR="00084F8B" w:rsidRDefault="002E4457" w:rsidP="00185E37">
      <w:pPr>
        <w:spacing w:after="120"/>
        <w:jc w:val="both"/>
      </w:pPr>
      <w:r>
        <w:rPr>
          <w:noProof/>
        </w:rPr>
        <w:lastRenderedPageBreak/>
        <w:drawing>
          <wp:inline distT="0" distB="0" distL="0" distR="0" wp14:anchorId="41525B89" wp14:editId="0F8E6D04">
            <wp:extent cx="5353050" cy="3086100"/>
            <wp:effectExtent l="0" t="0" r="19050" b="19050"/>
            <wp:docPr id="73" name="Wykres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77D1655" w14:textId="77777777" w:rsidR="00084F8B" w:rsidRDefault="00084F8B" w:rsidP="00A155A8">
      <w:pPr>
        <w:jc w:val="both"/>
        <w:rPr>
          <w:rFonts w:cs="Calibri"/>
          <w:sz w:val="16"/>
        </w:rPr>
      </w:pPr>
      <w:r>
        <w:t xml:space="preserve">Faktyczna ilość wypalonego paliwa jądrowego będzie znana po wyborze technologii i przekazaniu przez przyszłego dostawcę technologii danych dotyczących ilości generowanych w trakcie pracy odpadów promieniotwórczych i wypalonego paliwa jądrowego. </w:t>
      </w:r>
      <w:r w:rsidRPr="00DC20CB">
        <w:rPr>
          <w:rFonts w:cs="Calibri"/>
          <w:szCs w:val="24"/>
        </w:rPr>
        <w:t>Wielkości te zostaną uwzględnione w kolejnych aktualizacjach Krajowego planu</w:t>
      </w:r>
      <w:r w:rsidR="009A227F">
        <w:rPr>
          <w:rFonts w:cs="Calibri"/>
          <w:szCs w:val="24"/>
        </w:rPr>
        <w:t>.</w:t>
      </w:r>
      <w:r w:rsidRPr="00DC20CB">
        <w:rPr>
          <w:rFonts w:cs="Calibri"/>
          <w:sz w:val="16"/>
        </w:rPr>
        <w:t xml:space="preserve"> </w:t>
      </w:r>
    </w:p>
    <w:p w14:paraId="14CEC5CD" w14:textId="77777777" w:rsidR="0082336B" w:rsidRDefault="0082336B" w:rsidP="00A155A8">
      <w:pPr>
        <w:jc w:val="both"/>
        <w:rPr>
          <w:rFonts w:cs="Calibri"/>
          <w:sz w:val="16"/>
        </w:rPr>
      </w:pPr>
    </w:p>
    <w:p w14:paraId="5B86F3F5" w14:textId="77777777" w:rsidR="00084F8B" w:rsidRDefault="00084F8B" w:rsidP="008D5796">
      <w:pPr>
        <w:pStyle w:val="Nagwek2"/>
      </w:pPr>
      <w:bookmarkStart w:id="101" w:name="_Toc397697022"/>
      <w:bookmarkStart w:id="102" w:name="_Toc424116709"/>
      <w:r w:rsidRPr="00355686">
        <w:t>3.</w:t>
      </w:r>
      <w:r>
        <w:t>7.</w:t>
      </w:r>
      <w:r w:rsidRPr="00355686">
        <w:t xml:space="preserve"> Odpady promieniotwórcze pochodzące z likwidacji obiektów jądrow</w:t>
      </w:r>
      <w:r>
        <w:t>ych</w:t>
      </w:r>
      <w:bookmarkEnd w:id="101"/>
      <w:bookmarkEnd w:id="102"/>
    </w:p>
    <w:p w14:paraId="6349D777" w14:textId="77777777" w:rsidR="00084F8B" w:rsidRPr="00355686" w:rsidRDefault="00084F8B" w:rsidP="008D5796">
      <w:pPr>
        <w:pStyle w:val="Nagwek3"/>
      </w:pPr>
      <w:bookmarkStart w:id="103" w:name="_Toc397697023"/>
      <w:bookmarkStart w:id="104" w:name="_Toc424116710"/>
      <w:r w:rsidRPr="00355686">
        <w:t>3.</w:t>
      </w:r>
      <w:r>
        <w:t>7</w:t>
      </w:r>
      <w:r w:rsidRPr="00355686">
        <w:t>.1</w:t>
      </w:r>
      <w:r>
        <w:t>.</w:t>
      </w:r>
      <w:r w:rsidRPr="00355686">
        <w:t xml:space="preserve"> Reaktor MARIA</w:t>
      </w:r>
      <w:bookmarkEnd w:id="103"/>
      <w:bookmarkEnd w:id="104"/>
    </w:p>
    <w:p w14:paraId="22DBEBCA" w14:textId="77777777" w:rsidR="00084F8B" w:rsidRDefault="00084F8B" w:rsidP="00D7225B">
      <w:pPr>
        <w:rPr>
          <w:b/>
          <w:sz w:val="24"/>
          <w:szCs w:val="24"/>
        </w:rPr>
      </w:pPr>
    </w:p>
    <w:p w14:paraId="69F16C03" w14:textId="77777777" w:rsidR="00084F8B" w:rsidRPr="00784F93" w:rsidRDefault="00084F8B" w:rsidP="00C87B85">
      <w:pPr>
        <w:ind w:firstLine="567"/>
      </w:pPr>
      <w:r w:rsidRPr="00042FD4">
        <w:t>Na podstawie opracowania</w:t>
      </w:r>
      <w:r>
        <w:t xml:space="preserve"> Instytutu Energii Atomowej</w:t>
      </w:r>
      <w:r>
        <w:rPr>
          <w:rStyle w:val="Odwoanieprzypisudolnego"/>
          <w:b/>
        </w:rPr>
        <w:footnoteReference w:id="20"/>
      </w:r>
      <w:r w:rsidRPr="00784F93">
        <w:t xml:space="preserve">, </w:t>
      </w:r>
      <w:r>
        <w:t>przewiduje się następujące ilości odpadów promieniotwórczych stałych krótkożyciowych</w:t>
      </w:r>
      <w:r w:rsidRPr="00784F93">
        <w:t>:</w:t>
      </w:r>
    </w:p>
    <w:p w14:paraId="6DC9A1CD" w14:textId="77777777" w:rsidR="00084F8B" w:rsidRPr="00784F93" w:rsidRDefault="00084F8B" w:rsidP="00D7225B">
      <w:pPr>
        <w:pStyle w:val="ListParagraph2"/>
        <w:numPr>
          <w:ilvl w:val="0"/>
          <w:numId w:val="9"/>
        </w:numPr>
      </w:pPr>
      <w:r w:rsidRPr="00784F93">
        <w:t xml:space="preserve">Niskoaktywne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84F93">
        <w:t>- 100 m</w:t>
      </w:r>
      <w:r w:rsidRPr="00784F93">
        <w:rPr>
          <w:vertAlign w:val="superscript"/>
        </w:rPr>
        <w:t>3</w:t>
      </w:r>
      <w:r w:rsidR="004725EF">
        <w:t>;</w:t>
      </w:r>
    </w:p>
    <w:p w14:paraId="6B513932" w14:textId="77777777" w:rsidR="00084F8B" w:rsidRPr="00784F93" w:rsidRDefault="00084F8B" w:rsidP="00D7225B">
      <w:pPr>
        <w:pStyle w:val="ListParagraph2"/>
        <w:numPr>
          <w:ilvl w:val="0"/>
          <w:numId w:val="9"/>
        </w:numPr>
      </w:pPr>
      <w:r w:rsidRPr="00784F93">
        <w:t xml:space="preserve">Średnioaktywne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784F93">
        <w:t xml:space="preserve">  -  50 m</w:t>
      </w:r>
      <w:r w:rsidRPr="00784F93">
        <w:rPr>
          <w:vertAlign w:val="superscript"/>
        </w:rPr>
        <w:t>3</w:t>
      </w:r>
      <w:r w:rsidR="004725EF">
        <w:t>;</w:t>
      </w:r>
    </w:p>
    <w:p w14:paraId="260C1998" w14:textId="77777777" w:rsidR="00084F8B" w:rsidRPr="00784F93" w:rsidRDefault="00084F8B" w:rsidP="00D7225B">
      <w:pPr>
        <w:pStyle w:val="ListParagraph2"/>
        <w:numPr>
          <w:ilvl w:val="0"/>
          <w:numId w:val="9"/>
        </w:numPr>
      </w:pPr>
      <w:r w:rsidRPr="00784F93">
        <w:t xml:space="preserve">Niskoaktywne produkty zestalania koncentratów po wyparnych </w:t>
      </w:r>
      <w:r>
        <w:t xml:space="preserve">   </w:t>
      </w:r>
      <w:r w:rsidRPr="00784F93">
        <w:t xml:space="preserve"> - 30</w:t>
      </w:r>
      <w:r>
        <w:t xml:space="preserve"> </w:t>
      </w:r>
      <w:r w:rsidRPr="00784F93">
        <w:t>m</w:t>
      </w:r>
      <w:r w:rsidRPr="00784F93">
        <w:rPr>
          <w:vertAlign w:val="superscript"/>
        </w:rPr>
        <w:t>3</w:t>
      </w:r>
      <w:r>
        <w:t>.</w:t>
      </w:r>
    </w:p>
    <w:p w14:paraId="393E9B62" w14:textId="28570583" w:rsidR="00084F8B" w:rsidRPr="00784F93" w:rsidRDefault="00D75ED3" w:rsidP="00D7225B">
      <w:pPr>
        <w:spacing w:before="120"/>
        <w:jc w:val="both"/>
      </w:pPr>
      <w:r>
        <w:t>NCBJ</w:t>
      </w:r>
      <w:r w:rsidR="00084F8B" w:rsidRPr="00784F93">
        <w:t xml:space="preserve"> </w:t>
      </w:r>
      <w:r w:rsidR="00995C82">
        <w:t xml:space="preserve">w 2012 </w:t>
      </w:r>
      <w:r w:rsidR="00084F8B" w:rsidRPr="00784F93">
        <w:t>r</w:t>
      </w:r>
      <w:r w:rsidR="00084F8B">
        <w:t>.</w:t>
      </w:r>
      <w:r w:rsidR="00084F8B" w:rsidRPr="00784F93">
        <w:t xml:space="preserve"> </w:t>
      </w:r>
      <w:r w:rsidR="00084F8B">
        <w:t>oszacował</w:t>
      </w:r>
      <w:r w:rsidR="00084F8B" w:rsidRPr="00784F93">
        <w:t xml:space="preserve"> pojemność </w:t>
      </w:r>
      <w:r w:rsidR="00084F8B">
        <w:t xml:space="preserve">w </w:t>
      </w:r>
      <w:r w:rsidR="00084F8B" w:rsidRPr="00784F93">
        <w:t>składowisk</w:t>
      </w:r>
      <w:r w:rsidR="00084F8B">
        <w:t>u</w:t>
      </w:r>
      <w:r w:rsidR="00084F8B" w:rsidRPr="00784F93">
        <w:t xml:space="preserve"> </w:t>
      </w:r>
      <w:r w:rsidR="00084F8B">
        <w:t>powierzchniowym odpadów promieniotwórczych konieczną, jako</w:t>
      </w:r>
      <w:r w:rsidR="00084F8B" w:rsidRPr="00784F93">
        <w:t xml:space="preserve"> rezerw</w:t>
      </w:r>
      <w:r w:rsidR="00084F8B">
        <w:t>a</w:t>
      </w:r>
      <w:r w:rsidR="00084F8B" w:rsidRPr="00784F93">
        <w:t xml:space="preserve"> na likwidację lub modernizację reaktora MARIA i </w:t>
      </w:r>
      <w:r w:rsidR="00084F8B">
        <w:t>związanych z reaktorem MARIA l</w:t>
      </w:r>
      <w:r w:rsidR="00084F8B" w:rsidRPr="00784F93">
        <w:t xml:space="preserve">aboratoriów </w:t>
      </w:r>
      <w:r w:rsidR="00084F8B">
        <w:t xml:space="preserve">izotopowych NCBJ, na </w:t>
      </w:r>
      <w:r w:rsidR="00084F8B" w:rsidRPr="00784F93">
        <w:t>20 000 m</w:t>
      </w:r>
      <w:r w:rsidR="00084F8B" w:rsidRPr="00784F93">
        <w:rPr>
          <w:vertAlign w:val="superscript"/>
        </w:rPr>
        <w:t>3</w:t>
      </w:r>
      <w:r w:rsidR="00084F8B">
        <w:rPr>
          <w:vertAlign w:val="superscript"/>
        </w:rPr>
        <w:t xml:space="preserve"> </w:t>
      </w:r>
      <w:r w:rsidR="00084F8B">
        <w:t>(przy założeniu likwidacji</w:t>
      </w:r>
      <w:r w:rsidR="00084F8B" w:rsidRPr="00784F93">
        <w:t xml:space="preserve"> obiektów do III stopnia </w:t>
      </w:r>
      <w:r w:rsidR="00084F8B">
        <w:t xml:space="preserve">-tzw. </w:t>
      </w:r>
      <w:r w:rsidR="00084F8B" w:rsidRPr="00784F93">
        <w:t>„zielona trawa”).</w:t>
      </w:r>
    </w:p>
    <w:p w14:paraId="31DBDD2A" w14:textId="77777777" w:rsidR="00084F8B" w:rsidRPr="00F74164" w:rsidRDefault="00084F8B" w:rsidP="008D5796">
      <w:pPr>
        <w:pStyle w:val="Nagwek3"/>
      </w:pPr>
      <w:bookmarkStart w:id="105" w:name="_Toc397697024"/>
      <w:bookmarkStart w:id="106" w:name="_Toc424116711"/>
      <w:r>
        <w:t>3</w:t>
      </w:r>
      <w:r w:rsidRPr="00F74164">
        <w:t>.</w:t>
      </w:r>
      <w:r>
        <w:t>7</w:t>
      </w:r>
      <w:r w:rsidRPr="00F74164">
        <w:t>.2</w:t>
      </w:r>
      <w:r>
        <w:t>.</w:t>
      </w:r>
      <w:r w:rsidRPr="00F74164">
        <w:t xml:space="preserve"> Elektrownie jądrowe</w:t>
      </w:r>
      <w:bookmarkEnd w:id="105"/>
      <w:bookmarkEnd w:id="106"/>
    </w:p>
    <w:p w14:paraId="5AC05093" w14:textId="77777777" w:rsidR="00084F8B" w:rsidRDefault="00084F8B" w:rsidP="00C87B85">
      <w:pPr>
        <w:spacing w:before="120" w:after="120"/>
        <w:ind w:firstLine="567"/>
        <w:jc w:val="both"/>
        <w:rPr>
          <w:rFonts w:eastAsia="MS Mincho"/>
          <w:lang w:eastAsia="ja-JP"/>
        </w:rPr>
      </w:pPr>
      <w:r>
        <w:t xml:space="preserve">Ilość </w:t>
      </w:r>
      <w:r w:rsidRPr="00784F93">
        <w:rPr>
          <w:rFonts w:eastAsia="MS Mincho"/>
          <w:lang w:eastAsia="ja-JP"/>
        </w:rPr>
        <w:t>odpad</w:t>
      </w:r>
      <w:r>
        <w:rPr>
          <w:rFonts w:eastAsia="MS Mincho"/>
          <w:lang w:eastAsia="ja-JP"/>
        </w:rPr>
        <w:t>ów</w:t>
      </w:r>
      <w:r w:rsidRPr="00784F93">
        <w:rPr>
          <w:rFonts w:eastAsia="MS Mincho"/>
          <w:lang w:eastAsia="ja-JP"/>
        </w:rPr>
        <w:t xml:space="preserve"> </w:t>
      </w:r>
      <w:r>
        <w:t>promieniotwórczych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krótkożyciowych </w:t>
      </w:r>
      <w:r w:rsidRPr="00784F93">
        <w:rPr>
          <w:rFonts w:eastAsia="MS Mincho"/>
          <w:lang w:eastAsia="ja-JP"/>
        </w:rPr>
        <w:t>z likwidacji obu elektrowni jądrowych wyni</w:t>
      </w:r>
      <w:r>
        <w:rPr>
          <w:rFonts w:eastAsia="MS Mincho"/>
          <w:lang w:eastAsia="ja-JP"/>
        </w:rPr>
        <w:t>esie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ok. </w:t>
      </w:r>
      <w:r w:rsidRPr="00784F93">
        <w:rPr>
          <w:rFonts w:eastAsia="MS Mincho"/>
          <w:lang w:eastAsia="ja-JP"/>
        </w:rPr>
        <w:t xml:space="preserve">67 500 </w:t>
      </w:r>
      <w:r w:rsidRPr="00784F93">
        <w:t>m</w:t>
      </w:r>
      <w:r w:rsidRPr="00784F93">
        <w:rPr>
          <w:vertAlign w:val="superscript"/>
        </w:rPr>
        <w:t>3</w:t>
      </w:r>
      <w:r w:rsidRPr="00784F93">
        <w:rPr>
          <w:rFonts w:eastAsia="MS Mincho"/>
          <w:lang w:eastAsia="ja-JP"/>
        </w:rPr>
        <w:t xml:space="preserve"> (w tym 6 000 </w:t>
      </w:r>
      <w:r w:rsidRPr="00784F93">
        <w:t>m</w:t>
      </w:r>
      <w:r w:rsidRPr="00784F93">
        <w:rPr>
          <w:vertAlign w:val="superscript"/>
        </w:rPr>
        <w:t>3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odpadów </w:t>
      </w:r>
      <w:r w:rsidRPr="00784F93">
        <w:rPr>
          <w:rFonts w:eastAsia="MS Mincho"/>
          <w:lang w:eastAsia="ja-JP"/>
        </w:rPr>
        <w:t>średnioaktywnych).</w:t>
      </w:r>
      <w:r>
        <w:rPr>
          <w:rFonts w:eastAsia="MS Mincho"/>
          <w:lang w:eastAsia="ja-JP"/>
        </w:rPr>
        <w:t xml:space="preserve"> Patrz rysunek 3.3. </w:t>
      </w:r>
    </w:p>
    <w:p w14:paraId="72F74502" w14:textId="77777777" w:rsidR="00084F8B" w:rsidRPr="00F74164" w:rsidRDefault="00084F8B" w:rsidP="008D5796">
      <w:pPr>
        <w:pStyle w:val="Nagwek2"/>
      </w:pPr>
      <w:bookmarkStart w:id="107" w:name="_Toc397697025"/>
      <w:bookmarkStart w:id="108" w:name="_Toc424116712"/>
      <w:r>
        <w:t>3</w:t>
      </w:r>
      <w:r w:rsidRPr="00F74164">
        <w:t>.</w:t>
      </w:r>
      <w:r>
        <w:t>8.</w:t>
      </w:r>
      <w:r w:rsidRPr="00F74164">
        <w:t xml:space="preserve"> Podsumowanie</w:t>
      </w:r>
      <w:r>
        <w:t xml:space="preserve"> dotyczące ilości odpadów promieniotwórczych</w:t>
      </w:r>
      <w:bookmarkEnd w:id="107"/>
      <w:bookmarkEnd w:id="108"/>
    </w:p>
    <w:p w14:paraId="131F5BD5" w14:textId="77777777" w:rsidR="00084F8B" w:rsidRPr="00784F93" w:rsidRDefault="00084F8B" w:rsidP="00C87B85">
      <w:pPr>
        <w:spacing w:before="120" w:after="120"/>
        <w:ind w:firstLine="567"/>
        <w:jc w:val="both"/>
      </w:pPr>
      <w:r w:rsidRPr="00784F93">
        <w:t xml:space="preserve">Opierając się na wymienionych we wcześniejszych </w:t>
      </w:r>
      <w:r w:rsidR="0082336B">
        <w:t>rozdziałach</w:t>
      </w:r>
      <w:r w:rsidR="0082336B" w:rsidRPr="00784F93">
        <w:t xml:space="preserve"> </w:t>
      </w:r>
      <w:r w:rsidRPr="00784F93">
        <w:t>danych</w:t>
      </w:r>
      <w:r w:rsidR="00673233">
        <w:t>,</w:t>
      </w:r>
      <w:r w:rsidRPr="00784F93">
        <w:t xml:space="preserve"> oszacowano</w:t>
      </w:r>
      <w:r w:rsidR="00673233">
        <w:t xml:space="preserve"> następujące ilości odpadów promieniotwórczych</w:t>
      </w:r>
      <w:r w:rsidR="00AF28D9">
        <w:t xml:space="preserve"> (rozdział 3.8.1 i 3.8.2)</w:t>
      </w:r>
      <w:r w:rsidR="007C7ABB">
        <w:t>,</w:t>
      </w:r>
      <w:r>
        <w:t xml:space="preserve"> </w:t>
      </w:r>
      <w:r w:rsidR="00673233">
        <w:t xml:space="preserve">które będą składowane w NSPOP i NSGOP. </w:t>
      </w:r>
    </w:p>
    <w:p w14:paraId="3512C8D4" w14:textId="77777777" w:rsidR="00084F8B" w:rsidRPr="00784F93" w:rsidRDefault="00084F8B" w:rsidP="008D5796">
      <w:pPr>
        <w:pStyle w:val="Nagwek3"/>
        <w:rPr>
          <w:b/>
        </w:rPr>
      </w:pPr>
      <w:bookmarkStart w:id="109" w:name="_Toc397697026"/>
      <w:bookmarkStart w:id="110" w:name="_Toc424116713"/>
      <w:r>
        <w:lastRenderedPageBreak/>
        <w:t>3</w:t>
      </w:r>
      <w:r w:rsidRPr="00F74164">
        <w:t>.</w:t>
      </w:r>
      <w:r>
        <w:t>8</w:t>
      </w:r>
      <w:r w:rsidRPr="00F74164">
        <w:t>.1</w:t>
      </w:r>
      <w:r>
        <w:t>.</w:t>
      </w:r>
      <w:r w:rsidRPr="00F74164">
        <w:t xml:space="preserve"> Odpady promieniotwórcze </w:t>
      </w:r>
      <w:r>
        <w:t xml:space="preserve">krótkożyciowe </w:t>
      </w:r>
      <w:r w:rsidRPr="00F74164">
        <w:t>nisko- i średnioaktywne (do 2144</w:t>
      </w:r>
      <w:r>
        <w:t xml:space="preserve"> r.</w:t>
      </w:r>
      <w:r w:rsidRPr="00F74164">
        <w:t xml:space="preserve">) </w:t>
      </w:r>
      <w:r w:rsidRPr="008A1C08">
        <w:t xml:space="preserve">przeznaczone do składowania w </w:t>
      </w:r>
      <w:r>
        <w:t>NSPOP</w:t>
      </w:r>
      <w:bookmarkEnd w:id="109"/>
      <w:bookmarkEnd w:id="110"/>
    </w:p>
    <w:p w14:paraId="2CAF4DAD" w14:textId="4F9B6D98" w:rsidR="00084F8B" w:rsidRPr="00784F93" w:rsidRDefault="00084F8B" w:rsidP="00C87B85">
      <w:pPr>
        <w:spacing w:before="120" w:after="120"/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Ilość odpadów promieniotwórczych krótkożyciowych nisko- i średnioaktywnych przeznaczonych do składowania w NSPOP do 21</w:t>
      </w:r>
      <w:r w:rsidR="00E3222A">
        <w:rPr>
          <w:rFonts w:eastAsia="MS Mincho"/>
          <w:lang w:eastAsia="ja-JP"/>
        </w:rPr>
        <w:t>52</w:t>
      </w:r>
      <w:r>
        <w:rPr>
          <w:rFonts w:eastAsia="MS Mincho"/>
          <w:lang w:eastAsia="ja-JP"/>
        </w:rPr>
        <w:t xml:space="preserve"> r. wyniesie </w:t>
      </w:r>
      <w:r w:rsidRPr="00784F93">
        <w:rPr>
          <w:rFonts w:eastAsia="MS Mincho"/>
          <w:lang w:eastAsia="ja-JP"/>
        </w:rPr>
        <w:t>153 500 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rPr>
          <w:rFonts w:eastAsia="MS Mincho"/>
          <w:lang w:eastAsia="ja-JP"/>
        </w:rPr>
        <w:t>, z tego:</w:t>
      </w:r>
    </w:p>
    <w:p w14:paraId="5C43A576" w14:textId="77777777" w:rsidR="00084F8B" w:rsidRPr="00784F93" w:rsidRDefault="00084F8B" w:rsidP="00B06205">
      <w:pPr>
        <w:numPr>
          <w:ilvl w:val="0"/>
          <w:numId w:val="26"/>
        </w:numPr>
        <w:ind w:left="714" w:hanging="357"/>
        <w:jc w:val="both"/>
      </w:pPr>
      <w:r w:rsidRPr="00784F93">
        <w:rPr>
          <w:rFonts w:eastAsia="MS Mincho"/>
          <w:lang w:eastAsia="ja-JP"/>
        </w:rPr>
        <w:t xml:space="preserve">z eksploatacji obu </w:t>
      </w:r>
      <w:r>
        <w:rPr>
          <w:rFonts w:eastAsia="MS Mincho"/>
          <w:lang w:eastAsia="ja-JP"/>
        </w:rPr>
        <w:t>elektrowni</w:t>
      </w:r>
      <w:r w:rsidRPr="00784F93">
        <w:rPr>
          <w:rFonts w:eastAsia="MS Mincho"/>
          <w:lang w:eastAsia="ja-JP"/>
        </w:rPr>
        <w:t xml:space="preserve"> jądrowych 54 000 m</w:t>
      </w:r>
      <w:r w:rsidRPr="00784F93">
        <w:rPr>
          <w:rFonts w:eastAsia="MS Mincho"/>
          <w:vertAlign w:val="superscript"/>
          <w:lang w:eastAsia="ja-JP"/>
        </w:rPr>
        <w:t xml:space="preserve">3 </w:t>
      </w:r>
      <w:r w:rsidRPr="00784F93">
        <w:rPr>
          <w:rFonts w:eastAsia="MS Mincho"/>
          <w:lang w:eastAsia="ja-JP"/>
        </w:rPr>
        <w:t>(45 000</w:t>
      </w:r>
      <w:r w:rsidRPr="00784F93">
        <w:rPr>
          <w:rFonts w:eastAsia="MS Mincho"/>
          <w:vertAlign w:val="superscript"/>
          <w:lang w:eastAsia="ja-JP"/>
        </w:rPr>
        <w:t xml:space="preserve"> </w:t>
      </w:r>
      <w:r w:rsidRPr="00784F93">
        <w:rPr>
          <w:rFonts w:eastAsia="MS Mincho"/>
          <w:lang w:eastAsia="ja-JP"/>
        </w:rPr>
        <w:t>m</w:t>
      </w:r>
      <w:r w:rsidRPr="00784F93">
        <w:rPr>
          <w:rFonts w:eastAsia="MS Mincho"/>
          <w:vertAlign w:val="superscript"/>
          <w:lang w:eastAsia="ja-JP"/>
        </w:rPr>
        <w:t xml:space="preserve">3 </w:t>
      </w:r>
      <w:r w:rsidRPr="00784F93">
        <w:rPr>
          <w:rFonts w:eastAsia="MS Mincho"/>
          <w:lang w:eastAsia="ja-JP"/>
        </w:rPr>
        <w:t>nisko- i 9 000 m</w:t>
      </w:r>
      <w:r w:rsidRPr="00784F93">
        <w:rPr>
          <w:rFonts w:eastAsia="MS Mincho"/>
          <w:vertAlign w:val="superscript"/>
          <w:lang w:eastAsia="ja-JP"/>
        </w:rPr>
        <w:t xml:space="preserve">3 </w:t>
      </w:r>
      <w:r w:rsidRPr="00784F93">
        <w:rPr>
          <w:rFonts w:eastAsia="MS Mincho"/>
          <w:lang w:eastAsia="ja-JP"/>
        </w:rPr>
        <w:t xml:space="preserve">średnioaktywnych), </w:t>
      </w:r>
    </w:p>
    <w:p w14:paraId="2A2F81E0" w14:textId="77777777" w:rsidR="00084F8B" w:rsidRPr="00784F93" w:rsidRDefault="00084F8B" w:rsidP="00B06205">
      <w:pPr>
        <w:numPr>
          <w:ilvl w:val="0"/>
          <w:numId w:val="26"/>
        </w:numPr>
        <w:ind w:left="714" w:hanging="357"/>
        <w:jc w:val="both"/>
      </w:pPr>
      <w:r w:rsidRPr="00784F93">
        <w:rPr>
          <w:rFonts w:eastAsia="MS Mincho"/>
          <w:lang w:eastAsia="ja-JP"/>
        </w:rPr>
        <w:t>z likwidacji obu elektrowni jądrowych 67 500 m</w:t>
      </w:r>
      <w:r w:rsidRPr="00784F93">
        <w:rPr>
          <w:rFonts w:eastAsia="MS Mincho"/>
          <w:vertAlign w:val="superscript"/>
          <w:lang w:eastAsia="ja-JP"/>
        </w:rPr>
        <w:t xml:space="preserve">3 </w:t>
      </w:r>
      <w:r w:rsidRPr="00784F93">
        <w:rPr>
          <w:rFonts w:eastAsia="MS Mincho"/>
          <w:lang w:eastAsia="ja-JP"/>
        </w:rPr>
        <w:t>(w tym 6 000 m</w:t>
      </w:r>
      <w:r w:rsidRPr="00784F93">
        <w:rPr>
          <w:rFonts w:eastAsia="MS Mincho"/>
          <w:vertAlign w:val="superscript"/>
          <w:lang w:eastAsia="ja-JP"/>
        </w:rPr>
        <w:t xml:space="preserve">3 </w:t>
      </w:r>
      <w:r w:rsidRPr="00784F93">
        <w:rPr>
          <w:rFonts w:eastAsia="MS Mincho"/>
          <w:lang w:eastAsia="ja-JP"/>
        </w:rPr>
        <w:t xml:space="preserve">krótkożyciowych średnioaktywnych), </w:t>
      </w:r>
    </w:p>
    <w:p w14:paraId="7B963853" w14:textId="77777777" w:rsidR="00084F8B" w:rsidRPr="00784F93" w:rsidRDefault="00084F8B" w:rsidP="00B06205">
      <w:pPr>
        <w:numPr>
          <w:ilvl w:val="0"/>
          <w:numId w:val="26"/>
        </w:numPr>
        <w:ind w:left="714" w:hanging="357"/>
        <w:jc w:val="both"/>
      </w:pPr>
      <w:r w:rsidRPr="00784F93">
        <w:rPr>
          <w:rFonts w:eastAsia="MS Mincho"/>
          <w:lang w:eastAsia="ja-JP"/>
        </w:rPr>
        <w:t xml:space="preserve">z </w:t>
      </w:r>
      <w:r>
        <w:rPr>
          <w:rFonts w:eastAsia="MS Mincho"/>
          <w:lang w:eastAsia="ja-JP"/>
        </w:rPr>
        <w:t>zastosowań medycznych, naukowych i przemysłowych (w tym reaktora MARIA), spoza sektora energetyki jądrowej</w:t>
      </w:r>
      <w:r w:rsidRPr="00784F93">
        <w:rPr>
          <w:rFonts w:eastAsia="MS Mincho"/>
          <w:lang w:eastAsia="ja-JP"/>
        </w:rPr>
        <w:t xml:space="preserve"> (rocznie po 100 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rPr>
          <w:rFonts w:eastAsia="MS Mincho"/>
          <w:lang w:eastAsia="ja-JP"/>
        </w:rPr>
        <w:t>) 12 000 m</w:t>
      </w:r>
      <w:r w:rsidRPr="00784F93">
        <w:rPr>
          <w:rFonts w:eastAsia="MS Mincho"/>
          <w:vertAlign w:val="superscript"/>
          <w:lang w:eastAsia="ja-JP"/>
        </w:rPr>
        <w:t xml:space="preserve">3 </w:t>
      </w:r>
      <w:r w:rsidRPr="00784F93">
        <w:rPr>
          <w:rFonts w:eastAsia="MS Mincho"/>
          <w:lang w:eastAsia="ja-JP"/>
        </w:rPr>
        <w:t>krótkożyciowych nisko- i średnioaktywnych odpadów promieniotwórczych</w:t>
      </w:r>
      <w:r>
        <w:rPr>
          <w:rStyle w:val="Odwoanieprzypisudolnego"/>
          <w:rFonts w:eastAsia="MS Mincho"/>
          <w:lang w:eastAsia="ja-JP"/>
        </w:rPr>
        <w:footnoteReference w:id="21"/>
      </w:r>
      <w:r w:rsidRPr="00784F93">
        <w:rPr>
          <w:rFonts w:eastAsia="MS Mincho"/>
          <w:lang w:eastAsia="ja-JP"/>
        </w:rPr>
        <w:t xml:space="preserve"> oraz </w:t>
      </w:r>
    </w:p>
    <w:p w14:paraId="4CFBD312" w14:textId="77777777" w:rsidR="00084F8B" w:rsidRPr="008A1C08" w:rsidRDefault="00084F8B" w:rsidP="00B06205">
      <w:pPr>
        <w:numPr>
          <w:ilvl w:val="0"/>
          <w:numId w:val="26"/>
        </w:numPr>
        <w:jc w:val="both"/>
        <w:rPr>
          <w:lang w:eastAsia="en-US"/>
        </w:rPr>
      </w:pPr>
      <w:r>
        <w:rPr>
          <w:rFonts w:eastAsia="MS Mincho"/>
          <w:lang w:eastAsia="ja-JP"/>
        </w:rPr>
        <w:t xml:space="preserve">z </w:t>
      </w:r>
      <w:r w:rsidRPr="00784F93">
        <w:rPr>
          <w:rFonts w:eastAsia="MS Mincho"/>
          <w:lang w:eastAsia="ja-JP"/>
        </w:rPr>
        <w:t xml:space="preserve">likwidacji reaktora MARIA </w:t>
      </w:r>
      <w:r>
        <w:rPr>
          <w:rFonts w:eastAsia="MS Mincho"/>
          <w:lang w:eastAsia="ja-JP"/>
        </w:rPr>
        <w:t>i związanych z reaktorem MARIA laboratoriów izotopowych NCBJ (</w:t>
      </w:r>
      <w:r w:rsidRPr="00784F93">
        <w:rPr>
          <w:rFonts w:eastAsia="MS Mincho"/>
          <w:lang w:eastAsia="ja-JP"/>
        </w:rPr>
        <w:t>20 000 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krótkożyciowych nisko- i średnioaktywnych)</w:t>
      </w:r>
      <w:r w:rsidRPr="00784F93">
        <w:rPr>
          <w:rFonts w:eastAsia="MS Mincho"/>
          <w:lang w:eastAsia="ja-JP"/>
        </w:rPr>
        <w:t xml:space="preserve">. </w:t>
      </w:r>
    </w:p>
    <w:p w14:paraId="73DD2A62" w14:textId="77777777" w:rsidR="00084F8B" w:rsidRDefault="00084F8B" w:rsidP="009520C1">
      <w:pPr>
        <w:spacing w:before="120" w:after="12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P</w:t>
      </w:r>
      <w:r w:rsidRPr="00784F93">
        <w:rPr>
          <w:rFonts w:eastAsia="MS Mincho"/>
          <w:lang w:eastAsia="ja-JP"/>
        </w:rPr>
        <w:t xml:space="preserve">o dodaniu rezerwy </w:t>
      </w:r>
      <w:r>
        <w:rPr>
          <w:rFonts w:eastAsia="MS Mincho"/>
          <w:lang w:eastAsia="ja-JP"/>
        </w:rPr>
        <w:t xml:space="preserve">na nieprzewidziane zdarzenia </w:t>
      </w:r>
      <w:r w:rsidRPr="00784F93">
        <w:rPr>
          <w:rFonts w:eastAsia="MS Mincho"/>
          <w:lang w:eastAsia="ja-JP"/>
        </w:rPr>
        <w:t>w wysokości 16.500 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oznacza to całkowitą, </w:t>
      </w:r>
      <w:r w:rsidRPr="00784F93">
        <w:rPr>
          <w:rFonts w:eastAsia="MS Mincho"/>
          <w:lang w:eastAsia="ja-JP"/>
        </w:rPr>
        <w:t xml:space="preserve">niezbędną pojemność </w:t>
      </w:r>
      <w:r>
        <w:rPr>
          <w:rFonts w:eastAsia="MS Mincho"/>
          <w:lang w:eastAsia="ja-JP"/>
        </w:rPr>
        <w:t>NSPOP</w:t>
      </w:r>
      <w:r w:rsidRPr="00784F93">
        <w:rPr>
          <w:rFonts w:eastAsia="MS Mincho"/>
          <w:lang w:eastAsia="ja-JP"/>
        </w:rPr>
        <w:t xml:space="preserve"> na poziomie 170 000 m</w:t>
      </w:r>
      <w:r w:rsidRPr="00784F93">
        <w:rPr>
          <w:rFonts w:eastAsia="MS Mincho"/>
          <w:vertAlign w:val="superscript"/>
          <w:lang w:eastAsia="ja-JP"/>
        </w:rPr>
        <w:t>3</w:t>
      </w:r>
      <w:r w:rsidRPr="00784F93">
        <w:rPr>
          <w:rFonts w:eastAsia="MS Mincho"/>
          <w:lang w:eastAsia="ja-JP"/>
        </w:rPr>
        <w:t>.</w:t>
      </w:r>
    </w:p>
    <w:p w14:paraId="06AFF16F" w14:textId="413EE4E8" w:rsidR="00084F8B" w:rsidRDefault="002E4457" w:rsidP="00D30EA0">
      <w:pPr>
        <w:spacing w:before="120" w:after="120"/>
        <w:jc w:val="both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1C839FD" wp14:editId="1FABB179">
            <wp:simplePos x="0" y="0"/>
            <wp:positionH relativeFrom="column">
              <wp:posOffset>82550</wp:posOffset>
            </wp:positionH>
            <wp:positionV relativeFrom="paragraph">
              <wp:posOffset>597535</wp:posOffset>
            </wp:positionV>
            <wp:extent cx="5394960" cy="3480435"/>
            <wp:effectExtent l="0" t="0" r="15240" b="5715"/>
            <wp:wrapSquare wrapText="bothSides"/>
            <wp:docPr id="74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33452F" wp14:editId="48F1C1D6">
            <wp:simplePos x="0" y="0"/>
            <wp:positionH relativeFrom="column">
              <wp:posOffset>82550</wp:posOffset>
            </wp:positionH>
            <wp:positionV relativeFrom="paragraph">
              <wp:posOffset>597535</wp:posOffset>
            </wp:positionV>
            <wp:extent cx="5394960" cy="3480435"/>
            <wp:effectExtent l="0" t="0" r="15240" b="5715"/>
            <wp:wrapSquare wrapText="bothSides"/>
            <wp:docPr id="63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inline distT="0" distB="0" distL="0" distR="0" wp14:anchorId="7DA61D8F" wp14:editId="41137D4F">
            <wp:extent cx="5386508" cy="4387584"/>
            <wp:effectExtent l="0" t="0" r="5080" b="13335"/>
            <wp:docPr id="6" name="Obi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6CDDE4E" w14:textId="77777777" w:rsidR="00084F8B" w:rsidRPr="00784F93" w:rsidRDefault="00084F8B" w:rsidP="0091037F">
      <w:pPr>
        <w:spacing w:before="120" w:after="120"/>
        <w:jc w:val="both"/>
      </w:pPr>
    </w:p>
    <w:p w14:paraId="42D62BE7" w14:textId="77777777" w:rsidR="00084F8B" w:rsidRPr="00F74164" w:rsidRDefault="00084F8B" w:rsidP="008D5796">
      <w:pPr>
        <w:pStyle w:val="Nagwek3"/>
      </w:pPr>
      <w:bookmarkStart w:id="111" w:name="_Toc397697027"/>
      <w:bookmarkStart w:id="112" w:name="_Toc424116714"/>
      <w:r>
        <w:lastRenderedPageBreak/>
        <w:t>3</w:t>
      </w:r>
      <w:r w:rsidRPr="00F74164">
        <w:t>.</w:t>
      </w:r>
      <w:r>
        <w:t>8</w:t>
      </w:r>
      <w:r w:rsidRPr="00F74164">
        <w:t>.2</w:t>
      </w:r>
      <w:r>
        <w:t>.</w:t>
      </w:r>
      <w:r w:rsidRPr="00F74164">
        <w:t xml:space="preserve"> Odpady promieniotwórcze</w:t>
      </w:r>
      <w:r>
        <w:t>, w tym w</w:t>
      </w:r>
      <w:r w:rsidRPr="00F74164">
        <w:t>ypalone paliwo jądrowe</w:t>
      </w:r>
      <w:r>
        <w:t>,</w:t>
      </w:r>
      <w:r w:rsidRPr="00F74164">
        <w:t xml:space="preserve"> przeznaczone do składowania w S</w:t>
      </w:r>
      <w:r>
        <w:t>G</w:t>
      </w:r>
      <w:r w:rsidRPr="00F74164">
        <w:t>OP</w:t>
      </w:r>
      <w:bookmarkEnd w:id="111"/>
      <w:bookmarkEnd w:id="112"/>
    </w:p>
    <w:p w14:paraId="2D5F2764" w14:textId="77777777" w:rsidR="00084F8B" w:rsidRDefault="00084F8B" w:rsidP="00C87B85">
      <w:pPr>
        <w:spacing w:before="120" w:after="120"/>
        <w:ind w:firstLine="567"/>
        <w:jc w:val="both"/>
      </w:pPr>
      <w:r>
        <w:t>Do składowania w SGOP przeznaczone będą następujące ilości odpadów promieniotwórczych:</w:t>
      </w:r>
    </w:p>
    <w:p w14:paraId="36770570" w14:textId="77777777" w:rsidR="00084F8B" w:rsidRPr="00C87B85" w:rsidRDefault="00084F8B" w:rsidP="004725EF">
      <w:pPr>
        <w:numPr>
          <w:ilvl w:val="0"/>
          <w:numId w:val="39"/>
        </w:numPr>
        <w:tabs>
          <w:tab w:val="clear" w:pos="1080"/>
          <w:tab w:val="num" w:pos="709"/>
        </w:tabs>
        <w:ind w:left="709" w:hanging="283"/>
        <w:jc w:val="both"/>
      </w:pPr>
      <w:r>
        <w:t xml:space="preserve">wypalone paliwo jądrowe pochodzące </w:t>
      </w:r>
      <w:r w:rsidRPr="00784F93">
        <w:t>z energetyki jądrowej:</w:t>
      </w:r>
      <w:r w:rsidRPr="00784F93">
        <w:rPr>
          <w:rFonts w:eastAsia="MS Mincho"/>
          <w:lang w:eastAsia="ja-JP"/>
        </w:rPr>
        <w:t xml:space="preserve"> 6 700 </w:t>
      </w:r>
      <w:r w:rsidRPr="00784F93">
        <w:rPr>
          <w:rFonts w:eastAsia="MS Mincho"/>
          <w:i/>
          <w:lang w:eastAsia="ja-JP"/>
        </w:rPr>
        <w:t>tHM</w:t>
      </w:r>
      <w:r>
        <w:rPr>
          <w:rFonts w:eastAsia="MS Mincho"/>
          <w:i/>
          <w:lang w:eastAsia="ja-JP"/>
        </w:rPr>
        <w:t>;</w:t>
      </w:r>
    </w:p>
    <w:p w14:paraId="0F1878ED" w14:textId="77777777" w:rsidR="00084F8B" w:rsidRPr="00C87B85" w:rsidRDefault="00084F8B" w:rsidP="0000292C">
      <w:pPr>
        <w:numPr>
          <w:ilvl w:val="0"/>
          <w:numId w:val="39"/>
        </w:numPr>
        <w:tabs>
          <w:tab w:val="clear" w:pos="1080"/>
          <w:tab w:val="num" w:pos="709"/>
        </w:tabs>
        <w:spacing w:before="120" w:after="120"/>
        <w:ind w:left="709" w:hanging="284"/>
        <w:jc w:val="both"/>
      </w:pPr>
      <w:r>
        <w:t xml:space="preserve">wypalone paliwo jądrowe pochodzące z reaktora badawczego </w:t>
      </w:r>
      <w:r w:rsidRPr="00784F93">
        <w:rPr>
          <w:rFonts w:eastAsia="MS Mincho"/>
          <w:lang w:eastAsia="ja-JP"/>
        </w:rPr>
        <w:t>w</w:t>
      </w:r>
      <w:r>
        <w:rPr>
          <w:rFonts w:eastAsia="MS Mincho"/>
          <w:lang w:eastAsia="ja-JP"/>
        </w:rPr>
        <w:t> </w:t>
      </w:r>
      <w:r w:rsidRPr="00784F93">
        <w:rPr>
          <w:rFonts w:eastAsia="MS Mincho"/>
          <w:lang w:eastAsia="ja-JP"/>
        </w:rPr>
        <w:t xml:space="preserve">wysokości 800 </w:t>
      </w:r>
      <w:r w:rsidRPr="00784F93">
        <w:rPr>
          <w:rFonts w:eastAsia="MS Mincho"/>
          <w:i/>
          <w:lang w:eastAsia="ja-JP"/>
        </w:rPr>
        <w:t>tHM</w:t>
      </w:r>
      <w:r w:rsidR="00E5217C">
        <w:rPr>
          <w:rFonts w:eastAsia="MS Mincho"/>
          <w:i/>
          <w:lang w:eastAsia="ja-JP"/>
        </w:rPr>
        <w:t>;</w:t>
      </w:r>
      <w:r>
        <w:rPr>
          <w:rFonts w:eastAsia="MS Mincho"/>
          <w:i/>
          <w:lang w:eastAsia="ja-JP"/>
        </w:rPr>
        <w:t xml:space="preserve"> </w:t>
      </w:r>
    </w:p>
    <w:p w14:paraId="38E3CA67" w14:textId="77777777" w:rsidR="00084F8B" w:rsidRPr="003C7202" w:rsidRDefault="00084F8B" w:rsidP="0000292C">
      <w:pPr>
        <w:numPr>
          <w:ilvl w:val="0"/>
          <w:numId w:val="39"/>
        </w:numPr>
        <w:tabs>
          <w:tab w:val="clear" w:pos="1080"/>
          <w:tab w:val="num" w:pos="709"/>
        </w:tabs>
        <w:spacing w:before="120" w:after="120"/>
        <w:ind w:left="709" w:hanging="284"/>
        <w:jc w:val="both"/>
      </w:pPr>
      <w:r w:rsidRPr="003C7202">
        <w:t>wysokoaktywne zużyte zamknięte źródła promieniotwórcze pochodzące z onkologii (medycyny): 190 szt. odebrane do 2050 r.</w:t>
      </w:r>
      <w:r w:rsidR="00E5217C">
        <w:t>;</w:t>
      </w:r>
      <w:r w:rsidRPr="003C7202">
        <w:t xml:space="preserve"> </w:t>
      </w:r>
    </w:p>
    <w:p w14:paraId="15D8B500" w14:textId="13FFADBD" w:rsidR="00084F8B" w:rsidRPr="00F12976" w:rsidRDefault="00084F8B" w:rsidP="004725EF">
      <w:pPr>
        <w:numPr>
          <w:ilvl w:val="0"/>
          <w:numId w:val="39"/>
        </w:numPr>
        <w:tabs>
          <w:tab w:val="clear" w:pos="1080"/>
          <w:tab w:val="num" w:pos="709"/>
        </w:tabs>
        <w:ind w:left="709" w:hanging="283"/>
        <w:jc w:val="both"/>
        <w:rPr>
          <w:color w:val="0D0D0D"/>
        </w:rPr>
      </w:pPr>
      <w:r>
        <w:rPr>
          <w:bCs/>
          <w:color w:val="0D0D0D"/>
        </w:rPr>
        <w:t xml:space="preserve">odpady promieniotwórcze długożyciowe niskoaktywne zgromadzone </w:t>
      </w:r>
      <w:r w:rsidRPr="00F12976">
        <w:rPr>
          <w:bCs/>
          <w:color w:val="0D0D0D"/>
        </w:rPr>
        <w:t>do tej pory w KSOP w</w:t>
      </w:r>
      <w:r>
        <w:rPr>
          <w:bCs/>
          <w:color w:val="0D0D0D"/>
        </w:rPr>
        <w:t> </w:t>
      </w:r>
      <w:r w:rsidR="003A36BC">
        <w:rPr>
          <w:bCs/>
          <w:color w:val="0D0D0D"/>
        </w:rPr>
        <w:t>Różanie - 1 386</w:t>
      </w:r>
      <w:r w:rsidRPr="00F12976">
        <w:rPr>
          <w:bCs/>
          <w:color w:val="0D0D0D"/>
        </w:rPr>
        <w:t>,</w:t>
      </w:r>
      <w:r w:rsidR="003A36BC">
        <w:rPr>
          <w:bCs/>
          <w:color w:val="0D0D0D"/>
        </w:rPr>
        <w:t>6</w:t>
      </w:r>
      <w:r w:rsidRPr="00F12976">
        <w:rPr>
          <w:color w:val="0D0D0D"/>
        </w:rPr>
        <w:t xml:space="preserve"> m</w:t>
      </w:r>
      <w:r w:rsidRPr="00F12976">
        <w:rPr>
          <w:rFonts w:eastAsia="MS Mincho"/>
          <w:color w:val="0D0D0D"/>
          <w:vertAlign w:val="superscript"/>
          <w:lang w:eastAsia="ja-JP"/>
        </w:rPr>
        <w:t>3</w:t>
      </w:r>
      <w:r>
        <w:rPr>
          <w:color w:val="0D0D0D"/>
        </w:rPr>
        <w:t>;</w:t>
      </w:r>
    </w:p>
    <w:p w14:paraId="35A483D6" w14:textId="3607C0F6" w:rsidR="00084F8B" w:rsidRPr="004725EF" w:rsidRDefault="00084F8B" w:rsidP="004725EF">
      <w:pPr>
        <w:numPr>
          <w:ilvl w:val="0"/>
          <w:numId w:val="39"/>
        </w:numPr>
        <w:tabs>
          <w:tab w:val="clear" w:pos="1080"/>
          <w:tab w:val="num" w:pos="709"/>
        </w:tabs>
        <w:ind w:left="709" w:hanging="283"/>
        <w:jc w:val="both"/>
        <w:rPr>
          <w:color w:val="0D0D0D"/>
        </w:rPr>
      </w:pPr>
      <w:r>
        <w:rPr>
          <w:color w:val="0D0D0D"/>
        </w:rPr>
        <w:t xml:space="preserve">odpady promieniotwórcze stałe długożyciowe niskoaktywne, które będą </w:t>
      </w:r>
      <w:r w:rsidRPr="00F12976">
        <w:rPr>
          <w:color w:val="0D0D0D"/>
        </w:rPr>
        <w:t>gromadzone w kolejnych latach (</w:t>
      </w:r>
      <w:r w:rsidR="00DC62B3">
        <w:rPr>
          <w:color w:val="0D0D0D"/>
        </w:rPr>
        <w:t>od 2020</w:t>
      </w:r>
      <w:r>
        <w:rPr>
          <w:color w:val="0D0D0D"/>
        </w:rPr>
        <w:t xml:space="preserve"> r. </w:t>
      </w:r>
      <w:r w:rsidR="00C44AB2">
        <w:rPr>
          <w:color w:val="0D0D0D"/>
        </w:rPr>
        <w:t>do 2126</w:t>
      </w:r>
      <w:r>
        <w:rPr>
          <w:color w:val="0D0D0D"/>
        </w:rPr>
        <w:t xml:space="preserve"> r.</w:t>
      </w:r>
      <w:r w:rsidRPr="00F12976">
        <w:rPr>
          <w:color w:val="0D0D0D"/>
        </w:rPr>
        <w:t xml:space="preserve">) </w:t>
      </w:r>
      <w:r>
        <w:rPr>
          <w:color w:val="0D0D0D"/>
        </w:rPr>
        <w:t>-</w:t>
      </w:r>
      <w:r w:rsidRPr="00F12976">
        <w:rPr>
          <w:color w:val="0D0D0D"/>
        </w:rPr>
        <w:t xml:space="preserve"> 2,0 m</w:t>
      </w:r>
      <w:r w:rsidRPr="00F12976">
        <w:rPr>
          <w:rFonts w:eastAsia="MS Mincho"/>
          <w:color w:val="0D0D0D"/>
          <w:vertAlign w:val="superscript"/>
          <w:lang w:eastAsia="ja-JP"/>
        </w:rPr>
        <w:t xml:space="preserve">3 </w:t>
      </w:r>
      <w:r>
        <w:rPr>
          <w:color w:val="0D0D0D"/>
        </w:rPr>
        <w:t>rocznie, co daje łącznie 21</w:t>
      </w:r>
      <w:r w:rsidR="00DC62B3">
        <w:rPr>
          <w:color w:val="0D0D0D"/>
        </w:rPr>
        <w:t>4</w:t>
      </w:r>
      <w:r>
        <w:rPr>
          <w:color w:val="0D0D0D"/>
        </w:rPr>
        <w:t xml:space="preserve"> </w:t>
      </w:r>
      <w:r w:rsidRPr="00F12976">
        <w:rPr>
          <w:color w:val="0D0D0D"/>
        </w:rPr>
        <w:t>m</w:t>
      </w:r>
      <w:r w:rsidRPr="00F12976">
        <w:rPr>
          <w:rFonts w:eastAsia="MS Mincho"/>
          <w:color w:val="0D0D0D"/>
          <w:vertAlign w:val="superscript"/>
          <w:lang w:eastAsia="ja-JP"/>
        </w:rPr>
        <w:t>3</w:t>
      </w:r>
      <w:r w:rsidRPr="00F12976">
        <w:rPr>
          <w:color w:val="0D0D0D"/>
        </w:rPr>
        <w:t>.</w:t>
      </w:r>
    </w:p>
    <w:p w14:paraId="0362837C" w14:textId="77777777" w:rsidR="00084F8B" w:rsidRPr="008A1C08" w:rsidRDefault="00084F8B" w:rsidP="00605D37">
      <w:pPr>
        <w:pStyle w:val="Nagwek3"/>
        <w:rPr>
          <w:b/>
        </w:rPr>
      </w:pPr>
      <w:bookmarkStart w:id="113" w:name="_Toc424116715"/>
      <w:r>
        <w:t>3.8.3 Możliwość</w:t>
      </w:r>
      <w:r w:rsidRPr="00F74164">
        <w:t xml:space="preserve"> </w:t>
      </w:r>
      <w:r>
        <w:t>Zmiany klasyfikacji odpadów Promieniotworczych</w:t>
      </w:r>
      <w:bookmarkEnd w:id="113"/>
      <w:r>
        <w:t xml:space="preserve">  </w:t>
      </w:r>
    </w:p>
    <w:p w14:paraId="755ADE3F" w14:textId="77777777" w:rsidR="00084F8B" w:rsidRDefault="00084F8B" w:rsidP="00E874DF">
      <w:pPr>
        <w:jc w:val="both"/>
        <w:rPr>
          <w:color w:val="0D0D0D"/>
        </w:rPr>
      </w:pPr>
    </w:p>
    <w:p w14:paraId="3A0D0B8D" w14:textId="77777777" w:rsidR="00084F8B" w:rsidRDefault="00084F8B" w:rsidP="00C87B85">
      <w:pPr>
        <w:ind w:firstLine="567"/>
        <w:jc w:val="both"/>
        <w:rPr>
          <w:color w:val="0D0D0D"/>
        </w:rPr>
      </w:pPr>
      <w:r>
        <w:rPr>
          <w:color w:val="0D0D0D"/>
        </w:rPr>
        <w:t>W niektórych krajach (np. Francja, Hiszpania, Słowacj</w:t>
      </w:r>
      <w:r w:rsidR="00E5217C">
        <w:rPr>
          <w:color w:val="0D0D0D"/>
        </w:rPr>
        <w:t>a</w:t>
      </w:r>
      <w:r>
        <w:rPr>
          <w:color w:val="0D0D0D"/>
        </w:rPr>
        <w:t>) klasyfikacja odpadów promieniotwórczych obejmuje dodatkową kategorię odpadów promieniotwórczych - bardzo niskoaktywnych. Są to odpady pochodzące głównie z likwidacji obiektów energetyki jądrowej. Zazwyczaj około 90% odpadów, pochodzących z likwidacji elektrowni jądrowej to odpady bardzo niskoaktywne a tylko 10% to odpady nisko i średnioaktywne.</w:t>
      </w:r>
    </w:p>
    <w:p w14:paraId="2180F305" w14:textId="77777777" w:rsidR="00084F8B" w:rsidRDefault="00084F8B" w:rsidP="00E874DF">
      <w:pPr>
        <w:jc w:val="both"/>
        <w:rPr>
          <w:color w:val="0D0D0D"/>
        </w:rPr>
      </w:pPr>
    </w:p>
    <w:p w14:paraId="6AF7D5A4" w14:textId="77777777" w:rsidR="00084F8B" w:rsidRDefault="00084F8B" w:rsidP="00E874DF">
      <w:pPr>
        <w:jc w:val="both"/>
        <w:rPr>
          <w:color w:val="0D0D0D"/>
        </w:rPr>
      </w:pPr>
      <w:r>
        <w:rPr>
          <w:color w:val="0D0D0D"/>
        </w:rPr>
        <w:t>Ze względu na niski poziom aktywności odpadów izotopów zawartych odpadach bardzo niskoaktywnych</w:t>
      </w:r>
      <w:r w:rsidR="0050299F">
        <w:rPr>
          <w:color w:val="0D0D0D"/>
        </w:rPr>
        <w:t xml:space="preserve">, nieco powyżej poziomów określonych dla zwolnienia materiałów z kontroli dozorowej, </w:t>
      </w:r>
      <w:r>
        <w:rPr>
          <w:color w:val="0D0D0D"/>
        </w:rPr>
        <w:t>post</w:t>
      </w:r>
      <w:r w:rsidR="006B42FA">
        <w:rPr>
          <w:color w:val="0D0D0D"/>
        </w:rPr>
        <w:t>ę</w:t>
      </w:r>
      <w:r>
        <w:rPr>
          <w:color w:val="0D0D0D"/>
        </w:rPr>
        <w:t>powanie z nimi jest uproszczone, wymaga mniejszej liczby barier, a przez to jest mniej kosztowne niż post</w:t>
      </w:r>
      <w:r w:rsidR="00606F39">
        <w:rPr>
          <w:color w:val="0D0D0D"/>
        </w:rPr>
        <w:t>ę</w:t>
      </w:r>
      <w:r>
        <w:rPr>
          <w:color w:val="0D0D0D"/>
        </w:rPr>
        <w:t xml:space="preserve">powanie z odpadami nisko i średnioaktywnymi. </w:t>
      </w:r>
    </w:p>
    <w:p w14:paraId="40CBD1B7" w14:textId="77777777" w:rsidR="00084F8B" w:rsidRDefault="00084F8B" w:rsidP="00E874DF">
      <w:pPr>
        <w:jc w:val="both"/>
        <w:rPr>
          <w:color w:val="0D0D0D"/>
        </w:rPr>
      </w:pPr>
    </w:p>
    <w:p w14:paraId="66392AED" w14:textId="77777777" w:rsidR="00084F8B" w:rsidRDefault="00084F8B" w:rsidP="00E874DF">
      <w:pPr>
        <w:jc w:val="both"/>
        <w:rPr>
          <w:color w:val="0D0D0D"/>
        </w:rPr>
      </w:pPr>
      <w:r>
        <w:rPr>
          <w:color w:val="0D0D0D"/>
        </w:rPr>
        <w:t xml:space="preserve">Należy w przyszłości analizować wprowadzenie kategorii odpadów promieniotwórczych bardzo niskoaktywnych, wraz ze zbliżaniem się terminów likwidacji obiektów jądrowych w Polsce. Wprowadzenie tej kategorii odpadów powinno zostać również uwzględnione w NSPOP, poprzez zapewnienie możliwości rozmieszczenia na jego terenie obiektów do składowania tego typu odpadów.    </w:t>
      </w:r>
    </w:p>
    <w:p w14:paraId="3A30B0F2" w14:textId="77777777" w:rsidR="00084F8B" w:rsidRPr="00992E79" w:rsidRDefault="00084F8B" w:rsidP="00992E79">
      <w:pPr>
        <w:spacing w:before="120" w:after="120"/>
        <w:jc w:val="both"/>
        <w:rPr>
          <w:color w:val="0D0D0D"/>
        </w:rPr>
      </w:pPr>
      <w:r>
        <w:rPr>
          <w:color w:val="0D0D0D"/>
        </w:rPr>
        <w:br w:type="page"/>
      </w:r>
    </w:p>
    <w:p w14:paraId="79010E80" w14:textId="77777777" w:rsidR="00084F8B" w:rsidRPr="00A40081" w:rsidRDefault="00084F8B" w:rsidP="008D5796">
      <w:pPr>
        <w:pStyle w:val="Nagwek1"/>
        <w:rPr>
          <w:rFonts w:eastAsia="MS Mincho"/>
          <w:lang w:eastAsia="ja-JP"/>
        </w:rPr>
      </w:pPr>
      <w:bookmarkStart w:id="114" w:name="_Toc397697029"/>
      <w:bookmarkStart w:id="115" w:name="_Toc424116716"/>
      <w:r w:rsidRPr="00A40081">
        <w:rPr>
          <w:rFonts w:eastAsia="MS Mincho"/>
          <w:lang w:eastAsia="ja-JP"/>
        </w:rPr>
        <w:lastRenderedPageBreak/>
        <w:t xml:space="preserve">Rozdział 4. </w:t>
      </w:r>
      <w:r>
        <w:rPr>
          <w:rFonts w:eastAsia="MS Mincho"/>
          <w:lang w:eastAsia="ja-JP"/>
        </w:rPr>
        <w:t>Postępowanie z</w:t>
      </w:r>
      <w:r w:rsidRPr="00A40081">
        <w:rPr>
          <w:rFonts w:eastAsia="MS Mincho"/>
          <w:lang w:eastAsia="ja-JP"/>
        </w:rPr>
        <w:t xml:space="preserve"> odpadami promieniotwórczymi</w:t>
      </w:r>
      <w:r>
        <w:rPr>
          <w:rFonts w:eastAsia="MS Mincho"/>
          <w:lang w:eastAsia="ja-JP"/>
        </w:rPr>
        <w:t xml:space="preserve"> i</w:t>
      </w:r>
      <w:r w:rsidRPr="00A40081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wypalonym paliwem jądrowym</w:t>
      </w:r>
      <w:bookmarkEnd w:id="114"/>
      <w:bookmarkEnd w:id="115"/>
      <w:r w:rsidRPr="00A40081">
        <w:rPr>
          <w:rFonts w:eastAsia="MS Mincho"/>
          <w:lang w:eastAsia="ja-JP"/>
        </w:rPr>
        <w:t xml:space="preserve"> </w:t>
      </w:r>
    </w:p>
    <w:p w14:paraId="758EF950" w14:textId="26F2F298" w:rsidR="00084F8B" w:rsidRDefault="00084F8B" w:rsidP="00177B66">
      <w:pPr>
        <w:widowControl w:val="0"/>
        <w:autoSpaceDE w:val="0"/>
        <w:autoSpaceDN w:val="0"/>
        <w:adjustRightInd w:val="0"/>
        <w:spacing w:before="240" w:after="120"/>
        <w:jc w:val="both"/>
        <w:rPr>
          <w:color w:val="000000"/>
        </w:rPr>
      </w:pPr>
      <w:r w:rsidRPr="00784F93">
        <w:rPr>
          <w:color w:val="000000"/>
        </w:rPr>
        <w:tab/>
      </w:r>
      <w:r>
        <w:t>Każda jednostka organizacyjna, w której powstają odpady promieniotwórcze lub wypalone paliwo jądrowe, jest zobowiązana do zapewnienia możliwości postępowania z tymi odpadami, oraz jego finansowania od momentu ich powstania aż po ich oddanie do składowania, łącznie z finansowaniem składowania</w:t>
      </w:r>
      <w:r>
        <w:rPr>
          <w:rStyle w:val="Odwoanieprzypisudolnego"/>
        </w:rPr>
        <w:footnoteReference w:id="22"/>
      </w:r>
      <w:r>
        <w:t>.</w:t>
      </w:r>
    </w:p>
    <w:p w14:paraId="08FF6A67" w14:textId="77777777" w:rsidR="00084F8B" w:rsidRPr="00784F93" w:rsidRDefault="00084F8B" w:rsidP="008C391D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Instytucją powołaną ustawą – Prawo atomowe do wykonywania działalności w zakresie postępowania z odpadami promieniotwórczymi i wypalonym paliwem jądrowym </w:t>
      </w:r>
      <w:r w:rsidRPr="00784F93">
        <w:rPr>
          <w:color w:val="000000"/>
        </w:rPr>
        <w:t>jest ZUOP</w:t>
      </w:r>
      <w:r>
        <w:rPr>
          <w:rStyle w:val="Odwoanieprzypisudolnego"/>
          <w:color w:val="000000"/>
        </w:rPr>
        <w:footnoteReference w:id="23"/>
      </w:r>
      <w:r w:rsidRPr="00784F93">
        <w:rPr>
          <w:color w:val="000000"/>
        </w:rPr>
        <w:t xml:space="preserve">. </w:t>
      </w:r>
      <w:r>
        <w:rPr>
          <w:color w:val="000000"/>
        </w:rPr>
        <w:t>W</w:t>
      </w:r>
      <w:r w:rsidRPr="00784F93">
        <w:rPr>
          <w:color w:val="000000"/>
        </w:rPr>
        <w:t>ykonuje</w:t>
      </w:r>
      <w:r>
        <w:rPr>
          <w:color w:val="000000"/>
        </w:rPr>
        <w:t xml:space="preserve"> on również </w:t>
      </w:r>
      <w:r w:rsidRPr="00784F93">
        <w:rPr>
          <w:color w:val="000000"/>
        </w:rPr>
        <w:t>działalność polegającą na odbiorze, transporcie, przechowywaniu i składowaniu materiałów jądrowych, źródeł promieniotwórczych oraz innych substancji promieniotwórczych.</w:t>
      </w:r>
      <w:r>
        <w:rPr>
          <w:color w:val="000000"/>
        </w:rPr>
        <w:t xml:space="preserve"> </w:t>
      </w:r>
      <w:r w:rsidRPr="00784F93">
        <w:rPr>
          <w:color w:val="000000"/>
        </w:rPr>
        <w:t xml:space="preserve">Siedzibą ZUOP-u jest Otwock-Świerk, gdzie są przetwarzane oraz przechowywane odpady promieniotwórcze. Po przetworzeniu stałe i zestalone odpady promieniotwórcze </w:t>
      </w:r>
      <w:r>
        <w:rPr>
          <w:color w:val="000000"/>
        </w:rPr>
        <w:t>składowane są w KSOP Różan</w:t>
      </w:r>
      <w:r w:rsidRPr="00784F93">
        <w:rPr>
          <w:color w:val="000000"/>
        </w:rPr>
        <w:t>.</w:t>
      </w:r>
    </w:p>
    <w:p w14:paraId="49A19A1B" w14:textId="728F4137" w:rsidR="00084F8B" w:rsidRPr="00784F93" w:rsidRDefault="00084F8B" w:rsidP="00372EDC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784F93">
        <w:rPr>
          <w:color w:val="000000"/>
        </w:rPr>
        <w:t>ZUOP jest operatorem KSOP</w:t>
      </w:r>
      <w:r>
        <w:rPr>
          <w:color w:val="000000"/>
        </w:rPr>
        <w:t xml:space="preserve"> Różan</w:t>
      </w:r>
      <w:r w:rsidRPr="00784F93">
        <w:rPr>
          <w:color w:val="000000"/>
        </w:rPr>
        <w:t>, w którym składowane są krótkożyciowe nisko- i średnioaktywne odpady promieniotwórcze</w:t>
      </w:r>
      <w:r>
        <w:rPr>
          <w:color w:val="000000"/>
        </w:rPr>
        <w:t xml:space="preserve">, </w:t>
      </w:r>
      <w:r w:rsidRPr="00784F93">
        <w:rPr>
          <w:color w:val="000000"/>
        </w:rPr>
        <w:t xml:space="preserve">zużyte zamknięte źródła promieniotwórcze </w:t>
      </w:r>
      <w:r>
        <w:rPr>
          <w:color w:val="000000"/>
        </w:rPr>
        <w:t>(</w:t>
      </w:r>
      <w:r w:rsidRPr="00784F93">
        <w:rPr>
          <w:color w:val="000000"/>
        </w:rPr>
        <w:t>krótkożyciowe nisko-, średnio</w:t>
      </w:r>
      <w:r w:rsidR="008373B8">
        <w:rPr>
          <w:color w:val="000000"/>
        </w:rPr>
        <w:t xml:space="preserve">-  </w:t>
      </w:r>
      <w:r w:rsidRPr="00784F93">
        <w:rPr>
          <w:color w:val="000000"/>
        </w:rPr>
        <w:t>aktywne</w:t>
      </w:r>
      <w:r>
        <w:rPr>
          <w:color w:val="000000"/>
        </w:rPr>
        <w:t>)</w:t>
      </w:r>
      <w:r w:rsidRPr="00784F93">
        <w:rPr>
          <w:color w:val="000000"/>
        </w:rPr>
        <w:t xml:space="preserve"> </w:t>
      </w:r>
      <w:r>
        <w:rPr>
          <w:color w:val="000000"/>
        </w:rPr>
        <w:t xml:space="preserve">a także </w:t>
      </w:r>
      <w:r w:rsidRPr="00784F93">
        <w:rPr>
          <w:color w:val="000000"/>
        </w:rPr>
        <w:t>przechowywane są odpady długożyciowe nisko</w:t>
      </w:r>
      <w:r w:rsidR="009A15EA">
        <w:rPr>
          <w:color w:val="000000"/>
        </w:rPr>
        <w:t>-</w:t>
      </w:r>
      <w:r>
        <w:rPr>
          <w:color w:val="000000"/>
        </w:rPr>
        <w:t xml:space="preserve"> </w:t>
      </w:r>
      <w:r w:rsidRPr="00784F93">
        <w:rPr>
          <w:color w:val="000000"/>
        </w:rPr>
        <w:t xml:space="preserve">i średnioaktywne. Przed ostatecznym zamknięciem KSOP, odpady długożyciowe zostaną przeniesione do dalszego przechowywania w </w:t>
      </w:r>
      <w:r>
        <w:rPr>
          <w:color w:val="000000"/>
        </w:rPr>
        <w:t>NSPOP</w:t>
      </w:r>
      <w:r w:rsidRPr="00784F93">
        <w:rPr>
          <w:color w:val="000000"/>
        </w:rPr>
        <w:t>.</w:t>
      </w:r>
    </w:p>
    <w:p w14:paraId="57A1C97C" w14:textId="14D11E81" w:rsidR="00084F8B" w:rsidRPr="00784F93" w:rsidRDefault="00084F8B" w:rsidP="0000292C">
      <w:pPr>
        <w:spacing w:after="120"/>
        <w:jc w:val="both"/>
      </w:pPr>
      <w:r w:rsidRPr="00784F93">
        <w:t>Zamknięcie KSOP w Różanie zostanie poprzedzo</w:t>
      </w:r>
      <w:r>
        <w:t xml:space="preserve">ne otwarciem NSPOP </w:t>
      </w:r>
      <w:r w:rsidRPr="00784F93">
        <w:t xml:space="preserve">dla </w:t>
      </w:r>
      <w:r>
        <w:t xml:space="preserve">odpadów </w:t>
      </w:r>
      <w:r w:rsidRPr="00784F93">
        <w:t xml:space="preserve">krótkożyciowych </w:t>
      </w:r>
      <w:r>
        <w:t>nisko–</w:t>
      </w:r>
      <w:r w:rsidRPr="00784F93">
        <w:t xml:space="preserve"> </w:t>
      </w:r>
      <w:r>
        <w:t>i </w:t>
      </w:r>
      <w:r w:rsidRPr="00784F93">
        <w:t>średnioaktywnych</w:t>
      </w:r>
      <w:r>
        <w:t>. NSPOP</w:t>
      </w:r>
      <w:r w:rsidRPr="00784F93">
        <w:t xml:space="preserve"> zostanie wyposażon</w:t>
      </w:r>
      <w:r>
        <w:t>y</w:t>
      </w:r>
      <w:r w:rsidRPr="00784F93">
        <w:t xml:space="preserve"> w instalacje do postępowania z odpadami promieniotwórczymi, pochodzącymi od </w:t>
      </w:r>
      <w:r>
        <w:t>wytwórców z sektora medycznego, placówek naukowych oraz z przemysłu (spoza sektora energetyki jądrowej)</w:t>
      </w:r>
      <w:r w:rsidRPr="00784F93">
        <w:t>. Wyjątkiem będzie pozostawienie na terenie ZUOP w</w:t>
      </w:r>
      <w:r>
        <w:t> </w:t>
      </w:r>
      <w:r w:rsidRPr="00784F93">
        <w:t>Otwocku-Świerku instalacji do przetwarzania odpadów ciekłych, ze względu na lokalizację w tym miejscu reaktora badawczego MARIA</w:t>
      </w:r>
      <w:r>
        <w:t xml:space="preserve">, z którego pochodzi </w:t>
      </w:r>
      <w:r w:rsidR="008373B8">
        <w:t>ponad 95</w:t>
      </w:r>
      <w:r w:rsidRPr="00784F93">
        <w:t>% ciekłych odpadów promieniotwórczych</w:t>
      </w:r>
      <w:r>
        <w:t xml:space="preserve"> wytwarzanych obecnie w Polsce</w:t>
      </w:r>
      <w:r w:rsidRPr="00784F93">
        <w:t>.</w:t>
      </w:r>
    </w:p>
    <w:p w14:paraId="74BB856B" w14:textId="6C5D91B4" w:rsidR="00084F8B" w:rsidRPr="002229D4" w:rsidRDefault="00084F8B" w:rsidP="008D5796">
      <w:pPr>
        <w:pStyle w:val="Nagwek2"/>
      </w:pPr>
      <w:bookmarkStart w:id="116" w:name="_Toc397697030"/>
      <w:bookmarkStart w:id="117" w:name="_Toc424116717"/>
      <w:r w:rsidRPr="002229D4">
        <w:t xml:space="preserve">4.1. </w:t>
      </w:r>
      <w:r>
        <w:t>Postępowanie z</w:t>
      </w:r>
      <w:r w:rsidRPr="002229D4">
        <w:t xml:space="preserve"> odpadami promieniotwórczymi</w:t>
      </w:r>
      <w:r w:rsidRPr="009F25FA">
        <w:t xml:space="preserve"> krótkożyciowymi</w:t>
      </w:r>
      <w:r w:rsidRPr="002229D4">
        <w:t xml:space="preserve"> nisko</w:t>
      </w:r>
      <w:r w:rsidR="00C31456">
        <w:t xml:space="preserve"> </w:t>
      </w:r>
      <w:r w:rsidRPr="002229D4">
        <w:t xml:space="preserve">- </w:t>
      </w:r>
      <w:r w:rsidR="00C31456">
        <w:br/>
      </w:r>
      <w:r w:rsidRPr="002229D4">
        <w:t>i średnioaktywnymi</w:t>
      </w:r>
      <w:bookmarkEnd w:id="116"/>
      <w:bookmarkEnd w:id="117"/>
    </w:p>
    <w:p w14:paraId="58FA3EE0" w14:textId="77777777" w:rsidR="00472695" w:rsidRPr="00F74164" w:rsidRDefault="00472695" w:rsidP="00472695">
      <w:pPr>
        <w:pStyle w:val="Nagwek3"/>
      </w:pPr>
      <w:bookmarkStart w:id="118" w:name="_Toc424116718"/>
      <w:r>
        <w:t>4</w:t>
      </w:r>
      <w:r w:rsidRPr="00F74164">
        <w:t>.</w:t>
      </w:r>
      <w:r>
        <w:t>1</w:t>
      </w:r>
      <w:r w:rsidRPr="00F74164">
        <w:t>.1</w:t>
      </w:r>
      <w:r>
        <w:t>.</w:t>
      </w:r>
      <w:r w:rsidRPr="00F74164">
        <w:t xml:space="preserve"> </w:t>
      </w:r>
      <w:r>
        <w:t>Postępowanie z</w:t>
      </w:r>
      <w:r w:rsidRPr="00F74164">
        <w:t xml:space="preserve"> </w:t>
      </w:r>
      <w:r>
        <w:t>odpadami promieniotwórczymi w miejscu ich powstania</w:t>
      </w:r>
      <w:bookmarkEnd w:id="118"/>
    </w:p>
    <w:p w14:paraId="134AEB86" w14:textId="77777777" w:rsidR="00084F8B" w:rsidRPr="00784F93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 w:rsidRPr="00784F93">
        <w:rPr>
          <w:color w:val="000000"/>
        </w:rPr>
        <w:t xml:space="preserve">Wytwórca odpadów promieniotwórczych </w:t>
      </w:r>
      <w:r>
        <w:rPr>
          <w:color w:val="000000"/>
        </w:rPr>
        <w:t>jest odpowiedzialny za zapewnienie możliwości postępowania z nimi</w:t>
      </w:r>
      <w:r>
        <w:rPr>
          <w:rStyle w:val="Odwoanieprzypisudolnego"/>
          <w:color w:val="000000"/>
        </w:rPr>
        <w:footnoteReference w:id="24"/>
      </w:r>
      <w:r>
        <w:rPr>
          <w:color w:val="000000"/>
        </w:rPr>
        <w:t xml:space="preserve">, w tym za </w:t>
      </w:r>
      <w:r w:rsidRPr="00784F93">
        <w:rPr>
          <w:color w:val="000000"/>
        </w:rPr>
        <w:t>ograniczenie ich ilości</w:t>
      </w:r>
      <w:r>
        <w:rPr>
          <w:rStyle w:val="Odwoanieprzypisudolnego"/>
          <w:color w:val="000000"/>
        </w:rPr>
        <w:footnoteReference w:id="25"/>
      </w:r>
      <w:r>
        <w:rPr>
          <w:color w:val="000000"/>
        </w:rPr>
        <w:t>.</w:t>
      </w:r>
      <w:r w:rsidRPr="00784F93">
        <w:rPr>
          <w:color w:val="000000"/>
        </w:rPr>
        <w:t xml:space="preserve"> </w:t>
      </w:r>
      <w:r w:rsidR="005361AA">
        <w:rPr>
          <w:color w:val="000000"/>
        </w:rPr>
        <w:t xml:space="preserve">Kierownik jednostki organizacyjnej prowadzącej działalność związaną z narażeniem na promieniowanie jonizujące </w:t>
      </w:r>
      <w:r>
        <w:rPr>
          <w:color w:val="000000"/>
        </w:rPr>
        <w:t xml:space="preserve">jest zobowiązany do </w:t>
      </w:r>
      <w:r w:rsidR="00B21E07">
        <w:rPr>
          <w:color w:val="000000"/>
        </w:rPr>
        <w:t>dokonania</w:t>
      </w:r>
      <w:r w:rsidR="0001028A">
        <w:rPr>
          <w:color w:val="000000"/>
        </w:rPr>
        <w:t xml:space="preserve"> </w:t>
      </w:r>
      <w:r>
        <w:rPr>
          <w:color w:val="000000"/>
        </w:rPr>
        <w:t xml:space="preserve">kwalifikacji </w:t>
      </w:r>
      <w:r w:rsidR="00A14CF7">
        <w:rPr>
          <w:color w:val="000000"/>
        </w:rPr>
        <w:t xml:space="preserve">odpadów promieniotwórczych </w:t>
      </w:r>
      <w:r>
        <w:rPr>
          <w:color w:val="000000"/>
        </w:rPr>
        <w:t>do odpowiedniej kategorii i podkategorii na podstawie kryteriów wskazanych w przepisach</w:t>
      </w:r>
      <w:r>
        <w:rPr>
          <w:rStyle w:val="Odwoanieprzypisudolnego"/>
          <w:color w:val="000000"/>
        </w:rPr>
        <w:footnoteReference w:id="26"/>
      </w:r>
      <w:r w:rsidR="00A14CF7">
        <w:rPr>
          <w:color w:val="000000"/>
        </w:rPr>
        <w:t>.</w:t>
      </w:r>
      <w:r>
        <w:rPr>
          <w:color w:val="000000"/>
        </w:rPr>
        <w:t xml:space="preserve"> Ma </w:t>
      </w:r>
      <w:r w:rsidR="00760A6B">
        <w:rPr>
          <w:color w:val="000000"/>
        </w:rPr>
        <w:t xml:space="preserve">on </w:t>
      </w:r>
      <w:r>
        <w:rPr>
          <w:color w:val="000000"/>
        </w:rPr>
        <w:t>również obowiązek prowadzić na kartach ewidencyjnych ewidencję odpadów promieniotwórczych</w:t>
      </w:r>
      <w:r>
        <w:rPr>
          <w:rStyle w:val="Odwoanieprzypisudolnego"/>
          <w:color w:val="000000"/>
        </w:rPr>
        <w:footnoteReference w:id="27"/>
      </w:r>
      <w:r>
        <w:rPr>
          <w:color w:val="000000"/>
        </w:rPr>
        <w:t xml:space="preserve">. </w:t>
      </w:r>
      <w:r w:rsidR="00A14CF7">
        <w:rPr>
          <w:color w:val="000000"/>
        </w:rPr>
        <w:t>Odpady przechowuje się w sposób zapewniający ochronę ludzi i środowiska.</w:t>
      </w:r>
    </w:p>
    <w:p w14:paraId="3C3A267B" w14:textId="77777777" w:rsidR="00472695" w:rsidRDefault="00472695" w:rsidP="00AD6D12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</w:rPr>
      </w:pPr>
    </w:p>
    <w:p w14:paraId="1DE31C5F" w14:textId="77777777" w:rsidR="00472695" w:rsidRPr="00F74164" w:rsidRDefault="00472695" w:rsidP="00472695">
      <w:pPr>
        <w:pStyle w:val="Nagwek3"/>
      </w:pPr>
      <w:bookmarkStart w:id="119" w:name="_Toc424116719"/>
      <w:r>
        <w:t>4</w:t>
      </w:r>
      <w:r w:rsidRPr="00F74164">
        <w:t>.</w:t>
      </w:r>
      <w:r>
        <w:t>1.2.</w:t>
      </w:r>
      <w:r w:rsidRPr="00F74164">
        <w:t xml:space="preserve"> </w:t>
      </w:r>
      <w:r>
        <w:t>Odbiór odpadów promieniotwórczych</w:t>
      </w:r>
      <w:bookmarkEnd w:id="119"/>
    </w:p>
    <w:p w14:paraId="2CC41A44" w14:textId="77777777" w:rsidR="00084F8B" w:rsidRPr="00784F93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 w:rsidRPr="00784F93">
        <w:rPr>
          <w:color w:val="000000"/>
        </w:rPr>
        <w:t xml:space="preserve">ZUOP odbiera stałe i ciekłe odpady promieniotwórcze nisko- i średnioaktywne, zużyte zamknięte źródła </w:t>
      </w:r>
      <w:r w:rsidRPr="00784F93">
        <w:rPr>
          <w:color w:val="000000"/>
        </w:rPr>
        <w:lastRenderedPageBreak/>
        <w:t>promieniotwórcze.</w:t>
      </w:r>
    </w:p>
    <w:p w14:paraId="7A306D8E" w14:textId="77777777" w:rsidR="00472695" w:rsidRPr="00F74164" w:rsidRDefault="00472695" w:rsidP="00472695">
      <w:pPr>
        <w:pStyle w:val="Nagwek3"/>
      </w:pPr>
      <w:bookmarkStart w:id="120" w:name="_Toc424116720"/>
      <w:r>
        <w:t>4</w:t>
      </w:r>
      <w:r w:rsidRPr="00F74164">
        <w:t>.</w:t>
      </w:r>
      <w:r>
        <w:t>1.</w:t>
      </w:r>
      <w:r w:rsidR="00D87459">
        <w:t>3</w:t>
      </w:r>
      <w:r>
        <w:t>.</w:t>
      </w:r>
      <w:r w:rsidRPr="00F74164">
        <w:t xml:space="preserve"> </w:t>
      </w:r>
      <w:r>
        <w:t>Transport odpadów promieniotwórczych</w:t>
      </w:r>
      <w:bookmarkEnd w:id="120"/>
    </w:p>
    <w:p w14:paraId="2EE7CC09" w14:textId="77777777" w:rsidR="00084F8B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 w:rsidRPr="00784F93">
        <w:rPr>
          <w:color w:val="000000"/>
        </w:rPr>
        <w:t>Transport odpadów promieniotwórczych może wykonywać ZUOP lub inny podmiot gos</w:t>
      </w:r>
      <w:r>
        <w:rPr>
          <w:color w:val="000000"/>
        </w:rPr>
        <w:t>podarczy, który otrzymał z</w:t>
      </w:r>
      <w:r w:rsidRPr="00784F93">
        <w:rPr>
          <w:color w:val="000000"/>
        </w:rPr>
        <w:t>ezwolenie Prezesa PAA na wykonywanie tego rodzaju działalności.</w:t>
      </w:r>
      <w:r>
        <w:rPr>
          <w:color w:val="000000"/>
        </w:rPr>
        <w:t xml:space="preserve"> </w:t>
      </w:r>
    </w:p>
    <w:p w14:paraId="0D8B3B08" w14:textId="77777777" w:rsidR="00084F8B" w:rsidRDefault="00084F8B" w:rsidP="00934EA4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>Transport odpadów promieniotwórczych na składowisko odpadów promieniotwórczych wykonuje wyłącznie ZUOP</w:t>
      </w:r>
      <w:r>
        <w:rPr>
          <w:rStyle w:val="Odwoanieprzypisudolnego"/>
          <w:color w:val="000000"/>
        </w:rPr>
        <w:footnoteReference w:id="28"/>
      </w:r>
      <w:r>
        <w:rPr>
          <w:color w:val="000000"/>
        </w:rPr>
        <w:t xml:space="preserve">. </w:t>
      </w:r>
    </w:p>
    <w:p w14:paraId="31645981" w14:textId="77777777" w:rsidR="00472695" w:rsidRPr="00F74164" w:rsidRDefault="00472695" w:rsidP="00472695">
      <w:pPr>
        <w:pStyle w:val="Nagwek3"/>
      </w:pPr>
      <w:bookmarkStart w:id="121" w:name="_Toc424116721"/>
      <w:r>
        <w:t>4</w:t>
      </w:r>
      <w:r w:rsidRPr="00F74164">
        <w:t>.</w:t>
      </w:r>
      <w:r>
        <w:t>1.</w:t>
      </w:r>
      <w:r w:rsidR="00D87459">
        <w:t>4</w:t>
      </w:r>
      <w:r>
        <w:t>.</w:t>
      </w:r>
      <w:r w:rsidRPr="00F74164">
        <w:t xml:space="preserve"> </w:t>
      </w:r>
      <w:r>
        <w:t>Przetwarzanie odpadów promieniotwórczych</w:t>
      </w:r>
      <w:bookmarkEnd w:id="121"/>
    </w:p>
    <w:p w14:paraId="71CA7B28" w14:textId="07A8569C" w:rsidR="00084F8B" w:rsidRPr="00784F93" w:rsidRDefault="00084F8B" w:rsidP="00C87B8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84F93">
        <w:rPr>
          <w:color w:val="000000"/>
        </w:rPr>
        <w:t xml:space="preserve">W celu przygotowania odpadów promieniotwórczych do przechowywania oraz składowania, poddaje się je </w:t>
      </w:r>
      <w:r>
        <w:rPr>
          <w:color w:val="000000"/>
        </w:rPr>
        <w:t>redukcji</w:t>
      </w:r>
      <w:r w:rsidRPr="00784F93">
        <w:rPr>
          <w:color w:val="000000"/>
        </w:rPr>
        <w:t xml:space="preserve">, przetworzeniu, zestaleniu </w:t>
      </w:r>
      <w:r>
        <w:rPr>
          <w:color w:val="000000"/>
        </w:rPr>
        <w:t xml:space="preserve">oraz umieszcza się je w </w:t>
      </w:r>
      <w:r w:rsidR="00572D3F" w:rsidRPr="00572D3F">
        <w:rPr>
          <w:color w:val="000000"/>
        </w:rPr>
        <w:t xml:space="preserve">odpowiednim </w:t>
      </w:r>
      <w:r w:rsidRPr="00784F93">
        <w:rPr>
          <w:color w:val="000000"/>
        </w:rPr>
        <w:t xml:space="preserve">opakowaniu. Celem tych działań jest odpowiednie zabezpieczenie odpadów promieniotwórczych, aby nie stwarzały zagrożeń dla człowieka i środowiska. </w:t>
      </w:r>
    </w:p>
    <w:p w14:paraId="7FE3B0CD" w14:textId="77777777" w:rsidR="00084F8B" w:rsidRPr="00784F93" w:rsidRDefault="00084F8B" w:rsidP="00C87B85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784F93">
        <w:rPr>
          <w:color w:val="000000"/>
        </w:rPr>
        <w:t xml:space="preserve">Postępowanie z odpadami krótkożyciowymi nisko- i średnioaktywnymi powstałymi w elektrowni jądrowej będzie się odbywało na </w:t>
      </w:r>
      <w:r>
        <w:rPr>
          <w:color w:val="000000"/>
        </w:rPr>
        <w:t xml:space="preserve">jej </w:t>
      </w:r>
      <w:r w:rsidRPr="00784F93">
        <w:rPr>
          <w:color w:val="000000"/>
        </w:rPr>
        <w:t>terenie</w:t>
      </w:r>
      <w:r>
        <w:rPr>
          <w:color w:val="000000"/>
        </w:rPr>
        <w:t>.</w:t>
      </w:r>
      <w:r w:rsidRPr="00784F93">
        <w:rPr>
          <w:color w:val="000000"/>
        </w:rPr>
        <w:t xml:space="preserve"> Odpowiednio przetworzone odpady będą umieszczane w opakowaniach umożliwiających ich </w:t>
      </w:r>
      <w:r>
        <w:rPr>
          <w:color w:val="000000"/>
        </w:rPr>
        <w:t xml:space="preserve">transport i </w:t>
      </w:r>
      <w:r w:rsidRPr="00784F93">
        <w:rPr>
          <w:color w:val="000000"/>
        </w:rPr>
        <w:t xml:space="preserve">złożenie na składowisku </w:t>
      </w:r>
      <w:r>
        <w:rPr>
          <w:color w:val="000000"/>
        </w:rPr>
        <w:t xml:space="preserve">powierzchniowym </w:t>
      </w:r>
      <w:r w:rsidRPr="00784F93">
        <w:rPr>
          <w:color w:val="000000"/>
        </w:rPr>
        <w:t>odpadów promieniotwórczych.</w:t>
      </w:r>
    </w:p>
    <w:p w14:paraId="5D02B1AA" w14:textId="77777777" w:rsidR="00084F8B" w:rsidRDefault="00084F8B" w:rsidP="00C87B85">
      <w:pPr>
        <w:widowControl w:val="0"/>
        <w:autoSpaceDE w:val="0"/>
        <w:autoSpaceDN w:val="0"/>
        <w:adjustRightInd w:val="0"/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Odpady </w:t>
      </w:r>
      <w:r w:rsidRPr="00784F93">
        <w:rPr>
          <w:color w:val="000000"/>
        </w:rPr>
        <w:t>krótkożyciowe</w:t>
      </w:r>
      <w:r>
        <w:rPr>
          <w:color w:val="000000"/>
        </w:rPr>
        <w:t xml:space="preserve"> nisko</w:t>
      </w:r>
      <w:r w:rsidRPr="00784F93">
        <w:rPr>
          <w:color w:val="000000"/>
        </w:rPr>
        <w:t>- i średnioaktywne</w:t>
      </w:r>
      <w:r>
        <w:rPr>
          <w:color w:val="000000"/>
        </w:rPr>
        <w:t>,</w:t>
      </w:r>
      <w:r w:rsidRPr="00784F93">
        <w:rPr>
          <w:color w:val="000000"/>
        </w:rPr>
        <w:t xml:space="preserve"> </w:t>
      </w:r>
      <w:r>
        <w:rPr>
          <w:color w:val="000000"/>
        </w:rPr>
        <w:t>o</w:t>
      </w:r>
      <w:r w:rsidRPr="00784F93">
        <w:rPr>
          <w:color w:val="000000"/>
        </w:rPr>
        <w:t>dbierane przez ZUOP z elektrowni jądrowej będą musiały spełniać, określone przez ZUOP, kryteria akceptacji dla odpadów promieniotwórczych pochodzących z</w:t>
      </w:r>
      <w:r>
        <w:rPr>
          <w:color w:val="000000"/>
        </w:rPr>
        <w:t> </w:t>
      </w:r>
      <w:r w:rsidRPr="00784F93">
        <w:rPr>
          <w:color w:val="000000"/>
        </w:rPr>
        <w:t xml:space="preserve">elektrowni jądrowych przeznaczonych do składowania na składowisku </w:t>
      </w:r>
      <w:r>
        <w:rPr>
          <w:color w:val="000000"/>
        </w:rPr>
        <w:t xml:space="preserve">powierzchniowym </w:t>
      </w:r>
      <w:r w:rsidRPr="00784F93">
        <w:rPr>
          <w:color w:val="000000"/>
        </w:rPr>
        <w:t>odpadów</w:t>
      </w:r>
      <w:r>
        <w:rPr>
          <w:color w:val="000000"/>
        </w:rPr>
        <w:t xml:space="preserve"> promieniotwórczych</w:t>
      </w:r>
      <w:r w:rsidRPr="00784F93">
        <w:rPr>
          <w:color w:val="000000"/>
        </w:rPr>
        <w:t xml:space="preserve">. </w:t>
      </w:r>
    </w:p>
    <w:p w14:paraId="4B66B713" w14:textId="77777777" w:rsidR="00472695" w:rsidRPr="00F74164" w:rsidRDefault="00472695" w:rsidP="00472695">
      <w:pPr>
        <w:pStyle w:val="Nagwek3"/>
      </w:pPr>
      <w:bookmarkStart w:id="122" w:name="_Toc424116722"/>
      <w:r>
        <w:t>4</w:t>
      </w:r>
      <w:r w:rsidRPr="00F74164">
        <w:t>.</w:t>
      </w:r>
      <w:r>
        <w:t>1.</w:t>
      </w:r>
      <w:r w:rsidR="00D87459">
        <w:t>5</w:t>
      </w:r>
      <w:r>
        <w:t>.</w:t>
      </w:r>
      <w:r w:rsidRPr="00F74164">
        <w:t xml:space="preserve"> </w:t>
      </w:r>
      <w:r>
        <w:t>Przechowywanie odpadów promieniotwórczych</w:t>
      </w:r>
      <w:bookmarkEnd w:id="122"/>
    </w:p>
    <w:p w14:paraId="3E8A3875" w14:textId="77777777" w:rsidR="00084F8B" w:rsidRPr="00141C2D" w:rsidRDefault="00084F8B" w:rsidP="00C87B85">
      <w:pPr>
        <w:widowControl w:val="0"/>
        <w:autoSpaceDE w:val="0"/>
        <w:autoSpaceDN w:val="0"/>
        <w:adjustRightInd w:val="0"/>
        <w:spacing w:before="240" w:after="240"/>
        <w:ind w:firstLine="567"/>
        <w:jc w:val="both"/>
        <w:rPr>
          <w:bCs/>
        </w:rPr>
      </w:pPr>
      <w:r>
        <w:rPr>
          <w:bCs/>
        </w:rPr>
        <w:t xml:space="preserve">Odpady promieniotwórcze muszą być przechowywane w sposób </w:t>
      </w:r>
      <w:r w:rsidR="00691AB8">
        <w:rPr>
          <w:bCs/>
        </w:rPr>
        <w:t>zapewniający</w:t>
      </w:r>
      <w:r>
        <w:rPr>
          <w:bCs/>
        </w:rPr>
        <w:t xml:space="preserve"> ochronę ludzi i środowiska przed oddziaływaniem promieniowania jonizującego w warunkach normalnych, jak i w sytuacjach powodujących zagrożenie, w szczególności </w:t>
      </w:r>
      <w:r w:rsidR="00691AB8">
        <w:rPr>
          <w:bCs/>
        </w:rPr>
        <w:t xml:space="preserve">poprzez </w:t>
      </w:r>
      <w:r>
        <w:rPr>
          <w:bCs/>
        </w:rPr>
        <w:t>zabezpiecz</w:t>
      </w:r>
      <w:r w:rsidR="00691AB8">
        <w:rPr>
          <w:bCs/>
        </w:rPr>
        <w:t>enie</w:t>
      </w:r>
      <w:r>
        <w:rPr>
          <w:bCs/>
        </w:rPr>
        <w:t xml:space="preserve"> </w:t>
      </w:r>
      <w:r w:rsidR="00691AB8">
        <w:rPr>
          <w:bCs/>
        </w:rPr>
        <w:t xml:space="preserve">ich </w:t>
      </w:r>
      <w:r>
        <w:rPr>
          <w:bCs/>
        </w:rPr>
        <w:t>przed rozlaniem, rozproszeniem lub uwolnieniem</w:t>
      </w:r>
      <w:r>
        <w:rPr>
          <w:rStyle w:val="Odwoanieprzypisudolnego"/>
          <w:bCs/>
        </w:rPr>
        <w:footnoteReference w:id="29"/>
      </w:r>
      <w:r>
        <w:rPr>
          <w:bCs/>
        </w:rPr>
        <w:t xml:space="preserve">.  </w:t>
      </w:r>
    </w:p>
    <w:p w14:paraId="57A4B133" w14:textId="77777777" w:rsidR="00084F8B" w:rsidRDefault="00084F8B" w:rsidP="00372EDC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784F93">
        <w:rPr>
          <w:color w:val="000000"/>
        </w:rPr>
        <w:t>Odpady promieniotwórcze przejściowe są przechowywane w celu umożliwienia rozpadu radioizotopów krótkożyciowych do poziomu, przy którym</w:t>
      </w:r>
      <w:r>
        <w:rPr>
          <w:color w:val="000000"/>
        </w:rPr>
        <w:t xml:space="preserve"> odpady te mogą być wyłączone s</w:t>
      </w:r>
      <w:r w:rsidRPr="00784F93">
        <w:rPr>
          <w:color w:val="000000"/>
        </w:rPr>
        <w:t>pod kontroli dozorowej i nie będzie konieczne umieszczenie ich na składowisku odpadów promieniotwórczych</w:t>
      </w:r>
      <w:r>
        <w:rPr>
          <w:color w:val="000000"/>
        </w:rPr>
        <w:t>.</w:t>
      </w:r>
    </w:p>
    <w:p w14:paraId="642EE36B" w14:textId="77777777" w:rsidR="00084F8B" w:rsidRDefault="00084F8B" w:rsidP="002E58C9">
      <w:pPr>
        <w:jc w:val="both"/>
      </w:pPr>
      <w:r>
        <w:t xml:space="preserve">Magazyn odpadów promieniotwórczych na terenie elektrowni jądrowej będzie miał powierzchnię umożliwiającą magazynowanie nieprzetworzonych i przetworzonych odpadów promieniotwórczych powstałych w związku z jej eksploatacją przez okres umożliwiający przetworzenie odpadów oraz oczekiwanie na transport na składowisko.  </w:t>
      </w:r>
    </w:p>
    <w:p w14:paraId="75D75D4E" w14:textId="77777777" w:rsidR="00084F8B" w:rsidRDefault="00084F8B" w:rsidP="002E58C9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14:paraId="62236694" w14:textId="77777777" w:rsidR="00084F8B" w:rsidRPr="00784F93" w:rsidRDefault="00084F8B" w:rsidP="00372EDC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14:paraId="032335AE" w14:textId="77777777" w:rsidR="00084F8B" w:rsidRPr="00784F93" w:rsidRDefault="00084F8B" w:rsidP="004B1D52">
      <w:pPr>
        <w:jc w:val="center"/>
      </w:pPr>
    </w:p>
    <w:p w14:paraId="78CEF5A0" w14:textId="77777777" w:rsidR="00084F8B" w:rsidRDefault="00084F8B" w:rsidP="002B3522">
      <w:pPr>
        <w:spacing w:after="120"/>
        <w:jc w:val="both"/>
        <w:rPr>
          <w:b/>
        </w:rPr>
        <w:sectPr w:rsidR="00084F8B" w:rsidSect="002B3522">
          <w:footerReference w:type="even" r:id="rId25"/>
          <w:footerReference w:type="default" r:id="rId26"/>
          <w:pgSz w:w="11906" w:h="16838"/>
          <w:pgMar w:top="1418" w:right="1418" w:bottom="902" w:left="1418" w:header="709" w:footer="709" w:gutter="0"/>
          <w:cols w:space="708"/>
          <w:rtlGutter/>
          <w:docGrid w:linePitch="360"/>
        </w:sectPr>
      </w:pPr>
    </w:p>
    <w:p w14:paraId="36B1FBC8" w14:textId="77777777" w:rsidR="00084F8B" w:rsidRPr="0012437C" w:rsidRDefault="00084F8B" w:rsidP="00B81C51">
      <w:pPr>
        <w:spacing w:before="120" w:after="120"/>
        <w:jc w:val="both"/>
        <w:rPr>
          <w:b/>
        </w:rPr>
      </w:pPr>
      <w:r w:rsidRPr="0012437C">
        <w:rPr>
          <w:b/>
        </w:rPr>
        <w:lastRenderedPageBreak/>
        <w:t>Rys. 4.1. Schemat postępowania z nisko- i średnioaktywnymi odpadami promieniotwórczymi w Polsce</w:t>
      </w:r>
    </w:p>
    <w:p w14:paraId="6514ED6A" w14:textId="77777777" w:rsidR="00084F8B" w:rsidRPr="00372EDC" w:rsidRDefault="002E4457" w:rsidP="00372EDC">
      <w:pPr>
        <w:spacing w:before="120" w:after="120"/>
        <w:jc w:val="both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 wp14:anchorId="7EB61C65" wp14:editId="2B6C4707">
                <wp:extent cx="9601200" cy="5257800"/>
                <wp:effectExtent l="19050" t="47625" r="0" b="9525"/>
                <wp:docPr id="62" name="Kanw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Line 7"/>
                        <wps:cNvCnPr/>
                        <wps:spPr bwMode="auto">
                          <a:xfrm>
                            <a:off x="1599900" y="457600"/>
                            <a:ext cx="114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77000" y="114400"/>
                            <a:ext cx="15987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28CF0D01" w14:textId="77777777" w:rsidR="00C20BBB" w:rsidRDefault="00C20BBB" w:rsidP="00F566B1">
                              <w:pPr>
                                <w:spacing w:before="1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65DC">
                                <w:rPr>
                                  <w:sz w:val="21"/>
                                  <w:szCs w:val="21"/>
                                </w:rPr>
                                <w:t>SCHŁADZANIE</w:t>
                              </w:r>
                            </w:p>
                            <w:p w14:paraId="2A32B109" w14:textId="77777777" w:rsidR="00C20BBB" w:rsidRPr="000C65DC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28500" y="114400"/>
                            <a:ext cx="16012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2834449F" w14:textId="77777777" w:rsidR="00C20BBB" w:rsidRPr="000C65DC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65DC">
                                <w:rPr>
                                  <w:sz w:val="21"/>
                                  <w:szCs w:val="21"/>
                                </w:rPr>
                                <w:t>ZATĘŻANIE METODĄ WYPARNĄ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400"/>
                            <a:ext cx="15999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4A45BAEE" w14:textId="77777777" w:rsidR="00C20BBB" w:rsidRPr="000C65DC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65DC">
                                <w:rPr>
                                  <w:sz w:val="21"/>
                                  <w:szCs w:val="21"/>
                                </w:rPr>
                                <w:t>ODPADY CIEKŁE NISKO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0C65DC">
                                <w:rPr>
                                  <w:sz w:val="21"/>
                                  <w:szCs w:val="21"/>
                                </w:rPr>
                                <w:t>- I ŚREDN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I</w:t>
                              </w:r>
                              <w:r w:rsidRPr="000C65DC">
                                <w:rPr>
                                  <w:sz w:val="21"/>
                                  <w:szCs w:val="21"/>
                                </w:rPr>
                                <w:t>O - AKTYWNE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77000" y="799600"/>
                            <a:ext cx="1598700" cy="57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41754D3B" w14:textId="77777777" w:rsidR="00C20BBB" w:rsidRPr="0011444A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>OCZYSZCZANIE METOD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Ą</w:t>
                              </w: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WYPARNĄ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28500" y="799600"/>
                            <a:ext cx="1601200" cy="57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1A59A650" w14:textId="77777777" w:rsidR="00C20BBB" w:rsidRPr="0011444A" w:rsidRDefault="00C20BBB" w:rsidP="00FB784F">
                              <w:pPr>
                                <w:spacing w:before="1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>CEMENTOWANIE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3"/>
                        <wps:cNvCnPr/>
                        <wps:spPr bwMode="auto">
                          <a:xfrm>
                            <a:off x="1599900" y="1142800"/>
                            <a:ext cx="114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6000"/>
                            <a:ext cx="1599900" cy="57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5AA5DDB6" w14:textId="77777777" w:rsidR="00C20BBB" w:rsidRPr="0011444A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ODPADY STAŁE ŚREDNIO</w:t>
                              </w: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>AKTYWNE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52700" y="1486000"/>
                            <a:ext cx="15988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74B62326" w14:textId="77777777" w:rsidR="00C20BBB" w:rsidRDefault="00C20BBB" w:rsidP="002B3522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>SCHŁADZANIE</w:t>
                              </w:r>
                            </w:p>
                            <w:p w14:paraId="0A6F6FC1" w14:textId="77777777" w:rsidR="00C20BBB" w:rsidRPr="0011444A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28500" y="1486000"/>
                            <a:ext cx="16025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6F169379" w14:textId="77777777" w:rsidR="00C20BBB" w:rsidRPr="0011444A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>PRASOWANIE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I </w:t>
                              </w: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>FRAGMENTACJA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5600"/>
                            <a:ext cx="1601200" cy="57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21A0DED2" w14:textId="77777777" w:rsidR="00C20BBB" w:rsidRPr="0011444A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ODPADY STAŁE NISKO</w:t>
                              </w: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>AKTYWNE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6500"/>
                            <a:ext cx="16012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58082423" w14:textId="77777777" w:rsidR="00C20BBB" w:rsidRPr="0011444A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>ODPADY ALFA PROMIENIOTWÓRCZE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86100"/>
                            <a:ext cx="2057100" cy="57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20C0CCC8" w14:textId="77777777" w:rsidR="00C20BBB" w:rsidRPr="00CF5705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F5705">
                                <w:rPr>
                                  <w:sz w:val="21"/>
                                  <w:szCs w:val="21"/>
                                </w:rPr>
                                <w:t>ZUŻYTE ZAMKNIĘTE ŹRÓDŁA PROMIENIOTWÓRCZE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86900"/>
                            <a:ext cx="1601200" cy="57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133019D8" w14:textId="77777777" w:rsidR="00C20BBB" w:rsidRPr="0011444A" w:rsidRDefault="00C20BBB" w:rsidP="002B3522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>CZUJKI DYMU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800" y="2285600"/>
                            <a:ext cx="1601300" cy="57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64BC4A2E" w14:textId="77777777" w:rsidR="00C20BBB" w:rsidRPr="0011444A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 xml:space="preserve">PRASOWANIE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I </w:t>
                              </w: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>FRAGMENTACJA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05500" y="1486000"/>
                            <a:ext cx="21329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32A913FD" w14:textId="77777777" w:rsidR="00C20BBB" w:rsidRPr="00FA2F73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F5705">
                                <w:rPr>
                                  <w:sz w:val="21"/>
                                  <w:szCs w:val="21"/>
                                </w:rPr>
                                <w:t xml:space="preserve">UTRWALANIE PRZY POMOCY RZADKIEJ ZAPRAWY CEMENTOWEJ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28500" y="2285600"/>
                            <a:ext cx="2332200" cy="57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486266D1" w14:textId="77777777" w:rsidR="00C20BBB" w:rsidRPr="00FB2F1C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FB2F1C">
                                <w:rPr>
                                  <w:sz w:val="21"/>
                                  <w:szCs w:val="21"/>
                                </w:rPr>
                                <w:t xml:space="preserve">UTRWALANIE PRZY POMOCY RZADKIEJ ZAPRAWY CEMENTOWEJ </w:t>
                              </w:r>
                            </w:p>
                            <w:p w14:paraId="020F2E01" w14:textId="77777777" w:rsidR="00C20BBB" w:rsidRPr="00B8504E" w:rsidRDefault="00C20BBB" w:rsidP="008F5E6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800" y="3086500"/>
                            <a:ext cx="16013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7D7BAAEE" w14:textId="77777777" w:rsidR="00C20BBB" w:rsidRPr="0011444A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 xml:space="preserve">PRASOWANIE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I </w:t>
                              </w:r>
                              <w:r w:rsidRPr="0011444A">
                                <w:rPr>
                                  <w:sz w:val="21"/>
                                  <w:szCs w:val="21"/>
                                </w:rPr>
                                <w:t>FRAGMENTACJA</w:t>
                              </w:r>
                            </w:p>
                            <w:p w14:paraId="0C59639A" w14:textId="77777777" w:rsidR="00C20BBB" w:rsidRPr="0011444A" w:rsidRDefault="00C20BBB" w:rsidP="008F5E6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500" y="3086500"/>
                            <a:ext cx="22869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52D81352" w14:textId="77777777" w:rsidR="00C20BBB" w:rsidRPr="00CF5705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F5705">
                                <w:rPr>
                                  <w:sz w:val="21"/>
                                  <w:szCs w:val="21"/>
                                </w:rPr>
                                <w:t>UTRWALANIE PRZY POMOCY RZADKIEJ ZAPRAWY CEMENTOWEJ</w:t>
                              </w:r>
                            </w:p>
                            <w:p w14:paraId="466A162B" w14:textId="77777777" w:rsidR="00C20BBB" w:rsidRPr="0011444A" w:rsidRDefault="00C20BBB" w:rsidP="008F5E6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14800" y="4686900"/>
                            <a:ext cx="1600000" cy="57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526A7572" w14:textId="77777777" w:rsidR="00C20BBB" w:rsidRPr="0011444A" w:rsidRDefault="00C20BBB" w:rsidP="002B3522">
                              <w:pPr>
                                <w:jc w:val="center"/>
                                <w:rPr>
                                  <w:caps/>
                                  <w:sz w:val="21"/>
                                </w:rPr>
                              </w:pPr>
                              <w:r w:rsidRPr="0011444A">
                                <w:rPr>
                                  <w:caps/>
                                  <w:sz w:val="21"/>
                                </w:rPr>
                                <w:t>demontaż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428500" y="4686900"/>
                            <a:ext cx="1981400" cy="57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009231D7" w14:textId="77777777" w:rsidR="00C20BBB" w:rsidRPr="0011444A" w:rsidRDefault="00C20BBB" w:rsidP="008F5E68">
                              <w:pPr>
                                <w:jc w:val="center"/>
                                <w:rPr>
                                  <w:cap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aps/>
                                  <w:sz w:val="21"/>
                                  <w:szCs w:val="21"/>
                                </w:rPr>
                                <w:t>utrwalanie ŹRÓDEŁ</w:t>
                              </w:r>
                              <w:r w:rsidRPr="0011444A">
                                <w:rPr>
                                  <w:caps/>
                                  <w:sz w:val="21"/>
                                  <w:szCs w:val="21"/>
                                </w:rPr>
                                <w:t xml:space="preserve"> w żywicy poliestrowej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181300" y="114400"/>
                            <a:ext cx="16000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143DC9F6" w14:textId="77777777" w:rsidR="00C20BBB" w:rsidRPr="000C65DC" w:rsidRDefault="00C20BBB" w:rsidP="00F566B1">
                              <w:pPr>
                                <w:spacing w:before="1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CEMENTOWANIE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9"/>
                        <wps:cNvCnPr/>
                        <wps:spPr bwMode="auto">
                          <a:xfrm>
                            <a:off x="3314800" y="457600"/>
                            <a:ext cx="113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/>
                        <wps:spPr bwMode="auto">
                          <a:xfrm>
                            <a:off x="5028500" y="457600"/>
                            <a:ext cx="114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1"/>
                        <wps:cNvCnPr/>
                        <wps:spPr bwMode="auto">
                          <a:xfrm>
                            <a:off x="1599900" y="1829200"/>
                            <a:ext cx="114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2"/>
                        <wps:cNvCnPr/>
                        <wps:spPr bwMode="auto">
                          <a:xfrm>
                            <a:off x="3314800" y="1142800"/>
                            <a:ext cx="113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3"/>
                        <wps:cNvCnPr/>
                        <wps:spPr bwMode="auto">
                          <a:xfrm>
                            <a:off x="3314800" y="1829200"/>
                            <a:ext cx="113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4"/>
                        <wps:cNvCnPr/>
                        <wps:spPr bwMode="auto">
                          <a:xfrm>
                            <a:off x="5028500" y="1829200"/>
                            <a:ext cx="114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"/>
                        <wps:cNvCnPr/>
                        <wps:spPr bwMode="auto">
                          <a:xfrm>
                            <a:off x="1599900" y="2514400"/>
                            <a:ext cx="114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/>
                        <wps:spPr bwMode="auto">
                          <a:xfrm>
                            <a:off x="3314800" y="2514400"/>
                            <a:ext cx="113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7"/>
                        <wps:cNvCnPr/>
                        <wps:spPr bwMode="auto">
                          <a:xfrm>
                            <a:off x="1599900" y="3315300"/>
                            <a:ext cx="1149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/>
                        <wps:spPr bwMode="auto">
                          <a:xfrm flipV="1">
                            <a:off x="3314800" y="3315300"/>
                            <a:ext cx="1137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9"/>
                        <wps:cNvCnPr/>
                        <wps:spPr bwMode="auto">
                          <a:xfrm>
                            <a:off x="1599900" y="4914500"/>
                            <a:ext cx="1149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0"/>
                        <wps:cNvCnPr/>
                        <wps:spPr bwMode="auto">
                          <a:xfrm>
                            <a:off x="3314800" y="4914500"/>
                            <a:ext cx="1137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1"/>
                        <wps:cNvCnPr/>
                        <wps:spPr bwMode="auto">
                          <a:xfrm>
                            <a:off x="7619800" y="457600"/>
                            <a:ext cx="1200" cy="4114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/>
                        <wps:spPr bwMode="auto">
                          <a:xfrm>
                            <a:off x="5486900" y="4914500"/>
                            <a:ext cx="21329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"/>
                        <wps:cNvCnPr/>
                        <wps:spPr bwMode="auto">
                          <a:xfrm>
                            <a:off x="2134100" y="4114900"/>
                            <a:ext cx="54857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4"/>
                        <wps:cNvCnPr/>
                        <wps:spPr bwMode="auto">
                          <a:xfrm>
                            <a:off x="5829100" y="3314100"/>
                            <a:ext cx="17907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5"/>
                        <wps:cNvCnPr/>
                        <wps:spPr bwMode="auto">
                          <a:xfrm>
                            <a:off x="5829100" y="2514400"/>
                            <a:ext cx="1790700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6"/>
                        <wps:cNvCnPr/>
                        <wps:spPr bwMode="auto">
                          <a:xfrm>
                            <a:off x="7315400" y="1829200"/>
                            <a:ext cx="3044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7"/>
                        <wps:cNvCnPr/>
                        <wps:spPr bwMode="auto">
                          <a:xfrm>
                            <a:off x="5028500" y="1142800"/>
                            <a:ext cx="25913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8"/>
                        <wps:cNvCnPr/>
                        <wps:spPr bwMode="auto">
                          <a:xfrm flipV="1">
                            <a:off x="6858300" y="457600"/>
                            <a:ext cx="7615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/>
                        <wps:spPr bwMode="auto">
                          <a:xfrm>
                            <a:off x="7619800" y="2628900"/>
                            <a:ext cx="3814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0"/>
                        <wps:cNvCnPr/>
                        <wps:spPr bwMode="auto">
                          <a:xfrm flipH="1">
                            <a:off x="7619800" y="4572500"/>
                            <a:ext cx="1200" cy="34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9600"/>
                            <a:ext cx="1599900" cy="57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52ADD99C" w14:textId="77777777" w:rsidR="00C20BBB" w:rsidRPr="00913EBE" w:rsidRDefault="00C20BBB" w:rsidP="008F5E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13EBE">
                                <w:rPr>
                                  <w:sz w:val="21"/>
                                  <w:szCs w:val="21"/>
                                </w:rPr>
                                <w:t>ODPADY CIEKŁE NISKOAKTYWNE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200" y="2285600"/>
                            <a:ext cx="1218600" cy="686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14:paraId="05B62271" w14:textId="77777777" w:rsidR="00C20BBB" w:rsidRPr="00CF5705" w:rsidRDefault="00C20BBB" w:rsidP="002B3522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F5705">
                                <w:rPr>
                                  <w:sz w:val="21"/>
                                  <w:szCs w:val="21"/>
                                </w:rPr>
                                <w:t xml:space="preserve">TRANSPORT DO </w:t>
                              </w:r>
                            </w:p>
                            <w:p w14:paraId="37540585" w14:textId="77777777" w:rsidR="00C20BBB" w:rsidRPr="00CF5705" w:rsidRDefault="00C20BBB" w:rsidP="0024186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F5705">
                                <w:rPr>
                                  <w:sz w:val="21"/>
                                  <w:szCs w:val="21"/>
                                </w:rPr>
                                <w:t>KSOP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3"/>
                        <wps:cNvCnPr/>
                        <wps:spPr bwMode="auto">
                          <a:xfrm>
                            <a:off x="1599900" y="457600"/>
                            <a:ext cx="1137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4"/>
                        <wps:cNvCnPr/>
                        <wps:spPr bwMode="auto">
                          <a:xfrm>
                            <a:off x="1599900" y="1028400"/>
                            <a:ext cx="1137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B61C65" id="Kanwa 5" o:spid="_x0000_s1026" editas="canvas" style="width:756pt;height:414pt;mso-position-horizontal-relative:char;mso-position-vertical-relative:line" coordsize="96012,5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012;height:52578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15999,4576" to="17148,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6770;top:1144;width:15987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">
                  <o:extrusion v:ext="view" color="white" on="t"/>
                  <v:textbox>
                    <w:txbxContent>
                      <w:p w14:paraId="28CF0D01" w14:textId="77777777" w:rsidR="00C20BBB" w:rsidRDefault="00C20BBB" w:rsidP="00F566B1">
                        <w:pPr>
                          <w:spacing w:before="1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0C65DC">
                          <w:rPr>
                            <w:sz w:val="21"/>
                            <w:szCs w:val="21"/>
                          </w:rPr>
                          <w:t>SCHŁADZANIE</w:t>
                        </w:r>
                      </w:p>
                      <w:p w14:paraId="2A32B109" w14:textId="77777777" w:rsidR="00C20BBB" w:rsidRPr="000C65DC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Text Box 9" o:spid="_x0000_s1030" type="#_x0000_t202" style="position:absolute;left:34285;top:1144;width:16012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">
                  <o:extrusion v:ext="view" color="white" on="t"/>
                  <v:textbox>
                    <w:txbxContent>
                      <w:p w14:paraId="2834449F" w14:textId="77777777" w:rsidR="00C20BBB" w:rsidRPr="000C65DC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0C65DC">
                          <w:rPr>
                            <w:sz w:val="21"/>
                            <w:szCs w:val="21"/>
                          </w:rPr>
                          <w:t>ZATĘŻANIE METODĄ WYPARNĄ</w:t>
                        </w:r>
                      </w:p>
                    </w:txbxContent>
                  </v:textbox>
                </v:shape>
                <v:shape id="Text Box 10" o:spid="_x0000_s1031" type="#_x0000_t202" style="position:absolute;top:1144;width:15999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">
                  <o:extrusion v:ext="view" color="white" on="t"/>
                  <v:textbox>
                    <w:txbxContent>
                      <w:p w14:paraId="4A45BAEE" w14:textId="77777777" w:rsidR="00C20BBB" w:rsidRPr="000C65DC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0C65DC">
                          <w:rPr>
                            <w:sz w:val="21"/>
                            <w:szCs w:val="21"/>
                          </w:rPr>
                          <w:t>ODPADY CIEKŁE NISKO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 w:rsidRPr="000C65DC">
                          <w:rPr>
                            <w:sz w:val="21"/>
                            <w:szCs w:val="21"/>
                          </w:rPr>
                          <w:t>- I ŚREDN</w:t>
                        </w:r>
                        <w:r>
                          <w:rPr>
                            <w:sz w:val="21"/>
                            <w:szCs w:val="21"/>
                          </w:rPr>
                          <w:t>I</w:t>
                        </w:r>
                        <w:r w:rsidRPr="000C65DC">
                          <w:rPr>
                            <w:sz w:val="21"/>
                            <w:szCs w:val="21"/>
                          </w:rPr>
                          <w:t>O - AKTYWNE</w:t>
                        </w:r>
                      </w:p>
                    </w:txbxContent>
                  </v:textbox>
                </v:shape>
                <v:shape id="Text Box 11" o:spid="_x0000_s1032" type="#_x0000_t202" style="position:absolute;left:16770;top:7996;width:15987;height:5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">
                  <o:extrusion v:ext="view" color="white" on="t"/>
                  <v:textbox>
                    <w:txbxContent>
                      <w:p w14:paraId="41754D3B" w14:textId="77777777" w:rsidR="00C20BBB" w:rsidRPr="0011444A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11444A">
                          <w:rPr>
                            <w:sz w:val="21"/>
                            <w:szCs w:val="21"/>
                          </w:rPr>
                          <w:t>OCZYSZCZANIE METOD</w:t>
                        </w:r>
                        <w:r>
                          <w:rPr>
                            <w:sz w:val="21"/>
                            <w:szCs w:val="21"/>
                          </w:rPr>
                          <w:t>Ą</w:t>
                        </w:r>
                        <w:r w:rsidRPr="0011444A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>WYPARNĄ</w:t>
                        </w:r>
                      </w:p>
                    </w:txbxContent>
                  </v:textbox>
                </v:shape>
                <v:shape id="Text Box 12" o:spid="_x0000_s1033" type="#_x0000_t202" style="position:absolute;left:34285;top:7996;width:16012;height:5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">
                  <o:extrusion v:ext="view" color="white" on="t"/>
                  <v:textbox>
                    <w:txbxContent>
                      <w:p w14:paraId="1A59A650" w14:textId="77777777" w:rsidR="00C20BBB" w:rsidRPr="0011444A" w:rsidRDefault="00C20BBB" w:rsidP="00FB784F">
                        <w:pPr>
                          <w:spacing w:before="1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11444A">
                          <w:rPr>
                            <w:sz w:val="21"/>
                            <w:szCs w:val="21"/>
                          </w:rPr>
                          <w:t>CEMENTOWANIE</w:t>
                        </w:r>
                      </w:p>
                    </w:txbxContent>
                  </v:textbox>
                </v:shape>
                <v:line id="Line 13" o:spid="_x0000_s1034" style="position:absolute;visibility:visible;mso-wrap-style:square" from="15999,11428" to="17148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shape id="Text Box 14" o:spid="_x0000_s1035" type="#_x0000_t202" style="position:absolute;top:14860;width:15999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">
                  <o:extrusion v:ext="view" color="white" on="t"/>
                  <v:textbox>
                    <w:txbxContent>
                      <w:p w14:paraId="5AA5DDB6" w14:textId="77777777" w:rsidR="00C20BBB" w:rsidRPr="0011444A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ODPADY STAŁE ŚREDNIO</w:t>
                        </w:r>
                        <w:r w:rsidRPr="0011444A">
                          <w:rPr>
                            <w:sz w:val="21"/>
                            <w:szCs w:val="21"/>
                          </w:rPr>
                          <w:t>AKTYWNE</w:t>
                        </w:r>
                      </w:p>
                    </w:txbxContent>
                  </v:textbox>
                </v:shape>
                <v:shape id="Text Box 15" o:spid="_x0000_s1036" type="#_x0000_t202" style="position:absolute;left:17527;top:14860;width:15988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">
                  <o:extrusion v:ext="view" color="white" on="t"/>
                  <v:textbox>
                    <w:txbxContent>
                      <w:p w14:paraId="74B62326" w14:textId="77777777" w:rsidR="00C20BBB" w:rsidRDefault="00C20BBB" w:rsidP="002B3522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11444A">
                          <w:rPr>
                            <w:sz w:val="21"/>
                            <w:szCs w:val="21"/>
                          </w:rPr>
                          <w:t>SCHŁADZANIE</w:t>
                        </w:r>
                      </w:p>
                      <w:p w14:paraId="0A6F6FC1" w14:textId="77777777" w:rsidR="00C20BBB" w:rsidRPr="0011444A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Text Box 16" o:spid="_x0000_s1037" type="#_x0000_t202" style="position:absolute;left:34285;top:14860;width:16025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">
                  <o:extrusion v:ext="view" color="white" on="t"/>
                  <v:textbox>
                    <w:txbxContent>
                      <w:p w14:paraId="6F169379" w14:textId="77777777" w:rsidR="00C20BBB" w:rsidRPr="0011444A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11444A">
                          <w:rPr>
                            <w:sz w:val="21"/>
                            <w:szCs w:val="21"/>
                          </w:rPr>
                          <w:t>PRASOWANIE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I </w:t>
                        </w:r>
                        <w:r w:rsidRPr="0011444A">
                          <w:rPr>
                            <w:sz w:val="21"/>
                            <w:szCs w:val="21"/>
                          </w:rPr>
                          <w:t>FRAGMENTACJA</w:t>
                        </w:r>
                      </w:p>
                    </w:txbxContent>
                  </v:textbox>
                </v:shape>
                <v:shape id="Text Box 17" o:spid="_x0000_s1038" type="#_x0000_t202" style="position:absolute;top:22856;width:16012;height:5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">
                  <o:extrusion v:ext="view" color="white" on="t"/>
                  <v:textbox>
                    <w:txbxContent>
                      <w:p w14:paraId="21A0DED2" w14:textId="77777777" w:rsidR="00C20BBB" w:rsidRPr="0011444A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ODPADY STAŁE NISKO</w:t>
                        </w:r>
                        <w:r w:rsidRPr="0011444A">
                          <w:rPr>
                            <w:sz w:val="21"/>
                            <w:szCs w:val="21"/>
                          </w:rPr>
                          <w:t>AKTYWNE</w:t>
                        </w:r>
                      </w:p>
                    </w:txbxContent>
                  </v:textbox>
                </v:shape>
                <v:shape id="Text Box 18" o:spid="_x0000_s1039" type="#_x0000_t202" style="position:absolute;top:30865;width:16012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">
                  <o:extrusion v:ext="view" color="white" on="t"/>
                  <v:textbox>
                    <w:txbxContent>
                      <w:p w14:paraId="58082423" w14:textId="77777777" w:rsidR="00C20BBB" w:rsidRPr="0011444A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11444A">
                          <w:rPr>
                            <w:sz w:val="21"/>
                            <w:szCs w:val="21"/>
                          </w:rPr>
                          <w:t>ODPADY ALFA PROMIENIOTWÓRCZE</w:t>
                        </w:r>
                      </w:p>
                    </w:txbxContent>
                  </v:textbox>
                </v:shape>
                <v:shape id="Text Box 19" o:spid="_x0000_s1040" type="#_x0000_t202" style="position:absolute;top:38861;width:20571;height:5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">
                  <o:extrusion v:ext="view" color="white" on="t"/>
                  <v:textbox>
                    <w:txbxContent>
                      <w:p w14:paraId="20C0CCC8" w14:textId="77777777" w:rsidR="00C20BBB" w:rsidRPr="00CF5705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F5705">
                          <w:rPr>
                            <w:sz w:val="21"/>
                            <w:szCs w:val="21"/>
                          </w:rPr>
                          <w:t>ZUŻYTE ZAMKNIĘTE ŹRÓDŁA PROMIENIOTWÓRCZE</w:t>
                        </w:r>
                      </w:p>
                    </w:txbxContent>
                  </v:textbox>
                </v:shape>
                <v:shape id="Text Box 20" o:spid="_x0000_s1041" type="#_x0000_t202" style="position:absolute;top:46869;width:16012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">
                  <o:extrusion v:ext="view" color="white" on="t"/>
                  <v:textbox>
                    <w:txbxContent>
                      <w:p w14:paraId="133019D8" w14:textId="77777777" w:rsidR="00C20BBB" w:rsidRPr="0011444A" w:rsidRDefault="00C20BBB" w:rsidP="002B3522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11444A">
                          <w:rPr>
                            <w:sz w:val="21"/>
                            <w:szCs w:val="21"/>
                          </w:rPr>
                          <w:t>CZUJKI DYMU</w:t>
                        </w:r>
                      </w:p>
                    </w:txbxContent>
                  </v:textbox>
                </v:shape>
                <v:shape id="Text Box 21" o:spid="_x0000_s1042" type="#_x0000_t202" style="position:absolute;left:17148;top:22856;width:16013;height:5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">
                  <o:extrusion v:ext="view" color="white" on="t"/>
                  <v:textbox>
                    <w:txbxContent>
                      <w:p w14:paraId="64BC4A2E" w14:textId="77777777" w:rsidR="00C20BBB" w:rsidRPr="0011444A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11444A">
                          <w:rPr>
                            <w:sz w:val="21"/>
                            <w:szCs w:val="21"/>
                          </w:rPr>
                          <w:t xml:space="preserve">PRASOWANIE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I </w:t>
                        </w:r>
                        <w:r w:rsidRPr="0011444A">
                          <w:rPr>
                            <w:sz w:val="21"/>
                            <w:szCs w:val="21"/>
                          </w:rPr>
                          <w:t>FRAGMENTACJA</w:t>
                        </w:r>
                      </w:p>
                    </w:txbxContent>
                  </v:textbox>
                </v:shape>
                <v:shape id="Text Box 22" o:spid="_x0000_s1043" type="#_x0000_t202" style="position:absolute;left:51055;top:14860;width:21329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">
                  <o:extrusion v:ext="view" color="white" on="t"/>
                  <v:textbox>
                    <w:txbxContent>
                      <w:p w14:paraId="32A913FD" w14:textId="77777777" w:rsidR="00C20BBB" w:rsidRPr="00FA2F73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F5705">
                          <w:rPr>
                            <w:sz w:val="21"/>
                            <w:szCs w:val="21"/>
                          </w:rPr>
                          <w:t xml:space="preserve">UTRWALANIE PRZY POMOCY RZADKIEJ ZAPRAWY CEMENTOWEJ </w:t>
                        </w:r>
                      </w:p>
                    </w:txbxContent>
                  </v:textbox>
                </v:shape>
                <v:shape id="Text Box 23" o:spid="_x0000_s1044" type="#_x0000_t202" style="position:absolute;left:34285;top:22856;width:23322;height:5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">
                  <o:extrusion v:ext="view" color="white" on="t"/>
                  <v:textbox>
                    <w:txbxContent>
                      <w:p w14:paraId="486266D1" w14:textId="77777777" w:rsidR="00C20BBB" w:rsidRPr="00FB2F1C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FB2F1C">
                          <w:rPr>
                            <w:sz w:val="21"/>
                            <w:szCs w:val="21"/>
                          </w:rPr>
                          <w:t xml:space="preserve">UTRWALANIE PRZY POMOCY RZADKIEJ ZAPRAWY CEMENTOWEJ </w:t>
                        </w:r>
                      </w:p>
                      <w:p w14:paraId="020F2E01" w14:textId="77777777" w:rsidR="00C20BBB" w:rsidRPr="00B8504E" w:rsidRDefault="00C20BBB" w:rsidP="008F5E6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4" o:spid="_x0000_s1045" type="#_x0000_t202" style="position:absolute;left:17148;top:30865;width:16013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">
                  <o:extrusion v:ext="view" color="white" on="t"/>
                  <v:textbox>
                    <w:txbxContent>
                      <w:p w14:paraId="7D7BAAEE" w14:textId="77777777" w:rsidR="00C20BBB" w:rsidRPr="0011444A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11444A">
                          <w:rPr>
                            <w:sz w:val="21"/>
                            <w:szCs w:val="21"/>
                          </w:rPr>
                          <w:t xml:space="preserve">PRASOWANIE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I </w:t>
                        </w:r>
                        <w:r w:rsidRPr="0011444A">
                          <w:rPr>
                            <w:sz w:val="21"/>
                            <w:szCs w:val="21"/>
                          </w:rPr>
                          <w:t>FRAGMENTACJA</w:t>
                        </w:r>
                      </w:p>
                      <w:p w14:paraId="0C59639A" w14:textId="77777777" w:rsidR="00C20BBB" w:rsidRPr="0011444A" w:rsidRDefault="00C20BBB" w:rsidP="008F5E68"/>
                    </w:txbxContent>
                  </v:textbox>
                </v:shape>
                <v:shape id="Text Box 25" o:spid="_x0000_s1046" type="#_x0000_t202" style="position:absolute;left:34285;top:30865;width:22869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">
                  <o:extrusion v:ext="view" color="white" on="t"/>
                  <v:textbox>
                    <w:txbxContent>
                      <w:p w14:paraId="52D81352" w14:textId="77777777" w:rsidR="00C20BBB" w:rsidRPr="00CF5705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F5705">
                          <w:rPr>
                            <w:sz w:val="21"/>
                            <w:szCs w:val="21"/>
                          </w:rPr>
                          <w:t>UTRWALANIE PRZY POMOCY RZADKIEJ ZAPRAWY CEMENTOWEJ</w:t>
                        </w:r>
                      </w:p>
                      <w:p w14:paraId="466A162B" w14:textId="77777777" w:rsidR="00C20BBB" w:rsidRPr="0011444A" w:rsidRDefault="00C20BBB" w:rsidP="008F5E68"/>
                    </w:txbxContent>
                  </v:textbox>
                </v:shape>
                <v:shape id="Text Box 26" o:spid="_x0000_s1047" type="#_x0000_t202" style="position:absolute;left:17148;top:46869;width:16000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">
                  <o:extrusion v:ext="view" color="white" on="t"/>
                  <v:textbox>
                    <w:txbxContent>
                      <w:p w14:paraId="526A7572" w14:textId="77777777" w:rsidR="00C20BBB" w:rsidRPr="0011444A" w:rsidRDefault="00C20BBB" w:rsidP="002B3522">
                        <w:pPr>
                          <w:jc w:val="center"/>
                          <w:rPr>
                            <w:caps/>
                            <w:sz w:val="21"/>
                          </w:rPr>
                        </w:pPr>
                        <w:r w:rsidRPr="0011444A">
                          <w:rPr>
                            <w:caps/>
                            <w:sz w:val="21"/>
                          </w:rPr>
                          <w:t>demontaż</w:t>
                        </w:r>
                      </w:p>
                    </w:txbxContent>
                  </v:textbox>
                </v:shape>
                <v:shape id="Text Box 27" o:spid="_x0000_s1048" type="#_x0000_t202" style="position:absolute;left:34285;top:46869;width:19814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">
                  <o:extrusion v:ext="view" color="white" on="t"/>
                  <v:textbox>
                    <w:txbxContent>
                      <w:p w14:paraId="009231D7" w14:textId="77777777" w:rsidR="00C20BBB" w:rsidRPr="0011444A" w:rsidRDefault="00C20BBB" w:rsidP="008F5E68">
                        <w:pPr>
                          <w:jc w:val="center"/>
                          <w:rPr>
                            <w:caps/>
                            <w:sz w:val="21"/>
                            <w:szCs w:val="21"/>
                          </w:rPr>
                        </w:pPr>
                        <w:r>
                          <w:rPr>
                            <w:caps/>
                            <w:sz w:val="21"/>
                            <w:szCs w:val="21"/>
                          </w:rPr>
                          <w:t>utrwalanie ŹRÓDEŁ</w:t>
                        </w:r>
                        <w:r w:rsidRPr="0011444A">
                          <w:rPr>
                            <w:caps/>
                            <w:sz w:val="21"/>
                            <w:szCs w:val="21"/>
                          </w:rPr>
                          <w:t xml:space="preserve"> w żywicy poliestrowej</w:t>
                        </w:r>
                      </w:p>
                    </w:txbxContent>
                  </v:textbox>
                </v:shape>
                <v:shape id="Text Box 28" o:spid="_x0000_s1049" type="#_x0000_t202" style="position:absolute;left:51813;top:1144;width:16000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">
                  <o:extrusion v:ext="view" color="white" on="t"/>
                  <v:textbox>
                    <w:txbxContent>
                      <w:p w14:paraId="143DC9F6" w14:textId="77777777" w:rsidR="00C20BBB" w:rsidRPr="000C65DC" w:rsidRDefault="00C20BBB" w:rsidP="00F566B1">
                        <w:pPr>
                          <w:spacing w:before="1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CEMENTOWANIE </w:t>
                        </w:r>
                      </w:p>
                    </w:txbxContent>
                  </v:textbox>
                </v:shape>
                <v:line id="Line 29" o:spid="_x0000_s1050" style="position:absolute;visibility:visible;mso-wrap-style:square" from="33148,4576" to="34285,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30" o:spid="_x0000_s1051" style="position:absolute;visibility:visible;mso-wrap-style:square" from="50285,4576" to="51434,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31" o:spid="_x0000_s1052" style="position:absolute;visibility:visible;mso-wrap-style:square" from="15999,18292" to="17148,1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32" o:spid="_x0000_s1053" style="position:absolute;visibility:visible;mso-wrap-style:square" from="33148,11428" to="34285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33" o:spid="_x0000_s1054" style="position:absolute;visibility:visible;mso-wrap-style:square" from="33148,18292" to="34285,1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34" o:spid="_x0000_s1055" style="position:absolute;visibility:visible;mso-wrap-style:square" from="50285,18292" to="51434,1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35" o:spid="_x0000_s1056" style="position:absolute;visibility:visible;mso-wrap-style:square" from="15999,25144" to="17148,2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36" o:spid="_x0000_s1057" style="position:absolute;visibility:visible;mso-wrap-style:square" from="33148,25144" to="34285,2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line id="Line 37" o:spid="_x0000_s1058" style="position:absolute;visibility:visible;mso-wrap-style:square" from="15999,33153" to="17148,3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line id="Line 38" o:spid="_x0000_s1059" style="position:absolute;flip:y;visibility:visible;mso-wrap-style:square" from="33148,33153" to="34285,3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line id="Line 39" o:spid="_x0000_s1060" style="position:absolute;visibility:visible;mso-wrap-style:square" from="15999,49145" to="17148,4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line id="Line 40" o:spid="_x0000_s1061" style="position:absolute;visibility:visible;mso-wrap-style:square" from="33148,49145" to="34285,4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Line 41" o:spid="_x0000_s1062" style="position:absolute;visibility:visible;mso-wrap-style:square" from="76198,4576" to="76210,4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42" o:spid="_x0000_s1063" style="position:absolute;visibility:visible;mso-wrap-style:square" from="54869,49145" to="76198,4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line id="Line 43" o:spid="_x0000_s1064" style="position:absolute;visibility:visible;mso-wrap-style:square" from="21341,41149" to="76198,4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<v:stroke endarrow="block"/>
                </v:line>
                <v:line id="Line 44" o:spid="_x0000_s1065" style="position:absolute;visibility:visible;mso-wrap-style:square" from="58291,33141" to="76198,3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<v:stroke endarrow="block"/>
                </v:line>
                <v:line id="Line 45" o:spid="_x0000_s1066" style="position:absolute;visibility:visible;mso-wrap-style:square" from="58291,25144" to="76198,25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line id="Line 46" o:spid="_x0000_s1067" style="position:absolute;visibility:visible;mso-wrap-style:square" from="73154,18292" to="76198,18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<v:stroke endarrow="block"/>
                </v:line>
                <v:line id="Line 47" o:spid="_x0000_s1068" style="position:absolute;visibility:visible;mso-wrap-style:square" from="50285,11428" to="76198,1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line id="Line 48" o:spid="_x0000_s1069" style="position:absolute;flip:y;visibility:visible;mso-wrap-style:square" from="68583,4576" to="76198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IqxAAAANsAAAAPAAAAZHJzL2Rvd25yZXYueG1sRI9Pa8JA&#10;EMXvhX6HZQq9BN20Y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DkCkirEAAAA2wAAAA8A&#10;AAAAAAAAAAAAAAAABwIAAGRycy9kb3ducmV2LnhtbFBLBQYAAAAAAwADALcAAAD4AgAAAAA=&#10;">
                  <v:stroke endarrow="block"/>
                </v:line>
                <v:line id="Line 49" o:spid="_x0000_s1070" style="position:absolute;visibility:visible;mso-wrap-style:square" from="76198,26289" to="80012,26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50" o:spid="_x0000_s1071" style="position:absolute;flip:x;visibility:visible;mso-wrap-style:square" from="76198,45725" to="76210,4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<v:shape id="Text Box 51" o:spid="_x0000_s1072" type="#_x0000_t202" style="position:absolute;top:7996;width:15999;height:5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">
                  <o:extrusion v:ext="view" color="white" on="t"/>
                  <v:textbox>
                    <w:txbxContent>
                      <w:p w14:paraId="52ADD99C" w14:textId="77777777" w:rsidR="00C20BBB" w:rsidRPr="00913EBE" w:rsidRDefault="00C20BBB" w:rsidP="008F5E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13EBE">
                          <w:rPr>
                            <w:sz w:val="21"/>
                            <w:szCs w:val="21"/>
                          </w:rPr>
                          <w:t>ODPADY CIEKŁE NISKOAKTYWNE</w:t>
                        </w:r>
                      </w:p>
                    </w:txbxContent>
                  </v:textbox>
                </v:shape>
                <v:shape id="Text Box 52" o:spid="_x0000_s1073" type="#_x0000_t202" style="position:absolute;left:80012;top:22856;width:12186;height:6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">
                  <o:extrusion v:ext="view" color="white" on="t"/>
                  <v:textbox>
                    <w:txbxContent>
                      <w:p w14:paraId="05B62271" w14:textId="77777777" w:rsidR="00C20BBB" w:rsidRPr="00CF5705" w:rsidRDefault="00C20BBB" w:rsidP="002B3522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F5705">
                          <w:rPr>
                            <w:sz w:val="21"/>
                            <w:szCs w:val="21"/>
                          </w:rPr>
                          <w:t xml:space="preserve">TRANSPORT DO </w:t>
                        </w:r>
                      </w:p>
                      <w:p w14:paraId="37540585" w14:textId="77777777" w:rsidR="00C20BBB" w:rsidRPr="00CF5705" w:rsidRDefault="00C20BBB" w:rsidP="00241868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F5705">
                          <w:rPr>
                            <w:sz w:val="21"/>
                            <w:szCs w:val="21"/>
                          </w:rPr>
                          <w:t>KSOP</w:t>
                        </w:r>
                      </w:p>
                    </w:txbxContent>
                  </v:textbox>
                </v:shape>
                <v:line id="Line 53" o:spid="_x0000_s1074" style="position:absolute;visibility:visible;mso-wrap-style:square" from="15999,4576" to="17136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  <v:line id="Line 54" o:spid="_x0000_s1075" style="position:absolute;visibility:visible;mso-wrap-style:square" from="15999,10284" to="17136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14:paraId="6EE4D977" w14:textId="77777777" w:rsidR="00084F8B" w:rsidRPr="00372EDC" w:rsidRDefault="00084F8B" w:rsidP="00372EDC">
      <w:pPr>
        <w:spacing w:before="120" w:after="120"/>
        <w:jc w:val="both"/>
        <w:rPr>
          <w:b/>
        </w:rPr>
        <w:sectPr w:rsidR="00084F8B" w:rsidRPr="00372EDC" w:rsidSect="006F0AC1">
          <w:footerReference w:type="even" r:id="rId27"/>
          <w:footerReference w:type="default" r:id="rId28"/>
          <w:pgSz w:w="16838" w:h="11906" w:orient="landscape"/>
          <w:pgMar w:top="1418" w:right="1418" w:bottom="1418" w:left="902" w:header="709" w:footer="709" w:gutter="0"/>
          <w:cols w:space="708"/>
          <w:docGrid w:linePitch="360"/>
        </w:sectPr>
      </w:pPr>
    </w:p>
    <w:p w14:paraId="5C77A1E4" w14:textId="77777777" w:rsidR="00084F8B" w:rsidRPr="00EC1EFA" w:rsidRDefault="00084F8B" w:rsidP="001207F0">
      <w:pPr>
        <w:jc w:val="center"/>
        <w:rPr>
          <w:b/>
        </w:rPr>
      </w:pPr>
      <w:r>
        <w:rPr>
          <w:b/>
        </w:rPr>
        <w:lastRenderedPageBreak/>
        <w:t>Rys. 4.2. Postępowanie z</w:t>
      </w:r>
      <w:r w:rsidRPr="00EC1EFA">
        <w:rPr>
          <w:b/>
        </w:rPr>
        <w:t xml:space="preserve"> odpadami</w:t>
      </w:r>
    </w:p>
    <w:p w14:paraId="748A84D0" w14:textId="77777777" w:rsidR="00084F8B" w:rsidRDefault="00084F8B" w:rsidP="001207F0">
      <w:pPr>
        <w:jc w:val="center"/>
        <w:rPr>
          <w:b/>
          <w:color w:val="000000"/>
        </w:rPr>
      </w:pPr>
      <w:r w:rsidRPr="00EC1EFA">
        <w:rPr>
          <w:b/>
        </w:rPr>
        <w:t xml:space="preserve">promieniotwórczymi nisko- i średnioaktywnymi </w:t>
      </w:r>
      <w:r w:rsidRPr="006536EC">
        <w:rPr>
          <w:b/>
          <w:color w:val="000000"/>
        </w:rPr>
        <w:t>pochodzącymi z energetyki jądrowej</w:t>
      </w:r>
    </w:p>
    <w:p w14:paraId="0116095E" w14:textId="77777777" w:rsidR="00084F8B" w:rsidRDefault="00084F8B" w:rsidP="002B3522">
      <w:pPr>
        <w:jc w:val="center"/>
        <w:rPr>
          <w:b/>
          <w:color w:val="000000"/>
        </w:rPr>
      </w:pPr>
    </w:p>
    <w:p w14:paraId="4571FA8B" w14:textId="77777777" w:rsidR="00084F8B" w:rsidRDefault="00084F8B" w:rsidP="002B3522"/>
    <w:p w14:paraId="40A58475" w14:textId="77777777" w:rsidR="00084F8B" w:rsidRDefault="002E4457" w:rsidP="002B352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EDA697" wp14:editId="7F1CE0E5">
                <wp:simplePos x="0" y="0"/>
                <wp:positionH relativeFrom="column">
                  <wp:posOffset>1562100</wp:posOffset>
                </wp:positionH>
                <wp:positionV relativeFrom="paragraph">
                  <wp:posOffset>83820</wp:posOffset>
                </wp:positionV>
                <wp:extent cx="1943100" cy="1188720"/>
                <wp:effectExtent l="19050" t="169545" r="161925" b="13335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020C1" w14:textId="77777777" w:rsidR="00C20BBB" w:rsidRPr="004D6E8B" w:rsidRDefault="00C20BBB" w:rsidP="002B352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 xml:space="preserve">Przetwarzanie </w:t>
                            </w:r>
                          </w:p>
                          <w:p w14:paraId="0B253A93" w14:textId="77777777" w:rsidR="00C20BBB" w:rsidRPr="004D6E8B" w:rsidRDefault="00C20BBB" w:rsidP="002B352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>i przechowywanie</w:t>
                            </w:r>
                          </w:p>
                          <w:p w14:paraId="2E44BE32" w14:textId="77777777" w:rsidR="00C20BBB" w:rsidRPr="004D6E8B" w:rsidRDefault="00C20BBB" w:rsidP="002B352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>odpadów</w:t>
                            </w:r>
                          </w:p>
                          <w:p w14:paraId="1E413EC3" w14:textId="77777777" w:rsidR="00C20BBB" w:rsidRPr="004D6E8B" w:rsidRDefault="00C20BBB" w:rsidP="002B3522">
                            <w:pPr>
                              <w:spacing w:before="120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481173F7" w14:textId="77777777" w:rsidR="00C20BBB" w:rsidRPr="0000292C" w:rsidRDefault="00C20BBB" w:rsidP="002B3522">
                            <w:pPr>
                              <w:spacing w:before="120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00292C">
                              <w:rPr>
                                <w:rFonts w:cs="Calibri"/>
                                <w:b/>
                              </w:rPr>
                              <w:t>Elektrownia jądrowa</w:t>
                            </w:r>
                          </w:p>
                          <w:p w14:paraId="609A9C40" w14:textId="77777777" w:rsidR="00C20BBB" w:rsidRDefault="00C20BBB" w:rsidP="002B3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DA697" id="Text Box 59" o:spid="_x0000_s1076" type="#_x0000_t202" style="position:absolute;margin-left:123pt;margin-top:6.6pt;width:153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">
                <v:shadow color="#999" offset="1pt,1pt"/>
                <o:extrusion v:ext="view" color="white" on="t"/>
                <v:textbox>
                  <w:txbxContent>
                    <w:p w14:paraId="04F020C1" w14:textId="77777777" w:rsidR="00C20BBB" w:rsidRPr="004D6E8B" w:rsidRDefault="00C20BBB" w:rsidP="002B3522">
                      <w:pPr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 xml:space="preserve">Przetwarzanie </w:t>
                      </w:r>
                    </w:p>
                    <w:p w14:paraId="0B253A93" w14:textId="77777777" w:rsidR="00C20BBB" w:rsidRPr="004D6E8B" w:rsidRDefault="00C20BBB" w:rsidP="002B3522">
                      <w:pPr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>i przechowywanie</w:t>
                      </w:r>
                    </w:p>
                    <w:p w14:paraId="2E44BE32" w14:textId="77777777" w:rsidR="00C20BBB" w:rsidRPr="004D6E8B" w:rsidRDefault="00C20BBB" w:rsidP="002B3522">
                      <w:pPr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>odpadów</w:t>
                      </w:r>
                    </w:p>
                    <w:p w14:paraId="1E413EC3" w14:textId="77777777" w:rsidR="00C20BBB" w:rsidRPr="004D6E8B" w:rsidRDefault="00C20BBB" w:rsidP="002B3522">
                      <w:pPr>
                        <w:spacing w:before="120"/>
                        <w:jc w:val="center"/>
                        <w:rPr>
                          <w:rFonts w:cs="Calibri"/>
                        </w:rPr>
                      </w:pPr>
                    </w:p>
                    <w:p w14:paraId="481173F7" w14:textId="77777777" w:rsidR="00C20BBB" w:rsidRPr="0000292C" w:rsidRDefault="00C20BBB" w:rsidP="002B3522">
                      <w:pPr>
                        <w:spacing w:before="120"/>
                        <w:jc w:val="center"/>
                        <w:rPr>
                          <w:rFonts w:cs="Calibri"/>
                          <w:b/>
                        </w:rPr>
                      </w:pPr>
                      <w:r w:rsidRPr="0000292C">
                        <w:rPr>
                          <w:rFonts w:cs="Calibri"/>
                          <w:b/>
                        </w:rPr>
                        <w:t>Elektrownia jądrowa</w:t>
                      </w:r>
                    </w:p>
                    <w:p w14:paraId="609A9C40" w14:textId="77777777" w:rsidR="00C20BBB" w:rsidRDefault="00C20BBB" w:rsidP="002B35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C9CB7" wp14:editId="3D44E522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</wp:posOffset>
                </wp:positionV>
                <wp:extent cx="1828800" cy="1188720"/>
                <wp:effectExtent l="19050" t="169545" r="161925" b="13335"/>
                <wp:wrapNone/>
                <wp:docPr id="1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5A3A5" w14:textId="77777777" w:rsidR="00C20BBB" w:rsidRPr="004D6E8B" w:rsidRDefault="00C20BBB" w:rsidP="002B3522">
                            <w:pPr>
                              <w:spacing w:before="120" w:after="120" w:line="360" w:lineRule="auto"/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>Wytwarzanie odpadów</w:t>
                            </w:r>
                          </w:p>
                          <w:p w14:paraId="1803BBF3" w14:textId="77777777" w:rsidR="00C20BBB" w:rsidRPr="001E0C96" w:rsidRDefault="00C20BBB" w:rsidP="002B3522">
                            <w:pPr>
                              <w:spacing w:after="120" w:line="480" w:lineRule="auto"/>
                              <w:jc w:val="center"/>
                              <w:rPr>
                                <w:rFonts w:cs="Calibri"/>
                                <w:sz w:val="28"/>
                              </w:rPr>
                            </w:pPr>
                          </w:p>
                          <w:p w14:paraId="624E05EF" w14:textId="77777777" w:rsidR="00C20BBB" w:rsidRPr="0000292C" w:rsidRDefault="00C20BBB" w:rsidP="002B3522">
                            <w:pPr>
                              <w:spacing w:after="120" w:line="480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00292C">
                              <w:rPr>
                                <w:rFonts w:cs="Calibri"/>
                                <w:b/>
                              </w:rPr>
                              <w:t>Elektrownia jądrowa</w:t>
                            </w:r>
                          </w:p>
                          <w:p w14:paraId="6646858D" w14:textId="77777777" w:rsidR="00C20BBB" w:rsidRDefault="00C20BBB" w:rsidP="002B3522"/>
                          <w:p w14:paraId="3A7E695C" w14:textId="77777777" w:rsidR="00C20BBB" w:rsidRDefault="00C20BBB" w:rsidP="002B3522"/>
                          <w:p w14:paraId="1E9CC0EC" w14:textId="77777777" w:rsidR="00C20BBB" w:rsidRDefault="00C20BBB" w:rsidP="002B3522"/>
                          <w:p w14:paraId="7EA1D0AF" w14:textId="77777777" w:rsidR="00C20BBB" w:rsidRDefault="00C20BBB" w:rsidP="002B3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EC9CB7" id="Text Box 58" o:spid="_x0000_s1077" type="#_x0000_t202" style="position:absolute;margin-left:-27pt;margin-top:6.6pt;width:2in;height:9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">
                <v:shadow color="#999" offset="1pt,1pt"/>
                <o:extrusion v:ext="view" color="white" on="t"/>
                <v:textbox>
                  <w:txbxContent>
                    <w:p w14:paraId="2D25A3A5" w14:textId="77777777" w:rsidR="00C20BBB" w:rsidRPr="004D6E8B" w:rsidRDefault="00C20BBB" w:rsidP="002B3522">
                      <w:pPr>
                        <w:spacing w:before="120" w:after="120" w:line="360" w:lineRule="auto"/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>Wytwarzanie odpadów</w:t>
                      </w:r>
                    </w:p>
                    <w:p w14:paraId="1803BBF3" w14:textId="77777777" w:rsidR="00C20BBB" w:rsidRPr="001E0C96" w:rsidRDefault="00C20BBB" w:rsidP="002B3522">
                      <w:pPr>
                        <w:spacing w:after="120" w:line="480" w:lineRule="auto"/>
                        <w:jc w:val="center"/>
                        <w:rPr>
                          <w:rFonts w:cs="Calibri"/>
                          <w:sz w:val="28"/>
                        </w:rPr>
                      </w:pPr>
                    </w:p>
                    <w:p w14:paraId="624E05EF" w14:textId="77777777" w:rsidR="00C20BBB" w:rsidRPr="0000292C" w:rsidRDefault="00C20BBB" w:rsidP="002B3522">
                      <w:pPr>
                        <w:spacing w:after="120" w:line="480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00292C">
                        <w:rPr>
                          <w:rFonts w:cs="Calibri"/>
                          <w:b/>
                        </w:rPr>
                        <w:t>Elektrownia jądrowa</w:t>
                      </w:r>
                    </w:p>
                    <w:p w14:paraId="6646858D" w14:textId="77777777" w:rsidR="00C20BBB" w:rsidRDefault="00C20BBB" w:rsidP="002B3522"/>
                    <w:p w14:paraId="3A7E695C" w14:textId="77777777" w:rsidR="00C20BBB" w:rsidRDefault="00C20BBB" w:rsidP="002B3522"/>
                    <w:p w14:paraId="1E9CC0EC" w14:textId="77777777" w:rsidR="00C20BBB" w:rsidRDefault="00C20BBB" w:rsidP="002B3522"/>
                    <w:p w14:paraId="7EA1D0AF" w14:textId="77777777" w:rsidR="00C20BBB" w:rsidRDefault="00C20BBB" w:rsidP="002B35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71C3A" wp14:editId="6CA28C7F">
                <wp:simplePos x="0" y="0"/>
                <wp:positionH relativeFrom="column">
                  <wp:posOffset>4000500</wp:posOffset>
                </wp:positionH>
                <wp:positionV relativeFrom="paragraph">
                  <wp:posOffset>83820</wp:posOffset>
                </wp:positionV>
                <wp:extent cx="1600200" cy="1188720"/>
                <wp:effectExtent l="19050" t="169545" r="161925" b="13335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3C91C" w14:textId="77777777" w:rsidR="00C20BBB" w:rsidRPr="004D6E8B" w:rsidRDefault="00C20BBB" w:rsidP="002B3522">
                            <w:pPr>
                              <w:ind w:firstLine="142"/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>Składowanie odpadów w KSOP</w:t>
                            </w:r>
                          </w:p>
                          <w:p w14:paraId="1B37301C" w14:textId="77777777" w:rsidR="00C20BBB" w:rsidRPr="004D6E8B" w:rsidRDefault="00C20BBB" w:rsidP="002B3522">
                            <w:pPr>
                              <w:ind w:firstLine="142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2F3D5C18" w14:textId="77777777" w:rsidR="00C20BBB" w:rsidRPr="004D6E8B" w:rsidRDefault="00C20BBB" w:rsidP="002B3522">
                            <w:pPr>
                              <w:ind w:firstLine="142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6002C7DA" w14:textId="77777777" w:rsidR="00C20BBB" w:rsidRPr="004D6E8B" w:rsidRDefault="00C20BBB" w:rsidP="002B3522">
                            <w:pPr>
                              <w:ind w:firstLine="142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65B9ECCE" w14:textId="77777777" w:rsidR="00C20BBB" w:rsidRPr="0000292C" w:rsidRDefault="00C20BBB" w:rsidP="002B3522">
                            <w:pPr>
                              <w:ind w:firstLine="142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00292C">
                              <w:rPr>
                                <w:rFonts w:cs="Calibri"/>
                                <w:b/>
                              </w:rPr>
                              <w:t>ZUOP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71C3A" id="Text Box 60" o:spid="_x0000_s1078" type="#_x0000_t202" style="position:absolute;margin-left:315pt;margin-top:6.6pt;width:126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">
                <v:shadow color="#999" offset="1pt,1pt"/>
                <o:extrusion v:ext="view" color="white" on="t"/>
                <v:textbox>
                  <w:txbxContent>
                    <w:p w14:paraId="5BB3C91C" w14:textId="77777777" w:rsidR="00C20BBB" w:rsidRPr="004D6E8B" w:rsidRDefault="00C20BBB" w:rsidP="002B3522">
                      <w:pPr>
                        <w:ind w:firstLine="142"/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>Składowanie odpadów w KSOP</w:t>
                      </w:r>
                    </w:p>
                    <w:p w14:paraId="1B37301C" w14:textId="77777777" w:rsidR="00C20BBB" w:rsidRPr="004D6E8B" w:rsidRDefault="00C20BBB" w:rsidP="002B3522">
                      <w:pPr>
                        <w:ind w:firstLine="142"/>
                        <w:jc w:val="center"/>
                        <w:rPr>
                          <w:rFonts w:cs="Calibri"/>
                        </w:rPr>
                      </w:pPr>
                    </w:p>
                    <w:p w14:paraId="2F3D5C18" w14:textId="77777777" w:rsidR="00C20BBB" w:rsidRPr="004D6E8B" w:rsidRDefault="00C20BBB" w:rsidP="002B3522">
                      <w:pPr>
                        <w:ind w:firstLine="142"/>
                        <w:jc w:val="center"/>
                        <w:rPr>
                          <w:rFonts w:cs="Calibri"/>
                        </w:rPr>
                      </w:pPr>
                    </w:p>
                    <w:p w14:paraId="6002C7DA" w14:textId="77777777" w:rsidR="00C20BBB" w:rsidRPr="004D6E8B" w:rsidRDefault="00C20BBB" w:rsidP="002B3522">
                      <w:pPr>
                        <w:ind w:firstLine="142"/>
                        <w:jc w:val="center"/>
                        <w:rPr>
                          <w:rFonts w:cs="Calibri"/>
                        </w:rPr>
                      </w:pPr>
                    </w:p>
                    <w:p w14:paraId="65B9ECCE" w14:textId="77777777" w:rsidR="00C20BBB" w:rsidRPr="0000292C" w:rsidRDefault="00C20BBB" w:rsidP="002B3522">
                      <w:pPr>
                        <w:ind w:firstLine="142"/>
                        <w:jc w:val="center"/>
                        <w:rPr>
                          <w:rFonts w:cs="Calibri"/>
                          <w:b/>
                        </w:rPr>
                      </w:pPr>
                      <w:r w:rsidRPr="0000292C">
                        <w:rPr>
                          <w:rFonts w:cs="Calibri"/>
                          <w:b/>
                        </w:rPr>
                        <w:t>ZUOP</w:t>
                      </w:r>
                    </w:p>
                  </w:txbxContent>
                </v:textbox>
              </v:shape>
            </w:pict>
          </mc:Fallback>
        </mc:AlternateContent>
      </w:r>
    </w:p>
    <w:p w14:paraId="28D75944" w14:textId="77777777" w:rsidR="00084F8B" w:rsidRDefault="00084F8B" w:rsidP="002B3522">
      <w:pPr>
        <w:tabs>
          <w:tab w:val="left" w:pos="7770"/>
        </w:tabs>
      </w:pPr>
    </w:p>
    <w:p w14:paraId="68885A98" w14:textId="77777777" w:rsidR="00084F8B" w:rsidRDefault="00084F8B" w:rsidP="002B3522"/>
    <w:p w14:paraId="520871B4" w14:textId="77777777" w:rsidR="00084F8B" w:rsidRDefault="002E4457" w:rsidP="002B352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F4E384" wp14:editId="77C910B2">
                <wp:simplePos x="0" y="0"/>
                <wp:positionH relativeFrom="column">
                  <wp:posOffset>3572510</wp:posOffset>
                </wp:positionH>
                <wp:positionV relativeFrom="paragraph">
                  <wp:posOffset>77469</wp:posOffset>
                </wp:positionV>
                <wp:extent cx="365125" cy="0"/>
                <wp:effectExtent l="0" t="76200" r="15875" b="95250"/>
                <wp:wrapNone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AB4743" id="Line 6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3pt,6.1pt" to="310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">
                <v:stroke endarrow="block"/>
              </v:line>
            </w:pict>
          </mc:Fallback>
        </mc:AlternateContent>
      </w:r>
    </w:p>
    <w:p w14:paraId="28FEE33A" w14:textId="77777777" w:rsidR="00084F8B" w:rsidRDefault="00084F8B" w:rsidP="002B3522"/>
    <w:p w14:paraId="556003EE" w14:textId="77777777" w:rsidR="00084F8B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color w:val="000000"/>
          <w:u w:val="single"/>
        </w:rPr>
      </w:pPr>
    </w:p>
    <w:p w14:paraId="5F83B5D3" w14:textId="77777777" w:rsidR="00084F8B" w:rsidRPr="00372EDC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color w:val="000000"/>
        </w:rPr>
      </w:pPr>
    </w:p>
    <w:p w14:paraId="5AE33CDD" w14:textId="77777777" w:rsidR="00084F8B" w:rsidRDefault="00084F8B" w:rsidP="002B3522"/>
    <w:p w14:paraId="5AA2C2A0" w14:textId="77777777" w:rsidR="00084F8B" w:rsidRPr="00EC1EFA" w:rsidRDefault="00084F8B" w:rsidP="001207F0">
      <w:pPr>
        <w:jc w:val="center"/>
        <w:rPr>
          <w:b/>
        </w:rPr>
      </w:pPr>
      <w:r>
        <w:rPr>
          <w:b/>
        </w:rPr>
        <w:t>Rys. 4.3 Postępowanie z</w:t>
      </w:r>
      <w:r w:rsidRPr="00EC1EFA">
        <w:rPr>
          <w:b/>
        </w:rPr>
        <w:t xml:space="preserve"> odpadami</w:t>
      </w:r>
    </w:p>
    <w:p w14:paraId="311153E2" w14:textId="77777777" w:rsidR="00084F8B" w:rsidRDefault="00084F8B" w:rsidP="001207F0">
      <w:pPr>
        <w:jc w:val="center"/>
        <w:rPr>
          <w:b/>
        </w:rPr>
      </w:pPr>
      <w:r w:rsidRPr="00EC1EFA">
        <w:rPr>
          <w:b/>
        </w:rPr>
        <w:t xml:space="preserve">promieniotwórczymi nisko- i średnioaktywnymi </w:t>
      </w:r>
      <w:r>
        <w:rPr>
          <w:b/>
        </w:rPr>
        <w:t>spoza</w:t>
      </w:r>
      <w:r w:rsidRPr="00EC1EFA">
        <w:rPr>
          <w:b/>
        </w:rPr>
        <w:t xml:space="preserve"> energetyki jądrowej</w:t>
      </w:r>
    </w:p>
    <w:p w14:paraId="00CBE431" w14:textId="77777777" w:rsidR="00084F8B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color w:val="000000"/>
          <w:u w:val="single"/>
        </w:rPr>
      </w:pPr>
    </w:p>
    <w:p w14:paraId="28FDCC2C" w14:textId="77777777" w:rsidR="00084F8B" w:rsidRDefault="002E4457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928362" wp14:editId="4AC73738">
                <wp:simplePos x="0" y="0"/>
                <wp:positionH relativeFrom="column">
                  <wp:posOffset>-274320</wp:posOffset>
                </wp:positionH>
                <wp:positionV relativeFrom="paragraph">
                  <wp:posOffset>112395</wp:posOffset>
                </wp:positionV>
                <wp:extent cx="1760220" cy="1154430"/>
                <wp:effectExtent l="11430" t="169545" r="161925" b="9525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55EF5" w14:textId="77777777" w:rsidR="00C20BBB" w:rsidRDefault="00C20BBB" w:rsidP="003628D0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>Wytwarzanie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4D6E8B">
                              <w:rPr>
                                <w:rFonts w:cs="Calibri"/>
                              </w:rPr>
                              <w:t>odpadów</w:t>
                            </w:r>
                            <w:r>
                              <w:rPr>
                                <w:rFonts w:cs="Calibri"/>
                              </w:rPr>
                              <w:t>,</w:t>
                            </w:r>
                            <w:r w:rsidRPr="004D6E8B">
                              <w:rPr>
                                <w:rFonts w:cs="Calibri"/>
                              </w:rPr>
                              <w:t xml:space="preserve"> wstępne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4D6E8B">
                              <w:rPr>
                                <w:rFonts w:cs="Calibri"/>
                              </w:rPr>
                              <w:t>przetwarzanie</w:t>
                            </w:r>
                          </w:p>
                          <w:p w14:paraId="5338A1A3" w14:textId="77777777" w:rsidR="00C20BBB" w:rsidRPr="004D6E8B" w:rsidRDefault="00C20BBB" w:rsidP="003628D0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i przechowywanie</w:t>
                            </w:r>
                          </w:p>
                          <w:p w14:paraId="3E9DD2BD" w14:textId="77777777" w:rsidR="00C20BBB" w:rsidRPr="004D6E8B" w:rsidRDefault="00C20BBB" w:rsidP="000A42BD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47AA8569" w14:textId="77777777" w:rsidR="00C20BBB" w:rsidRPr="0000292C" w:rsidRDefault="00C20BBB" w:rsidP="000A42BD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00292C">
                              <w:rPr>
                                <w:rFonts w:cs="Calibri"/>
                                <w:b/>
                              </w:rPr>
                              <w:t>Szpitale, ośrodki naukowe, Inne</w:t>
                            </w:r>
                          </w:p>
                          <w:p w14:paraId="73CCE46F" w14:textId="77777777" w:rsidR="00C20BBB" w:rsidRDefault="00C20BBB" w:rsidP="002B3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28362" id="Text Box 57" o:spid="_x0000_s1079" type="#_x0000_t202" style="position:absolute;left:0;text-align:left;margin-left:-21.6pt;margin-top:8.85pt;width:138.6pt;height:9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">
                <v:shadow color="#999" offset="1pt,1pt"/>
                <o:extrusion v:ext="view" color="white" on="t"/>
                <v:textbox>
                  <w:txbxContent>
                    <w:p w14:paraId="30A55EF5" w14:textId="77777777" w:rsidR="00C20BBB" w:rsidRDefault="00C20BBB" w:rsidP="003628D0">
                      <w:pPr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>Wytwarzanie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4D6E8B">
                        <w:rPr>
                          <w:rFonts w:cs="Calibri"/>
                        </w:rPr>
                        <w:t>odpadów</w:t>
                      </w:r>
                      <w:r>
                        <w:rPr>
                          <w:rFonts w:cs="Calibri"/>
                        </w:rPr>
                        <w:t>,</w:t>
                      </w:r>
                      <w:r w:rsidRPr="004D6E8B">
                        <w:rPr>
                          <w:rFonts w:cs="Calibri"/>
                        </w:rPr>
                        <w:t xml:space="preserve"> wstępne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4D6E8B">
                        <w:rPr>
                          <w:rFonts w:cs="Calibri"/>
                        </w:rPr>
                        <w:t>przetwarzanie</w:t>
                      </w:r>
                    </w:p>
                    <w:p w14:paraId="5338A1A3" w14:textId="77777777" w:rsidR="00C20BBB" w:rsidRPr="004D6E8B" w:rsidRDefault="00C20BBB" w:rsidP="003628D0">
                      <w:pPr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i przechowywanie</w:t>
                      </w:r>
                    </w:p>
                    <w:p w14:paraId="3E9DD2BD" w14:textId="77777777" w:rsidR="00C20BBB" w:rsidRPr="004D6E8B" w:rsidRDefault="00C20BBB" w:rsidP="000A42BD">
                      <w:pPr>
                        <w:jc w:val="center"/>
                        <w:rPr>
                          <w:rFonts w:cs="Calibri"/>
                        </w:rPr>
                      </w:pPr>
                    </w:p>
                    <w:p w14:paraId="47AA8569" w14:textId="77777777" w:rsidR="00C20BBB" w:rsidRPr="0000292C" w:rsidRDefault="00C20BBB" w:rsidP="000A42BD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00292C">
                        <w:rPr>
                          <w:rFonts w:cs="Calibri"/>
                          <w:b/>
                        </w:rPr>
                        <w:t>Szpitale, ośrodki naukowe, Inne</w:t>
                      </w:r>
                    </w:p>
                    <w:p w14:paraId="73CCE46F" w14:textId="77777777" w:rsidR="00C20BBB" w:rsidRDefault="00C20BBB" w:rsidP="002B35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9E397B" wp14:editId="6C10113A">
                <wp:simplePos x="0" y="0"/>
                <wp:positionH relativeFrom="column">
                  <wp:posOffset>3840480</wp:posOffset>
                </wp:positionH>
                <wp:positionV relativeFrom="paragraph">
                  <wp:posOffset>123825</wp:posOffset>
                </wp:positionV>
                <wp:extent cx="1760220" cy="1143000"/>
                <wp:effectExtent l="11430" t="161925" r="161925" b="9525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E7E474" w14:textId="77777777" w:rsidR="00C20BBB" w:rsidRPr="004D6E8B" w:rsidRDefault="00C20BBB" w:rsidP="002B352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>Składowanie</w:t>
                            </w:r>
                          </w:p>
                          <w:p w14:paraId="6F33F7A0" w14:textId="77777777" w:rsidR="00C20BBB" w:rsidRPr="004D6E8B" w:rsidRDefault="00C20BBB" w:rsidP="002B352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 xml:space="preserve">odpadów </w:t>
                            </w:r>
                          </w:p>
                          <w:p w14:paraId="37AFABE3" w14:textId="77777777" w:rsidR="00C20BBB" w:rsidRPr="004D6E8B" w:rsidRDefault="00C20BBB" w:rsidP="002B352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>w KSOP</w:t>
                            </w:r>
                          </w:p>
                          <w:p w14:paraId="6961F98E" w14:textId="77777777" w:rsidR="00C20BBB" w:rsidRPr="00B70217" w:rsidRDefault="00C20BBB" w:rsidP="002B3522">
                            <w:pPr>
                              <w:jc w:val="center"/>
                              <w:rPr>
                                <w:rFonts w:cs="Calibri"/>
                                <w:sz w:val="16"/>
                              </w:rPr>
                            </w:pPr>
                          </w:p>
                          <w:p w14:paraId="6EAFB179" w14:textId="77777777" w:rsidR="00C20BBB" w:rsidRPr="00B70217" w:rsidRDefault="00C20BBB" w:rsidP="002B3522">
                            <w:pPr>
                              <w:jc w:val="center"/>
                              <w:rPr>
                                <w:rFonts w:cs="Calibri"/>
                                <w:sz w:val="16"/>
                              </w:rPr>
                            </w:pPr>
                          </w:p>
                          <w:p w14:paraId="65385695" w14:textId="77777777" w:rsidR="00C20BBB" w:rsidRPr="0000292C" w:rsidRDefault="00C20BBB" w:rsidP="002B3522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00292C">
                              <w:rPr>
                                <w:rFonts w:cs="Calibri"/>
                                <w:b/>
                              </w:rPr>
                              <w:t>ZUOP</w:t>
                            </w:r>
                          </w:p>
                          <w:p w14:paraId="3D5E7410" w14:textId="77777777" w:rsidR="00C20BBB" w:rsidRDefault="00C20BBB" w:rsidP="002B3522"/>
                          <w:p w14:paraId="6B974CCC" w14:textId="77777777" w:rsidR="00C20BBB" w:rsidRDefault="00C20BBB" w:rsidP="002B3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9E397B" id="Text Box 56" o:spid="_x0000_s1080" type="#_x0000_t202" style="position:absolute;left:0;text-align:left;margin-left:302.4pt;margin-top:9.75pt;width:138.6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">
                <v:shadow color="#999" offset="1pt,1pt"/>
                <o:extrusion v:ext="view" color="white" on="t"/>
                <v:textbox>
                  <w:txbxContent>
                    <w:p w14:paraId="24E7E474" w14:textId="77777777" w:rsidR="00C20BBB" w:rsidRPr="004D6E8B" w:rsidRDefault="00C20BBB" w:rsidP="002B3522">
                      <w:pPr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>Składowanie</w:t>
                      </w:r>
                    </w:p>
                    <w:p w14:paraId="6F33F7A0" w14:textId="77777777" w:rsidR="00C20BBB" w:rsidRPr="004D6E8B" w:rsidRDefault="00C20BBB" w:rsidP="002B3522">
                      <w:pPr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 xml:space="preserve">odpadów </w:t>
                      </w:r>
                    </w:p>
                    <w:p w14:paraId="37AFABE3" w14:textId="77777777" w:rsidR="00C20BBB" w:rsidRPr="004D6E8B" w:rsidRDefault="00C20BBB" w:rsidP="002B3522">
                      <w:pPr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>w KSOP</w:t>
                      </w:r>
                    </w:p>
                    <w:p w14:paraId="6961F98E" w14:textId="77777777" w:rsidR="00C20BBB" w:rsidRPr="00B70217" w:rsidRDefault="00C20BBB" w:rsidP="002B3522">
                      <w:pPr>
                        <w:jc w:val="center"/>
                        <w:rPr>
                          <w:rFonts w:cs="Calibri"/>
                          <w:sz w:val="16"/>
                        </w:rPr>
                      </w:pPr>
                    </w:p>
                    <w:p w14:paraId="6EAFB179" w14:textId="77777777" w:rsidR="00C20BBB" w:rsidRPr="00B70217" w:rsidRDefault="00C20BBB" w:rsidP="002B3522">
                      <w:pPr>
                        <w:jc w:val="center"/>
                        <w:rPr>
                          <w:rFonts w:cs="Calibri"/>
                          <w:sz w:val="16"/>
                        </w:rPr>
                      </w:pPr>
                    </w:p>
                    <w:p w14:paraId="65385695" w14:textId="77777777" w:rsidR="00C20BBB" w:rsidRPr="0000292C" w:rsidRDefault="00C20BBB" w:rsidP="002B3522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00292C">
                        <w:rPr>
                          <w:rFonts w:cs="Calibri"/>
                          <w:b/>
                        </w:rPr>
                        <w:t>ZUOP</w:t>
                      </w:r>
                    </w:p>
                    <w:p w14:paraId="3D5E7410" w14:textId="77777777" w:rsidR="00C20BBB" w:rsidRDefault="00C20BBB" w:rsidP="002B3522"/>
                    <w:p w14:paraId="6B974CCC" w14:textId="77777777" w:rsidR="00C20BBB" w:rsidRDefault="00C20BBB" w:rsidP="002B35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71CD57" wp14:editId="0BDF5268">
                <wp:simplePos x="0" y="0"/>
                <wp:positionH relativeFrom="column">
                  <wp:posOffset>2057400</wp:posOffset>
                </wp:positionH>
                <wp:positionV relativeFrom="paragraph">
                  <wp:posOffset>123825</wp:posOffset>
                </wp:positionV>
                <wp:extent cx="1714500" cy="1143000"/>
                <wp:effectExtent l="19050" t="161925" r="161925" b="9525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F8ED6B" w14:textId="77777777" w:rsidR="00C20BBB" w:rsidRPr="004D6E8B" w:rsidRDefault="00C20BBB" w:rsidP="002B352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>Przetwarzanie</w:t>
                            </w:r>
                          </w:p>
                          <w:p w14:paraId="3EB8F7E4" w14:textId="77777777" w:rsidR="00C20BBB" w:rsidRPr="004D6E8B" w:rsidRDefault="00C20BBB" w:rsidP="002B352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 xml:space="preserve"> i przechowywanie</w:t>
                            </w:r>
                          </w:p>
                          <w:p w14:paraId="590AAD62" w14:textId="77777777" w:rsidR="00C20BBB" w:rsidRPr="004D6E8B" w:rsidRDefault="00C20BBB" w:rsidP="002B352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4D6E8B">
                              <w:rPr>
                                <w:rFonts w:cs="Calibri"/>
                              </w:rPr>
                              <w:t>odpadów</w:t>
                            </w:r>
                          </w:p>
                          <w:p w14:paraId="09AA745A" w14:textId="77777777" w:rsidR="00C20BBB" w:rsidRPr="004D6E8B" w:rsidRDefault="00C20BBB" w:rsidP="002B3522">
                            <w:pPr>
                              <w:spacing w:before="120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6B3E5BD0" w14:textId="77777777" w:rsidR="00C20BBB" w:rsidRPr="0000292C" w:rsidRDefault="00C20BBB" w:rsidP="002B3522">
                            <w:pPr>
                              <w:spacing w:before="120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00292C">
                              <w:rPr>
                                <w:rFonts w:cs="Calibri"/>
                                <w:b/>
                              </w:rPr>
                              <w:t>ZUOP</w:t>
                            </w:r>
                          </w:p>
                          <w:p w14:paraId="52552077" w14:textId="77777777" w:rsidR="00C20BBB" w:rsidRDefault="00C20BBB" w:rsidP="002B3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1CD57" id="Text Box 55" o:spid="_x0000_s1081" type="#_x0000_t202" style="position:absolute;left:0;text-align:left;margin-left:162pt;margin-top:9.75pt;width:135pt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">
                <v:shadow color="#999" offset="1pt,1pt"/>
                <o:extrusion v:ext="view" color="white" on="t"/>
                <v:textbox>
                  <w:txbxContent>
                    <w:p w14:paraId="4EF8ED6B" w14:textId="77777777" w:rsidR="00C20BBB" w:rsidRPr="004D6E8B" w:rsidRDefault="00C20BBB" w:rsidP="002B3522">
                      <w:pPr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>Przetwarzanie</w:t>
                      </w:r>
                    </w:p>
                    <w:p w14:paraId="3EB8F7E4" w14:textId="77777777" w:rsidR="00C20BBB" w:rsidRPr="004D6E8B" w:rsidRDefault="00C20BBB" w:rsidP="002B3522">
                      <w:pPr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 xml:space="preserve"> i przechowywanie</w:t>
                      </w:r>
                    </w:p>
                    <w:p w14:paraId="590AAD62" w14:textId="77777777" w:rsidR="00C20BBB" w:rsidRPr="004D6E8B" w:rsidRDefault="00C20BBB" w:rsidP="002B3522">
                      <w:pPr>
                        <w:jc w:val="center"/>
                        <w:rPr>
                          <w:rFonts w:cs="Calibri"/>
                        </w:rPr>
                      </w:pPr>
                      <w:r w:rsidRPr="004D6E8B">
                        <w:rPr>
                          <w:rFonts w:cs="Calibri"/>
                        </w:rPr>
                        <w:t>odpadów</w:t>
                      </w:r>
                    </w:p>
                    <w:p w14:paraId="09AA745A" w14:textId="77777777" w:rsidR="00C20BBB" w:rsidRPr="004D6E8B" w:rsidRDefault="00C20BBB" w:rsidP="002B3522">
                      <w:pPr>
                        <w:spacing w:before="120"/>
                        <w:jc w:val="center"/>
                        <w:rPr>
                          <w:rFonts w:cs="Calibri"/>
                        </w:rPr>
                      </w:pPr>
                    </w:p>
                    <w:p w14:paraId="6B3E5BD0" w14:textId="77777777" w:rsidR="00C20BBB" w:rsidRPr="0000292C" w:rsidRDefault="00C20BBB" w:rsidP="002B3522">
                      <w:pPr>
                        <w:spacing w:before="120"/>
                        <w:jc w:val="center"/>
                        <w:rPr>
                          <w:rFonts w:cs="Calibri"/>
                          <w:b/>
                        </w:rPr>
                      </w:pPr>
                      <w:r w:rsidRPr="0000292C">
                        <w:rPr>
                          <w:rFonts w:cs="Calibri"/>
                          <w:b/>
                        </w:rPr>
                        <w:t>ZUOP</w:t>
                      </w:r>
                    </w:p>
                    <w:p w14:paraId="52552077" w14:textId="77777777" w:rsidR="00C20BBB" w:rsidRDefault="00C20BBB" w:rsidP="002B3522"/>
                  </w:txbxContent>
                </v:textbox>
              </v:shape>
            </w:pict>
          </mc:Fallback>
        </mc:AlternateContent>
      </w:r>
    </w:p>
    <w:p w14:paraId="2B8E7972" w14:textId="77777777" w:rsidR="00084F8B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  <w:u w:val="single"/>
        </w:rPr>
      </w:pPr>
    </w:p>
    <w:p w14:paraId="13D5D801" w14:textId="77777777" w:rsidR="00084F8B" w:rsidRDefault="002E4457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69246B" wp14:editId="09A6DF09">
                <wp:simplePos x="0" y="0"/>
                <wp:positionH relativeFrom="column">
                  <wp:posOffset>1562100</wp:posOffset>
                </wp:positionH>
                <wp:positionV relativeFrom="paragraph">
                  <wp:posOffset>58419</wp:posOffset>
                </wp:positionV>
                <wp:extent cx="495300" cy="0"/>
                <wp:effectExtent l="0" t="76200" r="19050" b="95250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72E8FC" id="Line 6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pt,4.6pt" to="16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foKA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">
                <v:stroke endarrow="block"/>
              </v:line>
            </w:pict>
          </mc:Fallback>
        </mc:AlternateContent>
      </w:r>
    </w:p>
    <w:p w14:paraId="0DCC686F" w14:textId="77777777" w:rsidR="00084F8B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  <w:u w:val="single"/>
        </w:rPr>
      </w:pPr>
    </w:p>
    <w:p w14:paraId="75CF1FC8" w14:textId="77777777" w:rsidR="00084F8B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  <w:u w:val="single"/>
        </w:rPr>
      </w:pPr>
    </w:p>
    <w:p w14:paraId="26033FB8" w14:textId="77777777" w:rsidR="00084F8B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  <w:u w:val="single"/>
        </w:rPr>
      </w:pPr>
    </w:p>
    <w:p w14:paraId="65B0420B" w14:textId="77777777" w:rsidR="00472695" w:rsidRPr="00F74164" w:rsidRDefault="00472695" w:rsidP="00472695">
      <w:pPr>
        <w:pStyle w:val="Nagwek3"/>
      </w:pPr>
      <w:bookmarkStart w:id="123" w:name="_Toc424116723"/>
      <w:r>
        <w:t>4</w:t>
      </w:r>
      <w:r w:rsidRPr="00F74164">
        <w:t>.</w:t>
      </w:r>
      <w:r>
        <w:t>1.</w:t>
      </w:r>
      <w:r w:rsidR="00D87459">
        <w:t>6</w:t>
      </w:r>
      <w:r>
        <w:t>.</w:t>
      </w:r>
      <w:r w:rsidRPr="00F74164">
        <w:t xml:space="preserve"> </w:t>
      </w:r>
      <w:r>
        <w:t>Składowanie odpadów promieniotwórczych</w:t>
      </w:r>
      <w:bookmarkEnd w:id="123"/>
    </w:p>
    <w:p w14:paraId="35E295C9" w14:textId="5B90512A" w:rsidR="00084F8B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 w:rsidRPr="00784F93">
        <w:rPr>
          <w:color w:val="000000"/>
        </w:rPr>
        <w:t xml:space="preserve">Składowanie odpadów promieniotwórczych </w:t>
      </w:r>
      <w:r>
        <w:rPr>
          <w:color w:val="000000"/>
        </w:rPr>
        <w:t>oznacza</w:t>
      </w:r>
      <w:r w:rsidRPr="00784F93">
        <w:rPr>
          <w:color w:val="000000"/>
        </w:rPr>
        <w:t xml:space="preserve"> złożenie tych odpadów w </w:t>
      </w:r>
      <w:r>
        <w:rPr>
          <w:color w:val="000000"/>
        </w:rPr>
        <w:t>składowisku odpadów promieniotwórczych</w:t>
      </w:r>
      <w:r w:rsidRPr="00784F93">
        <w:rPr>
          <w:color w:val="000000"/>
        </w:rPr>
        <w:t xml:space="preserve"> bez zamiaru ponownego ich wydobycia</w:t>
      </w:r>
      <w:r>
        <w:rPr>
          <w:rStyle w:val="Odwoanieprzypisudolnego"/>
          <w:color w:val="000000"/>
        </w:rPr>
        <w:footnoteReference w:id="30"/>
      </w:r>
      <w:r w:rsidRPr="00784F93">
        <w:rPr>
          <w:color w:val="000000"/>
        </w:rPr>
        <w:t xml:space="preserve">. Celem składowania jest usunięcie izotopów promieniotwórczych z powszechnie dostępnego środowiska i izolowanie ich w taki sposób, aby na miejscu uległy rozpadowi do tak niskiego poziomu aktywności promieniotwórczej, </w:t>
      </w:r>
      <w:r w:rsidR="002E4457">
        <w:rPr>
          <w:color w:val="000000"/>
        </w:rPr>
        <w:t>aby</w:t>
      </w:r>
      <w:r w:rsidR="002E4457" w:rsidRPr="00784F93">
        <w:rPr>
          <w:color w:val="000000"/>
        </w:rPr>
        <w:t xml:space="preserve"> </w:t>
      </w:r>
      <w:r w:rsidRPr="00784F93">
        <w:rPr>
          <w:color w:val="000000"/>
        </w:rPr>
        <w:t xml:space="preserve">ich ewentualne uwolnienie nie stwarzało </w:t>
      </w:r>
      <w:r w:rsidR="00572D3F">
        <w:rPr>
          <w:color w:val="000000"/>
        </w:rPr>
        <w:t xml:space="preserve">jakiegokolwiek </w:t>
      </w:r>
      <w:r w:rsidRPr="00784F93">
        <w:rPr>
          <w:color w:val="000000"/>
        </w:rPr>
        <w:t>zagrożenia dla ludzi i środowiska.</w:t>
      </w:r>
    </w:p>
    <w:p w14:paraId="5099082D" w14:textId="77777777" w:rsidR="00084F8B" w:rsidRPr="00784F93" w:rsidRDefault="00084F8B" w:rsidP="000C6F14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>Odpady promieniotwórcze można składować wyłącznie w stanie stałym w opakowaniach zapewniających bezpieczeństwo ludzi i środowiska przed oddziaływaniem promieniowania jonizującego, przy zapewnieniu odprowadzania ciepła oraz przy stałym prowadzeniu kontroli tych czynników w okresie składowania, a także po zamknięciu składowiska.</w:t>
      </w:r>
      <w:r>
        <w:rPr>
          <w:rStyle w:val="Odwoanieprzypisudolnego"/>
          <w:color w:val="000000"/>
        </w:rPr>
        <w:footnoteReference w:id="31"/>
      </w:r>
    </w:p>
    <w:p w14:paraId="19DB7D1E" w14:textId="77777777" w:rsidR="00084F8B" w:rsidRPr="00784F93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784F93">
        <w:rPr>
          <w:color w:val="000000"/>
        </w:rPr>
        <w:t xml:space="preserve">Odpady promieniotwórcze krótkożyciowe nisko- i średnioaktywne oraz zużyte zamknięte źródła promieniotwórcze </w:t>
      </w:r>
      <w:r>
        <w:rPr>
          <w:color w:val="000000"/>
        </w:rPr>
        <w:t>(</w:t>
      </w:r>
      <w:r w:rsidRPr="00784F93">
        <w:rPr>
          <w:color w:val="000000"/>
        </w:rPr>
        <w:t>krótkożyciowe nisko-, średnio</w:t>
      </w:r>
      <w:r>
        <w:rPr>
          <w:color w:val="000000"/>
        </w:rPr>
        <w:t>-</w:t>
      </w:r>
      <w:r w:rsidRPr="00784F93">
        <w:rPr>
          <w:color w:val="000000"/>
        </w:rPr>
        <w:t xml:space="preserve"> i wysokoaktywne</w:t>
      </w:r>
      <w:r>
        <w:rPr>
          <w:color w:val="000000"/>
        </w:rPr>
        <w:t xml:space="preserve">) </w:t>
      </w:r>
      <w:r w:rsidR="00D27BB7">
        <w:rPr>
          <w:color w:val="000000"/>
        </w:rPr>
        <w:t>można składować</w:t>
      </w:r>
      <w:r w:rsidRPr="00784F93">
        <w:rPr>
          <w:color w:val="000000"/>
        </w:rPr>
        <w:t xml:space="preserve"> w składowisku powierzchniowym</w:t>
      </w:r>
      <w:r>
        <w:rPr>
          <w:color w:val="000000"/>
        </w:rPr>
        <w:t xml:space="preserve"> odpadów promieniotwórczych</w:t>
      </w:r>
      <w:r w:rsidR="00D27BB7">
        <w:rPr>
          <w:rStyle w:val="Odwoanieprzypisudolnego"/>
          <w:color w:val="000000"/>
        </w:rPr>
        <w:footnoteReference w:id="32"/>
      </w:r>
      <w:r w:rsidRPr="00784F93">
        <w:rPr>
          <w:color w:val="000000"/>
        </w:rPr>
        <w:t xml:space="preserve">. </w:t>
      </w:r>
    </w:p>
    <w:p w14:paraId="145BA86A" w14:textId="77777777" w:rsidR="00084F8B" w:rsidRPr="00784F93" w:rsidRDefault="00084F8B" w:rsidP="00B3349B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784F93">
        <w:rPr>
          <w:color w:val="000000"/>
        </w:rPr>
        <w:t xml:space="preserve">Izolację odpadów promieniotwórczych </w:t>
      </w:r>
      <w:r>
        <w:rPr>
          <w:color w:val="000000"/>
        </w:rPr>
        <w:t xml:space="preserve">zapewniają bariery ochronne, </w:t>
      </w:r>
      <w:r w:rsidRPr="00784F93">
        <w:rPr>
          <w:color w:val="000000"/>
        </w:rPr>
        <w:t xml:space="preserve">które zabezpieczają przed uwalnianiem się </w:t>
      </w:r>
      <w:r w:rsidRPr="00784F93">
        <w:rPr>
          <w:color w:val="000000"/>
        </w:rPr>
        <w:lastRenderedPageBreak/>
        <w:t>substancji promieniotwórczych w miejscu ich składowania i zapobiega</w:t>
      </w:r>
      <w:r>
        <w:rPr>
          <w:color w:val="000000"/>
        </w:rPr>
        <w:t xml:space="preserve">ją ich migracji do środowiska. Bariery ochronne można podzielić na sztuczne oraz naturalne. </w:t>
      </w:r>
      <w:r w:rsidRPr="00784F93">
        <w:rPr>
          <w:color w:val="000000"/>
        </w:rPr>
        <w:t xml:space="preserve"> </w:t>
      </w:r>
    </w:p>
    <w:p w14:paraId="1B58AD0C" w14:textId="77777777" w:rsidR="00472695" w:rsidRPr="00F74164" w:rsidRDefault="00472695" w:rsidP="00472695">
      <w:pPr>
        <w:pStyle w:val="Nagwek3"/>
      </w:pPr>
      <w:bookmarkStart w:id="124" w:name="_Toc424116724"/>
      <w:r>
        <w:t>4</w:t>
      </w:r>
      <w:r w:rsidRPr="00F74164">
        <w:t>.</w:t>
      </w:r>
      <w:r>
        <w:t>1.</w:t>
      </w:r>
      <w:r w:rsidR="00D87459">
        <w:t>7</w:t>
      </w:r>
      <w:r w:rsidRPr="00472695">
        <w:t xml:space="preserve">. </w:t>
      </w:r>
      <w:r w:rsidRPr="00AD6D12">
        <w:rPr>
          <w:bCs/>
        </w:rPr>
        <w:t>Krajowe Składowisko Odpadów Promieniotwórczych</w:t>
      </w:r>
      <w:r>
        <w:rPr>
          <w:bCs/>
        </w:rPr>
        <w:t xml:space="preserve"> w Różanie</w:t>
      </w:r>
      <w:bookmarkEnd w:id="124"/>
    </w:p>
    <w:p w14:paraId="33F3643A" w14:textId="4A8693AC" w:rsidR="00084F8B" w:rsidRPr="00784F93" w:rsidRDefault="00084F8B" w:rsidP="00C87B85">
      <w:pPr>
        <w:spacing w:before="120" w:after="120"/>
        <w:ind w:firstLine="567"/>
        <w:jc w:val="both"/>
      </w:pPr>
      <w:r w:rsidRPr="00784F93">
        <w:rPr>
          <w:color w:val="000000"/>
        </w:rPr>
        <w:t>KSOP w Różanie funkcjonuje od 1961 r</w:t>
      </w:r>
      <w:r>
        <w:rPr>
          <w:color w:val="000000"/>
        </w:rPr>
        <w:t>.</w:t>
      </w:r>
      <w:r w:rsidRPr="00784F93">
        <w:rPr>
          <w:color w:val="000000"/>
        </w:rPr>
        <w:t xml:space="preserve"> i według klasyfikacji Międzynarodowej Agencji Energii Atomowej (MAEA) jest typem składowiska powierzchniowego. </w:t>
      </w:r>
      <w:r w:rsidRPr="00784F93">
        <w:t>Składowisko to, zajmujące obszar 3,045 ha, znajduje się w</w:t>
      </w:r>
      <w:r>
        <w:t> </w:t>
      </w:r>
      <w:r w:rsidRPr="00784F93">
        <w:t>jednym z dawnych fortów</w:t>
      </w:r>
      <w:r w:rsidR="00572D3F">
        <w:t xml:space="preserve"> wojskowych</w:t>
      </w:r>
      <w:r w:rsidRPr="00784F93">
        <w:t>, wybudowanych w latach 1905-1908. Wody gruntowe znajdują się pod warstwą gliny o bardzo małej przepuszczalności i warstwą gleby</w:t>
      </w:r>
      <w:r>
        <w:t xml:space="preserve"> </w:t>
      </w:r>
      <w:r w:rsidRPr="00784F93">
        <w:t>o właściwościach sorpcyjnych na głębokości kilkunastu metrów poniżej składowiska.</w:t>
      </w:r>
    </w:p>
    <w:p w14:paraId="1B58C7C2" w14:textId="77777777" w:rsidR="00084F8B" w:rsidRPr="00784F93" w:rsidRDefault="00084F8B" w:rsidP="002B3522">
      <w:pPr>
        <w:spacing w:before="120" w:after="120"/>
        <w:jc w:val="both"/>
        <w:rPr>
          <w:color w:val="000000"/>
        </w:rPr>
      </w:pPr>
      <w:r w:rsidRPr="00784F93">
        <w:rPr>
          <w:color w:val="000000"/>
        </w:rPr>
        <w:t>Miejscem składowania odpadów na terenie składowiska są obiekty betonowe fortu, częściowo pokryte ziemią oraz fragmenty fosy. Natomiast odpady długożyciowe alfapromieniotwórcze przechowywane są w komorach betonowych.</w:t>
      </w:r>
    </w:p>
    <w:p w14:paraId="2D06C69A" w14:textId="77777777" w:rsidR="00084F8B" w:rsidRDefault="00084F8B" w:rsidP="001D1588">
      <w:pPr>
        <w:widowControl w:val="0"/>
        <w:autoSpaceDE w:val="0"/>
        <w:autoSpaceDN w:val="0"/>
        <w:adjustRightInd w:val="0"/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Zamknięcie KSOP w Różanie zostanie poprzedzone działaniami przygotowawczymi, w ramach których zostanie ustalony zakres działań umożliwiających przygotowanie składowiska do bezpiecznego zamknięcia i długotrwałego monitoringu, w tym wyboru wariantu pokrywy. W oparciu o powyższe ustalenia zostanie przygotowana koncepcja zamknięcia a następnie program zamknięcia, który zostanie przedłożony Prezesowi PAA, czego następstwem będzie uzyskanie zezwolenia na zamknięcie KSOP w Różanie. </w:t>
      </w:r>
    </w:p>
    <w:p w14:paraId="77FDCF7E" w14:textId="373BCF3A" w:rsidR="00084F8B" w:rsidRDefault="00084F8B" w:rsidP="001D1588">
      <w:pPr>
        <w:widowControl w:val="0"/>
        <w:autoSpaceDE w:val="0"/>
        <w:autoSpaceDN w:val="0"/>
        <w:adjustRightInd w:val="0"/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Prace związane z zamknięciem KSOP w Różanie prowadzone będą zgodnie z uzyskanym zezwoleniem na zamknięcie. Po zamknięciu ZUOP będzie zobowiązany sporządzić raport z zamknięcia składowiska i przedłożyć go do zatwierdzenia Prezesowi PAA. Po zatwierdzeniu powyższego raportu rozpocznie się długotrwały monitoring zamkniętego składowiska, za który odpowiedzialny będzie ZUOP. </w:t>
      </w:r>
    </w:p>
    <w:p w14:paraId="77A4ED03" w14:textId="3C1255C8" w:rsidR="00084F8B" w:rsidRPr="002229D4" w:rsidRDefault="00084F8B" w:rsidP="00C61261">
      <w:pPr>
        <w:pStyle w:val="Nagwek2"/>
      </w:pPr>
      <w:bookmarkStart w:id="125" w:name="_Toc424116725"/>
      <w:r>
        <w:t>4.2 Postępowanie z</w:t>
      </w:r>
      <w:r w:rsidRPr="002229D4">
        <w:t xml:space="preserve"> odpadami promieniotwórczymi</w:t>
      </w:r>
      <w:r w:rsidRPr="009F25FA">
        <w:t xml:space="preserve"> </w:t>
      </w:r>
      <w:r>
        <w:t>Długo</w:t>
      </w:r>
      <w:r w:rsidRPr="009F25FA">
        <w:t>życiowymi</w:t>
      </w:r>
      <w:r w:rsidRPr="002229D4">
        <w:t xml:space="preserve"> nisko</w:t>
      </w:r>
      <w:r w:rsidR="00C31456">
        <w:t xml:space="preserve"> </w:t>
      </w:r>
      <w:r w:rsidRPr="002229D4">
        <w:t xml:space="preserve">- </w:t>
      </w:r>
      <w:r w:rsidR="00C31456">
        <w:br/>
      </w:r>
      <w:r w:rsidRPr="002229D4">
        <w:t>i średnioaktywnymi</w:t>
      </w:r>
      <w:bookmarkEnd w:id="125"/>
    </w:p>
    <w:p w14:paraId="0D257811" w14:textId="77777777" w:rsidR="00084F8B" w:rsidRPr="00E40868" w:rsidRDefault="00084F8B" w:rsidP="00C87B85">
      <w:pPr>
        <w:widowControl w:val="0"/>
        <w:autoSpaceDE w:val="0"/>
        <w:autoSpaceDN w:val="0"/>
        <w:adjustRightInd w:val="0"/>
        <w:spacing w:before="240" w:after="120"/>
        <w:ind w:firstLine="567"/>
        <w:jc w:val="both"/>
        <w:rPr>
          <w:color w:val="000000"/>
        </w:rPr>
      </w:pPr>
      <w:r w:rsidRPr="00E40868">
        <w:rPr>
          <w:color w:val="000000"/>
        </w:rPr>
        <w:t xml:space="preserve">Postępowanie </w:t>
      </w:r>
      <w:r>
        <w:rPr>
          <w:color w:val="000000"/>
        </w:rPr>
        <w:t>z odpadami</w:t>
      </w:r>
      <w:r w:rsidRPr="00E40868">
        <w:rPr>
          <w:color w:val="000000"/>
        </w:rPr>
        <w:t xml:space="preserve"> pro</w:t>
      </w:r>
      <w:r>
        <w:rPr>
          <w:color w:val="000000"/>
        </w:rPr>
        <w:t>mieniotwórczymi długożyciowymi nisko- i średnioaktywnymi</w:t>
      </w:r>
      <w:r w:rsidRPr="00E40868">
        <w:rPr>
          <w:color w:val="000000"/>
        </w:rPr>
        <w:t xml:space="preserve">, </w:t>
      </w:r>
      <w:r>
        <w:rPr>
          <w:color w:val="000000"/>
        </w:rPr>
        <w:t>obejmuje: postępowanie</w:t>
      </w:r>
      <w:r w:rsidRPr="00E40868">
        <w:rPr>
          <w:color w:val="000000"/>
        </w:rPr>
        <w:t xml:space="preserve"> z odpadami </w:t>
      </w:r>
      <w:r>
        <w:rPr>
          <w:color w:val="000000"/>
        </w:rPr>
        <w:t>w miejscu ich powstania, odbiór, transport, przetwarzanie, które są</w:t>
      </w:r>
      <w:r w:rsidRPr="00E40868">
        <w:rPr>
          <w:color w:val="000000"/>
        </w:rPr>
        <w:t xml:space="preserve"> analogiczne, jak w </w:t>
      </w:r>
      <w:r>
        <w:rPr>
          <w:color w:val="000000"/>
        </w:rPr>
        <w:t>przypadku</w:t>
      </w:r>
      <w:r w:rsidRPr="00E40868">
        <w:rPr>
          <w:color w:val="000000"/>
        </w:rPr>
        <w:t xml:space="preserve"> odpadów promieniotwórczych krótkożyciowych nisko- i średnioaktywnych.</w:t>
      </w:r>
    </w:p>
    <w:p w14:paraId="717BCDE8" w14:textId="132063B0" w:rsidR="00084F8B" w:rsidRDefault="00084F8B" w:rsidP="002A6705">
      <w:pPr>
        <w:widowControl w:val="0"/>
        <w:autoSpaceDE w:val="0"/>
        <w:autoSpaceDN w:val="0"/>
        <w:adjustRightInd w:val="0"/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Odpady </w:t>
      </w:r>
      <w:r>
        <w:rPr>
          <w:bCs/>
        </w:rPr>
        <w:t xml:space="preserve">promieniotwórcze </w:t>
      </w:r>
      <w:r>
        <w:rPr>
          <w:color w:val="000000"/>
        </w:rPr>
        <w:t xml:space="preserve">długożyciowe nisko- i średnioaktywne </w:t>
      </w:r>
      <w:r>
        <w:rPr>
          <w:bCs/>
        </w:rPr>
        <w:t xml:space="preserve">przechowuje się </w:t>
      </w:r>
      <w:r w:rsidR="0010629E">
        <w:rPr>
          <w:bCs/>
        </w:rPr>
        <w:t xml:space="preserve">w </w:t>
      </w:r>
      <w:r>
        <w:rPr>
          <w:bCs/>
        </w:rPr>
        <w:t>magazynie odpadów promieniotwórczych na terenie</w:t>
      </w:r>
      <w:r w:rsidRPr="00784F93">
        <w:rPr>
          <w:color w:val="000000"/>
        </w:rPr>
        <w:t xml:space="preserve"> ZUOP</w:t>
      </w:r>
      <w:r>
        <w:rPr>
          <w:color w:val="000000"/>
        </w:rPr>
        <w:t xml:space="preserve"> w </w:t>
      </w:r>
      <w:r w:rsidRPr="00784F93">
        <w:rPr>
          <w:color w:val="000000"/>
        </w:rPr>
        <w:t>Otwock</w:t>
      </w:r>
      <w:r>
        <w:rPr>
          <w:color w:val="000000"/>
        </w:rPr>
        <w:t>u</w:t>
      </w:r>
      <w:r w:rsidRPr="00784F93">
        <w:rPr>
          <w:color w:val="000000"/>
        </w:rPr>
        <w:t>-Świerk</w:t>
      </w:r>
      <w:r w:rsidR="005761A3">
        <w:rPr>
          <w:color w:val="000000"/>
        </w:rPr>
        <w:t>u</w:t>
      </w:r>
      <w:r>
        <w:rPr>
          <w:color w:val="000000"/>
        </w:rPr>
        <w:t xml:space="preserve"> oraz w KSOP w Różanie. </w:t>
      </w:r>
    </w:p>
    <w:p w14:paraId="35974427" w14:textId="77777777" w:rsidR="00084F8B" w:rsidRDefault="00084F8B" w:rsidP="002A6705">
      <w:pPr>
        <w:widowControl w:val="0"/>
        <w:autoSpaceDE w:val="0"/>
        <w:autoSpaceDN w:val="0"/>
        <w:adjustRightInd w:val="0"/>
        <w:spacing w:before="240" w:after="120"/>
        <w:jc w:val="both"/>
      </w:pPr>
      <w:r>
        <w:rPr>
          <w:color w:val="000000"/>
        </w:rPr>
        <w:t xml:space="preserve">Zamknięcie KSOP w Różanie zostanie poprzedzone wydobyciem i przeniesieniem odpadów długożyciowych </w:t>
      </w:r>
      <w:r>
        <w:t>do NSPOP</w:t>
      </w:r>
      <w:r w:rsidRPr="001C3323">
        <w:t xml:space="preserve"> </w:t>
      </w:r>
      <w:r>
        <w:t xml:space="preserve">w celu dalszego ich przechowywania. </w:t>
      </w:r>
    </w:p>
    <w:p w14:paraId="071E6436" w14:textId="77777777" w:rsidR="00084F8B" w:rsidRDefault="00084F8B" w:rsidP="002A6705">
      <w:pPr>
        <w:widowControl w:val="0"/>
        <w:autoSpaceDE w:val="0"/>
        <w:autoSpaceDN w:val="0"/>
        <w:adjustRightInd w:val="0"/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Odpady </w:t>
      </w:r>
      <w:r>
        <w:rPr>
          <w:bCs/>
        </w:rPr>
        <w:t xml:space="preserve">promieniotwórcze </w:t>
      </w:r>
      <w:r>
        <w:rPr>
          <w:color w:val="000000"/>
        </w:rPr>
        <w:t>długożyciowe nisko- i średnioaktywne będą przechowywane do czasu uruchomienia SGOP, gdzie będą składowane.</w:t>
      </w:r>
    </w:p>
    <w:p w14:paraId="33F72F81" w14:textId="77777777" w:rsidR="00084F8B" w:rsidRPr="002229D4" w:rsidRDefault="00084F8B" w:rsidP="00C43675">
      <w:pPr>
        <w:pStyle w:val="Nagwek2"/>
      </w:pPr>
      <w:bookmarkStart w:id="126" w:name="_Toc424116726"/>
      <w:r>
        <w:t>4.3 Postępowanie z</w:t>
      </w:r>
      <w:r w:rsidRPr="002229D4">
        <w:t xml:space="preserve"> </w:t>
      </w:r>
      <w:r>
        <w:t>Zużytymi Zamkniętymi źródłami</w:t>
      </w:r>
      <w:r w:rsidRPr="002229D4">
        <w:t xml:space="preserve"> promieniotwórczymi</w:t>
      </w:r>
      <w:bookmarkEnd w:id="126"/>
      <w:r w:rsidRPr="009F25FA">
        <w:t xml:space="preserve"> </w:t>
      </w:r>
    </w:p>
    <w:p w14:paraId="2CE63112" w14:textId="77777777" w:rsidR="00084F8B" w:rsidRPr="00E40868" w:rsidRDefault="00084F8B" w:rsidP="008B024A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E40868">
        <w:rPr>
          <w:color w:val="000000"/>
        </w:rPr>
        <w:t xml:space="preserve">Postępowanie </w:t>
      </w:r>
      <w:r>
        <w:rPr>
          <w:color w:val="000000"/>
        </w:rPr>
        <w:t>ze</w:t>
      </w:r>
      <w:r w:rsidRPr="00E40868">
        <w:rPr>
          <w:color w:val="000000"/>
        </w:rPr>
        <w:t xml:space="preserve"> </w:t>
      </w:r>
      <w:r>
        <w:rPr>
          <w:color w:val="000000"/>
        </w:rPr>
        <w:t>zużytymi zamkniętymi źródłami promieniotwórczymi obejmuje: postępowanie</w:t>
      </w:r>
      <w:r w:rsidRPr="00E40868">
        <w:rPr>
          <w:color w:val="000000"/>
        </w:rPr>
        <w:t xml:space="preserve"> </w:t>
      </w:r>
      <w:r>
        <w:rPr>
          <w:color w:val="000000"/>
        </w:rPr>
        <w:t xml:space="preserve">w miejscu ich powstania, odbiór, transport, przetwarzanie, które są </w:t>
      </w:r>
      <w:r w:rsidRPr="00E40868">
        <w:rPr>
          <w:color w:val="000000"/>
        </w:rPr>
        <w:t>analogiczne, jak w odniesieniu do odpadów promieniotwórczych krótkożyciowych nisko- i średnioaktywnych.</w:t>
      </w:r>
    </w:p>
    <w:p w14:paraId="15F544C7" w14:textId="20B941EC" w:rsidR="00084F8B" w:rsidRDefault="00084F8B" w:rsidP="008B024A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Zużyte zamknięte źródła promieniotwórcze krótkożyciowe nisko- i średnioaktywne są składowane w KSOP w Różanie, natomiast wysokoaktywne są przechowywane w </w:t>
      </w:r>
      <w:r>
        <w:rPr>
          <w:bCs/>
        </w:rPr>
        <w:t>magazynie odpadów promieniotwórczych na terenie</w:t>
      </w:r>
      <w:r w:rsidRPr="00784F93">
        <w:rPr>
          <w:color w:val="000000"/>
        </w:rPr>
        <w:t xml:space="preserve"> </w:t>
      </w:r>
      <w:r w:rsidRPr="00784F93">
        <w:rPr>
          <w:color w:val="000000"/>
        </w:rPr>
        <w:lastRenderedPageBreak/>
        <w:t>ZUOP</w:t>
      </w:r>
      <w:r>
        <w:rPr>
          <w:color w:val="000000"/>
        </w:rPr>
        <w:t xml:space="preserve"> w </w:t>
      </w:r>
      <w:r w:rsidRPr="00784F93">
        <w:rPr>
          <w:color w:val="000000"/>
        </w:rPr>
        <w:t>Otwock</w:t>
      </w:r>
      <w:r>
        <w:rPr>
          <w:color w:val="000000"/>
        </w:rPr>
        <w:t>u</w:t>
      </w:r>
      <w:r w:rsidRPr="00784F93">
        <w:rPr>
          <w:color w:val="000000"/>
        </w:rPr>
        <w:t>-Świerk</w:t>
      </w:r>
      <w:r w:rsidR="005761A3">
        <w:rPr>
          <w:color w:val="000000"/>
        </w:rPr>
        <w:t>u</w:t>
      </w:r>
      <w:r w:rsidR="0010629E">
        <w:rPr>
          <w:color w:val="000000"/>
        </w:rPr>
        <w:t>.</w:t>
      </w:r>
    </w:p>
    <w:p w14:paraId="7D5C3379" w14:textId="7E22ABA9" w:rsidR="00084F8B" w:rsidRDefault="00084F8B" w:rsidP="008B024A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Zużyte zamknięte źródła promieniotwórcze długożyciowe przechowywane są w </w:t>
      </w:r>
      <w:r>
        <w:rPr>
          <w:bCs/>
        </w:rPr>
        <w:t>magazynie odpadów promieniotwórczych na terenie</w:t>
      </w:r>
      <w:r w:rsidRPr="00784F93">
        <w:rPr>
          <w:color w:val="000000"/>
        </w:rPr>
        <w:t xml:space="preserve"> ZUOP</w:t>
      </w:r>
      <w:r>
        <w:rPr>
          <w:color w:val="000000"/>
        </w:rPr>
        <w:t xml:space="preserve"> w </w:t>
      </w:r>
      <w:r w:rsidRPr="00784F93">
        <w:rPr>
          <w:color w:val="000000"/>
        </w:rPr>
        <w:t>Otwock</w:t>
      </w:r>
      <w:r>
        <w:rPr>
          <w:color w:val="000000"/>
        </w:rPr>
        <w:t>u</w:t>
      </w:r>
      <w:r w:rsidRPr="00784F93">
        <w:rPr>
          <w:color w:val="000000"/>
        </w:rPr>
        <w:t>-Świerk</w:t>
      </w:r>
      <w:r w:rsidR="005761A3">
        <w:rPr>
          <w:color w:val="000000"/>
        </w:rPr>
        <w:t>u</w:t>
      </w:r>
      <w:r>
        <w:rPr>
          <w:color w:val="000000"/>
        </w:rPr>
        <w:t xml:space="preserve"> oraz KSOP w Różanie.</w:t>
      </w:r>
    </w:p>
    <w:p w14:paraId="552F971A" w14:textId="77777777" w:rsidR="00084F8B" w:rsidRDefault="00084F8B" w:rsidP="008B024A">
      <w:pPr>
        <w:widowControl w:val="0"/>
        <w:autoSpaceDE w:val="0"/>
        <w:autoSpaceDN w:val="0"/>
        <w:adjustRightInd w:val="0"/>
        <w:spacing w:before="120" w:after="120"/>
        <w:jc w:val="both"/>
      </w:pPr>
      <w:r>
        <w:rPr>
          <w:color w:val="000000"/>
        </w:rPr>
        <w:t xml:space="preserve">Zamknięcie KSOP w Różanie zostanie poprzedzone wydobyciem i przeniesieniem zużytych zamkniętych źródeł promieniotwórczych długożyciowych </w:t>
      </w:r>
      <w:r>
        <w:t>do NSPOP</w:t>
      </w:r>
      <w:r>
        <w:rPr>
          <w:color w:val="000000"/>
        </w:rPr>
        <w:t xml:space="preserve"> </w:t>
      </w:r>
      <w:r>
        <w:t xml:space="preserve">w celu </w:t>
      </w:r>
      <w:r w:rsidR="0010629E">
        <w:t xml:space="preserve">ich </w:t>
      </w:r>
      <w:r>
        <w:t xml:space="preserve">dalszego przechowywania. </w:t>
      </w:r>
    </w:p>
    <w:p w14:paraId="1DC49AE3" w14:textId="77777777" w:rsidR="00084F8B" w:rsidRDefault="00084F8B" w:rsidP="008B024A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Zużyte zamknięte źródła promieniotwórcze długożyciowe</w:t>
      </w:r>
      <w:r>
        <w:t xml:space="preserve"> oraz </w:t>
      </w:r>
      <w:r>
        <w:rPr>
          <w:color w:val="000000"/>
        </w:rPr>
        <w:t>zużyte zamknięte źródła krótkożyciowe wysokoaktywne</w:t>
      </w:r>
      <w:r>
        <w:t xml:space="preserve"> będą przechowywane </w:t>
      </w:r>
      <w:r>
        <w:rPr>
          <w:color w:val="000000"/>
        </w:rPr>
        <w:t>do czasu uruchomienia SGOP, gdzie będą składowane.</w:t>
      </w:r>
    </w:p>
    <w:p w14:paraId="1A76B329" w14:textId="77777777" w:rsidR="00084F8B" w:rsidRPr="00F74164" w:rsidRDefault="00084F8B" w:rsidP="008D5796">
      <w:pPr>
        <w:pStyle w:val="Nagwek2"/>
      </w:pPr>
      <w:bookmarkStart w:id="127" w:name="_Toc397697031"/>
      <w:bookmarkStart w:id="128" w:name="_Toc424116727"/>
      <w:r>
        <w:t>4</w:t>
      </w:r>
      <w:r w:rsidRPr="00F74164">
        <w:t>.</w:t>
      </w:r>
      <w:r>
        <w:t>4</w:t>
      </w:r>
      <w:r w:rsidRPr="00F74164">
        <w:t>.</w:t>
      </w:r>
      <w:r>
        <w:t xml:space="preserve"> Postępowanie z</w:t>
      </w:r>
      <w:r w:rsidRPr="00F74164">
        <w:t xml:space="preserve"> wysokoaktywnymi odpadami promieniotwórczymi i wypalonym paliwem jądrowym</w:t>
      </w:r>
      <w:bookmarkEnd w:id="127"/>
      <w:bookmarkEnd w:id="128"/>
    </w:p>
    <w:p w14:paraId="56C3E451" w14:textId="77777777" w:rsidR="00084F8B" w:rsidRPr="00784F93" w:rsidRDefault="0010629E" w:rsidP="00C87B85">
      <w:pPr>
        <w:spacing w:before="120" w:after="120"/>
        <w:ind w:firstLine="567"/>
        <w:jc w:val="both"/>
      </w:pPr>
      <w:r>
        <w:t>Ze względu na to, że o</w:t>
      </w:r>
      <w:r w:rsidR="00084F8B" w:rsidRPr="00784F93">
        <w:t>dpady wysokoaktywne zawierają wysokie stężenia radioizotopów zarówno krótko</w:t>
      </w:r>
      <w:r w:rsidR="00084F8B">
        <w:t>-</w:t>
      </w:r>
      <w:r w:rsidR="00084F8B" w:rsidRPr="00784F93">
        <w:t xml:space="preserve"> jak i</w:t>
      </w:r>
      <w:r w:rsidR="00084F8B">
        <w:t> </w:t>
      </w:r>
      <w:r w:rsidR="00084F8B" w:rsidRPr="00784F93">
        <w:t>długożyciowych</w:t>
      </w:r>
      <w:r w:rsidR="00084F8B">
        <w:t xml:space="preserve">, </w:t>
      </w:r>
      <w:r w:rsidR="00084F8B" w:rsidRPr="00784F93">
        <w:t xml:space="preserve">wymagają </w:t>
      </w:r>
      <w:r>
        <w:t xml:space="preserve">one </w:t>
      </w:r>
      <w:r w:rsidR="00084F8B" w:rsidRPr="00784F93">
        <w:t xml:space="preserve">stosowania metod gwarantujących wyższy poziom zabezpieczeń niż stosowane w przypadku omawianych </w:t>
      </w:r>
      <w:r w:rsidR="00084F8B">
        <w:t>wyżej</w:t>
      </w:r>
      <w:r w:rsidR="00084F8B" w:rsidRPr="00784F93">
        <w:t xml:space="preserve"> </w:t>
      </w:r>
      <w:r w:rsidR="00084F8B">
        <w:t xml:space="preserve">kategorii </w:t>
      </w:r>
      <w:r w:rsidR="00084F8B" w:rsidRPr="00784F93">
        <w:t xml:space="preserve">odpadów. Odpady te </w:t>
      </w:r>
      <w:r w:rsidR="00084F8B">
        <w:t>wytwarzają</w:t>
      </w:r>
      <w:r w:rsidR="00084F8B" w:rsidRPr="00784F93">
        <w:t xml:space="preserve"> znaczące ilości ciepła pochodzącego z rozpadu promieniotwórczego. Osobną grupę odpadów, zazwyczaj zaliczanych do wysokoaktywnych</w:t>
      </w:r>
      <w:r w:rsidR="00084F8B">
        <w:t>,</w:t>
      </w:r>
      <w:r w:rsidR="00084F8B" w:rsidRPr="00784F93">
        <w:t xml:space="preserve"> stanowi wypalone paliwo jądrowe. Kraje stosujące cykl </w:t>
      </w:r>
      <w:r w:rsidR="00084F8B">
        <w:t>zamknięty</w:t>
      </w:r>
      <w:r w:rsidR="00084F8B" w:rsidRPr="00784F93">
        <w:t xml:space="preserve"> z przerobem nie zaliczają wypalonego paliwa </w:t>
      </w:r>
      <w:r w:rsidR="00084F8B">
        <w:t xml:space="preserve">jądrowego </w:t>
      </w:r>
      <w:r w:rsidR="00084F8B" w:rsidRPr="00784F93">
        <w:t>do odpadów promieniotwórczych</w:t>
      </w:r>
      <w:r w:rsidR="00B436D2">
        <w:t>,</w:t>
      </w:r>
      <w:r w:rsidR="00084F8B" w:rsidRPr="00784F93">
        <w:t xml:space="preserve"> uważają</w:t>
      </w:r>
      <w:r w:rsidR="00084F8B">
        <w:t xml:space="preserve">c </w:t>
      </w:r>
      <w:r w:rsidR="00084F8B" w:rsidRPr="00784F93">
        <w:t xml:space="preserve">je za surowiec do dalszego </w:t>
      </w:r>
      <w:r w:rsidR="00084F8B">
        <w:t>wykorzystania</w:t>
      </w:r>
      <w:r w:rsidR="00084F8B" w:rsidRPr="00784F93">
        <w:t xml:space="preserve">. </w:t>
      </w:r>
      <w:r w:rsidR="00084F8B">
        <w:t>W Polsce wypalone paliwo jądrowe przeznaczone do składowania kwalifikuje się do kategorii odpadów promieniotwórczych wysokoaktywnych</w:t>
      </w:r>
      <w:r w:rsidR="00084F8B">
        <w:rPr>
          <w:rStyle w:val="Odwoanieprzypisudolnego"/>
        </w:rPr>
        <w:footnoteReference w:id="33"/>
      </w:r>
      <w:r w:rsidR="00084F8B">
        <w:t>.</w:t>
      </w:r>
    </w:p>
    <w:p w14:paraId="341AC8A6" w14:textId="77777777" w:rsidR="00084F8B" w:rsidRPr="00F74164" w:rsidRDefault="00084F8B" w:rsidP="008D5796">
      <w:pPr>
        <w:pStyle w:val="Nagwek3"/>
      </w:pPr>
      <w:bookmarkStart w:id="129" w:name="_Toc397697032"/>
      <w:bookmarkStart w:id="130" w:name="_Toc424116728"/>
      <w:r>
        <w:t>4</w:t>
      </w:r>
      <w:r w:rsidRPr="00F74164">
        <w:t>.</w:t>
      </w:r>
      <w:r>
        <w:t>4</w:t>
      </w:r>
      <w:r w:rsidRPr="00F74164">
        <w:t>.1</w:t>
      </w:r>
      <w:r>
        <w:t>.</w:t>
      </w:r>
      <w:r w:rsidRPr="00F74164">
        <w:t xml:space="preserve"> </w:t>
      </w:r>
      <w:r>
        <w:t>Postępowanie z</w:t>
      </w:r>
      <w:r w:rsidRPr="00F74164">
        <w:t xml:space="preserve"> wypalonym paliwem w Polsce</w:t>
      </w:r>
      <w:bookmarkEnd w:id="129"/>
      <w:bookmarkEnd w:id="130"/>
    </w:p>
    <w:p w14:paraId="02905E40" w14:textId="25A97151" w:rsidR="00084F8B" w:rsidRPr="00784F93" w:rsidRDefault="00084F8B" w:rsidP="00C87B85">
      <w:pPr>
        <w:spacing w:before="120" w:after="120"/>
        <w:ind w:firstLine="567"/>
        <w:jc w:val="both"/>
      </w:pPr>
      <w:r w:rsidRPr="00784F93">
        <w:t xml:space="preserve">Konieczność wdrożenia w Polsce systemu </w:t>
      </w:r>
      <w:r>
        <w:t>postępowania z</w:t>
      </w:r>
      <w:r w:rsidRPr="00784F93">
        <w:t xml:space="preserve"> wypalonym paliwem</w:t>
      </w:r>
      <w:r>
        <w:t xml:space="preserve"> jądrowym</w:t>
      </w:r>
      <w:r w:rsidRPr="00784F93">
        <w:t xml:space="preserve"> pojawiła się wraz z</w:t>
      </w:r>
      <w:r>
        <w:t> </w:t>
      </w:r>
      <w:r w:rsidRPr="00784F93">
        <w:t>uruchomieniem w 1958 r</w:t>
      </w:r>
      <w:r w:rsidR="00567D7B">
        <w:t>.</w:t>
      </w:r>
      <w:r w:rsidRPr="00784F93">
        <w:t xml:space="preserve"> reaktora badawczego EWA</w:t>
      </w:r>
      <w:r>
        <w:rPr>
          <w:rStyle w:val="Odwoanieprzypisudolnego"/>
        </w:rPr>
        <w:footnoteReference w:id="34"/>
      </w:r>
      <w:r w:rsidRPr="00784F93">
        <w:t xml:space="preserve">. System ten polegał na tym, </w:t>
      </w:r>
      <w:r>
        <w:t>ż</w:t>
      </w:r>
      <w:r w:rsidRPr="00784F93">
        <w:t>e wypalone paliwo</w:t>
      </w:r>
      <w:r>
        <w:t xml:space="preserve"> z reaktora </w:t>
      </w:r>
      <w:r w:rsidR="00FA31C1">
        <w:t>EWA, oraz</w:t>
      </w:r>
      <w:r>
        <w:t xml:space="preserve"> uruchomionego później reaktora MARIA</w:t>
      </w:r>
      <w:r w:rsidR="001921E9">
        <w:t>,</w:t>
      </w:r>
      <w:r w:rsidRPr="00784F93">
        <w:t xml:space="preserve"> było sukcesywnie przekazywane do </w:t>
      </w:r>
      <w:r>
        <w:t>mokrych przechowalników basenowych</w:t>
      </w:r>
      <w:r w:rsidRPr="00784F93">
        <w:t xml:space="preserve">, gdzie </w:t>
      </w:r>
      <w:r>
        <w:t>następowało jego schładzanie</w:t>
      </w:r>
      <w:r w:rsidRPr="00784F93">
        <w:t xml:space="preserve"> trwające ok. 5 lat. Celem tego procesu było obniżenie jego aktywności i </w:t>
      </w:r>
      <w:r>
        <w:t>wytwarzania</w:t>
      </w:r>
      <w:r w:rsidRPr="00784F93">
        <w:t xml:space="preserve"> ciepła</w:t>
      </w:r>
      <w:r>
        <w:t xml:space="preserve"> z paliwa</w:t>
      </w:r>
      <w:r w:rsidRPr="00784F93">
        <w:t xml:space="preserve">. Wykorzystywane w polskich reaktorach elementy paliwowe posiadają koszulkę </w:t>
      </w:r>
      <w:r>
        <w:t>wykonaną ze stopu aluminium</w:t>
      </w:r>
      <w:r w:rsidRPr="00784F93">
        <w:t xml:space="preserve">, która </w:t>
      </w:r>
      <w:r w:rsidRPr="00D412CE">
        <w:t xml:space="preserve">chroni przed oddziaływaniem środowiska wodnego </w:t>
      </w:r>
      <w:r>
        <w:t>w </w:t>
      </w:r>
      <w:r w:rsidRPr="00D412CE">
        <w:t>reaktor</w:t>
      </w:r>
      <w:r>
        <w:t xml:space="preserve">ze i w </w:t>
      </w:r>
      <w:r w:rsidRPr="00D412CE">
        <w:t>przechowalnik</w:t>
      </w:r>
      <w:r>
        <w:t>u</w:t>
      </w:r>
      <w:r w:rsidRPr="00784F93">
        <w:t xml:space="preserve">. Po tym okresie </w:t>
      </w:r>
      <w:r>
        <w:t xml:space="preserve">wypalone paliwo jądrowe </w:t>
      </w:r>
      <w:r w:rsidRPr="00784F93">
        <w:t>miało być transportowane do składow</w:t>
      </w:r>
      <w:r>
        <w:t>iska</w:t>
      </w:r>
      <w:r w:rsidRPr="00784F93">
        <w:t>. Jednak</w:t>
      </w:r>
      <w:r>
        <w:t>,</w:t>
      </w:r>
      <w:r w:rsidRPr="00784F93">
        <w:t xml:space="preserve"> wobec brak</w:t>
      </w:r>
      <w:r>
        <w:t>u składowiska</w:t>
      </w:r>
      <w:r w:rsidRPr="00784F93">
        <w:t xml:space="preserve">, </w:t>
      </w:r>
      <w:r>
        <w:t>wypalone paliwo jądrowe było</w:t>
      </w:r>
      <w:r w:rsidRPr="00784F93">
        <w:t xml:space="preserve"> przez cały czas </w:t>
      </w:r>
      <w:r>
        <w:t>przechowywane</w:t>
      </w:r>
      <w:r w:rsidRPr="00784F93">
        <w:t xml:space="preserve"> w </w:t>
      </w:r>
      <w:r>
        <w:t>przechowalniku mokrym</w:t>
      </w:r>
      <w:r w:rsidRPr="00784F93">
        <w:t xml:space="preserve">. </w:t>
      </w:r>
      <w:r>
        <w:t>N</w:t>
      </w:r>
      <w:r w:rsidRPr="00784F93">
        <w:t xml:space="preserve">ajstarsze wypalone elementy paliwowe </w:t>
      </w:r>
      <w:r>
        <w:t>były przechowywane w takich warunkach</w:t>
      </w:r>
      <w:r w:rsidRPr="00784F93">
        <w:t xml:space="preserve"> przez 50 lat. W 2000 r</w:t>
      </w:r>
      <w:r>
        <w:t>.</w:t>
      </w:r>
      <w:r w:rsidRPr="00784F93">
        <w:t xml:space="preserve"> dokonano badań stanu fizycznego wypalonych elementów pali</w:t>
      </w:r>
      <w:r>
        <w:t>w</w:t>
      </w:r>
      <w:r w:rsidRPr="00784F93">
        <w:t xml:space="preserve">owych wszystkich typów (EK-10, </w:t>
      </w:r>
      <w:r>
        <w:t>WW</w:t>
      </w:r>
      <w:r w:rsidRPr="00784F93">
        <w:t xml:space="preserve">R, MR). Ich wyniki pozwoliły na określenie, ile i które z elementów wymagają zmiany środowiska przechowywania z mokrego na </w:t>
      </w:r>
      <w:r w:rsidR="0010629E" w:rsidRPr="00784F93">
        <w:t>suche</w:t>
      </w:r>
      <w:r w:rsidR="0010629E">
        <w:t>. Ponadto, wyniki te</w:t>
      </w:r>
      <w:r w:rsidRPr="00784F93">
        <w:t xml:space="preserve"> </w:t>
      </w:r>
      <w:r>
        <w:t xml:space="preserve">umożliwiły określenie </w:t>
      </w:r>
      <w:r w:rsidRPr="00784F93">
        <w:t>stopnia ogólnej degradacji</w:t>
      </w:r>
      <w:r>
        <w:t xml:space="preserve"> koszulek elementów paliwowych </w:t>
      </w:r>
      <w:r w:rsidRPr="00784F93">
        <w:t xml:space="preserve">i związanej z tym perspektywy czasowej, </w:t>
      </w:r>
      <w:r>
        <w:t>w której</w:t>
      </w:r>
      <w:r w:rsidRPr="00784F93">
        <w:t xml:space="preserve"> zmiana </w:t>
      </w:r>
      <w:r>
        <w:t>sposobu przechowywania</w:t>
      </w:r>
      <w:r w:rsidRPr="00784F93">
        <w:t xml:space="preserve"> będzie konieczna. </w:t>
      </w:r>
    </w:p>
    <w:p w14:paraId="777C7DD6" w14:textId="77777777" w:rsidR="00084F8B" w:rsidRPr="00784F93" w:rsidRDefault="00084F8B" w:rsidP="00FD1188">
      <w:pPr>
        <w:spacing w:before="120" w:after="120"/>
        <w:jc w:val="both"/>
      </w:pPr>
      <w:r w:rsidRPr="00784F93">
        <w:t>W związku z powyższym</w:t>
      </w:r>
      <w:r>
        <w:t>,</w:t>
      </w:r>
      <w:r w:rsidRPr="00784F93">
        <w:t xml:space="preserve"> w byłym I</w:t>
      </w:r>
      <w:r>
        <w:t xml:space="preserve">nstytucie </w:t>
      </w:r>
      <w:r w:rsidRPr="00784F93">
        <w:t>E</w:t>
      </w:r>
      <w:r>
        <w:t xml:space="preserve">nergii </w:t>
      </w:r>
      <w:r w:rsidRPr="00784F93">
        <w:t>A</w:t>
      </w:r>
      <w:r>
        <w:t>tomowej</w:t>
      </w:r>
      <w:r w:rsidRPr="00784F93">
        <w:t>, którego częścią był wtedy ZUOP, opracowano koncepcj</w:t>
      </w:r>
      <w:r>
        <w:t>ę</w:t>
      </w:r>
      <w:r w:rsidRPr="00784F93">
        <w:t xml:space="preserve"> suchego przechowalnika dla wypalonego paliwa w celu zapewnienia właściwych warunków przechowywania przez kolejnych 100 lat. </w:t>
      </w:r>
      <w:r>
        <w:t xml:space="preserve">Koncepcja zakładała umieszczenie paliwa </w:t>
      </w:r>
      <w:r w:rsidRPr="00784F93">
        <w:t xml:space="preserve">w betonowej osłonie biologicznej zbiornika </w:t>
      </w:r>
      <w:r>
        <w:t xml:space="preserve">wyłączonego z eksploatacji </w:t>
      </w:r>
      <w:r w:rsidRPr="00784F93">
        <w:t>reaktora EWA</w:t>
      </w:r>
      <w:r>
        <w:t xml:space="preserve">. </w:t>
      </w:r>
      <w:r w:rsidRPr="00784F93">
        <w:t xml:space="preserve">Założono, </w:t>
      </w:r>
      <w:r>
        <w:t>ż</w:t>
      </w:r>
      <w:r w:rsidRPr="00784F93">
        <w:t xml:space="preserve">e wypalone elementy będą szczelnie zamknięte w kapsułach wykonanych ze stali kwasoodpornej i wypełnionych helem. Obecność helu miała </w:t>
      </w:r>
      <w:r w:rsidRPr="00784F93">
        <w:lastRenderedPageBreak/>
        <w:t>ograniczyć korozj</w:t>
      </w:r>
      <w:r>
        <w:t>ę</w:t>
      </w:r>
      <w:r w:rsidRPr="00784F93">
        <w:t xml:space="preserve"> elementów paliwowych, poprawić warunki odprowadzania ciepła z wypalonego paliwa oraz umożliwić kontrol</w:t>
      </w:r>
      <w:r>
        <w:t>ę</w:t>
      </w:r>
      <w:r w:rsidRPr="00784F93">
        <w:t xml:space="preserve"> szczelności kapsuł. </w:t>
      </w:r>
    </w:p>
    <w:p w14:paraId="7DF46A9C" w14:textId="77777777" w:rsidR="00084F8B" w:rsidRPr="00784F93" w:rsidRDefault="00084F8B" w:rsidP="00FD1188">
      <w:pPr>
        <w:spacing w:before="120" w:after="120"/>
        <w:jc w:val="both"/>
      </w:pPr>
      <w:r w:rsidRPr="00784F93">
        <w:t xml:space="preserve">W ZUOP wdrożono </w:t>
      </w:r>
      <w:r>
        <w:t xml:space="preserve">technologię </w:t>
      </w:r>
      <w:r w:rsidRPr="00784F93">
        <w:t>kapsułowani</w:t>
      </w:r>
      <w:r>
        <w:t>a</w:t>
      </w:r>
      <w:r w:rsidRPr="00784F93">
        <w:t xml:space="preserve"> wypalonych elementów pali</w:t>
      </w:r>
      <w:r>
        <w:t>w</w:t>
      </w:r>
      <w:r w:rsidRPr="00784F93">
        <w:t xml:space="preserve">owych. </w:t>
      </w:r>
    </w:p>
    <w:p w14:paraId="24AADAC9" w14:textId="7CC5BE42" w:rsidR="00084F8B" w:rsidRPr="00784F93" w:rsidRDefault="00084F8B" w:rsidP="000E0F33">
      <w:pPr>
        <w:spacing w:before="120" w:after="120"/>
        <w:jc w:val="both"/>
      </w:pPr>
      <w:r w:rsidRPr="00784F93">
        <w:t>W 2006 r</w:t>
      </w:r>
      <w:r>
        <w:t>.</w:t>
      </w:r>
      <w:r w:rsidRPr="00784F93">
        <w:t xml:space="preserve"> Polska przystąpiła do </w:t>
      </w:r>
      <w:r>
        <w:t>międzynarodowej inicjatywy</w:t>
      </w:r>
      <w:r w:rsidRPr="00784F93">
        <w:t xml:space="preserve"> ograniczania globalnych zagrożeń </w:t>
      </w:r>
      <w:r>
        <w:t xml:space="preserve">proliferacyjnych </w:t>
      </w:r>
      <w:r w:rsidRPr="00784F93">
        <w:t>(Global Threat Reduction Initiative –</w:t>
      </w:r>
      <w:r>
        <w:t xml:space="preserve"> </w:t>
      </w:r>
      <w:r w:rsidRPr="00784F93">
        <w:t>GTRI)</w:t>
      </w:r>
      <w:r>
        <w:t>, w ramach której w</w:t>
      </w:r>
      <w:r w:rsidRPr="00784F93">
        <w:t xml:space="preserve"> 2009 r</w:t>
      </w:r>
      <w:r>
        <w:t>.</w:t>
      </w:r>
      <w:r w:rsidRPr="00784F93">
        <w:t xml:space="preserve"> podpisano stoso</w:t>
      </w:r>
      <w:r>
        <w:t>wne umowy z rząd</w:t>
      </w:r>
      <w:r w:rsidRPr="00784F93">
        <w:t>ami Stanów Zjednoczonych i Federacji Rosyjskiej</w:t>
      </w:r>
      <w:r>
        <w:rPr>
          <w:rStyle w:val="Odwoanieprzypisudolnego"/>
        </w:rPr>
        <w:footnoteReference w:id="35"/>
      </w:r>
      <w:r w:rsidRPr="00784F93">
        <w:t xml:space="preserve">. Umożliwiły one wywóz wypalonego paliwa z polskich reaktorów badawczych do </w:t>
      </w:r>
      <w:r>
        <w:t xml:space="preserve">kraju </w:t>
      </w:r>
      <w:r w:rsidRPr="00784F93">
        <w:t xml:space="preserve">producenta (Federacji Rosyjskiej) w celu jego przerobu. </w:t>
      </w:r>
      <w:r w:rsidRPr="00D412CE">
        <w:t>Powstałe w wyniku przerobu wypalonego paliwa jądrowego odpady promieniotwórcze pozostaną na terytorium Federacji Rosyjskiej</w:t>
      </w:r>
      <w:r w:rsidRPr="00784F93">
        <w:t>. W</w:t>
      </w:r>
      <w:r>
        <w:t> </w:t>
      </w:r>
      <w:r w:rsidRPr="00784F93">
        <w:t>ramach realizacji ww. umów w latach 2009</w:t>
      </w:r>
      <w:r>
        <w:t xml:space="preserve"> – </w:t>
      </w:r>
      <w:r w:rsidRPr="00784F93">
        <w:t>201</w:t>
      </w:r>
      <w:r w:rsidR="00C44AB2">
        <w:t>6</w:t>
      </w:r>
      <w:r w:rsidRPr="00784F93">
        <w:t xml:space="preserve"> </w:t>
      </w:r>
      <w:r>
        <w:t xml:space="preserve">zostało </w:t>
      </w:r>
      <w:r w:rsidRPr="00784F93">
        <w:t>wysłan</w:t>
      </w:r>
      <w:r>
        <w:t>ych</w:t>
      </w:r>
      <w:r w:rsidRPr="00784F93">
        <w:t xml:space="preserve"> do Federacji Rosyjskiej </w:t>
      </w:r>
      <w:r w:rsidR="00052B1B">
        <w:t xml:space="preserve">osiem </w:t>
      </w:r>
      <w:r w:rsidRPr="00784F93">
        <w:t>transportów wypalonego paliwa, także niskowzbogaconego (EK-10). Za</w:t>
      </w:r>
      <w:r>
        <w:t> </w:t>
      </w:r>
      <w:r w:rsidRPr="00784F93">
        <w:t>realizację tego progr</w:t>
      </w:r>
      <w:r w:rsidR="00C44AB2">
        <w:t>amu w Polsce odpowiedzialny był</w:t>
      </w:r>
      <w:r w:rsidRPr="00784F93">
        <w:t xml:space="preserve"> ZUOP</w:t>
      </w:r>
      <w:r>
        <w:t>.</w:t>
      </w:r>
      <w:r w:rsidRPr="00784F93">
        <w:t xml:space="preserve"> Przechowalnik</w:t>
      </w:r>
      <w:r>
        <w:t>i</w:t>
      </w:r>
      <w:r w:rsidRPr="00784F93">
        <w:t xml:space="preserve"> wypalonego paliwa z reaktorów badawczych </w:t>
      </w:r>
      <w:r w:rsidRPr="00DE751D">
        <w:t>EWA</w:t>
      </w:r>
      <w:r w:rsidRPr="00784F93">
        <w:t xml:space="preserve"> i M</w:t>
      </w:r>
      <w:r>
        <w:t>ARIA</w:t>
      </w:r>
      <w:r w:rsidRPr="00784F93">
        <w:t xml:space="preserve"> są obecnie puste i służą jako rezerwa na </w:t>
      </w:r>
      <w:r>
        <w:t>wypadek sytuacji awaryjnych.</w:t>
      </w:r>
      <w:r w:rsidRPr="00784F93">
        <w:t xml:space="preserve"> </w:t>
      </w:r>
      <w:r>
        <w:t>N</w:t>
      </w:r>
      <w:r w:rsidRPr="00784F93">
        <w:t xml:space="preserve">iewielkie ilości </w:t>
      </w:r>
      <w:r w:rsidR="00B25EAF">
        <w:t>nisko</w:t>
      </w:r>
      <w:r w:rsidR="009A15EA">
        <w:t>w</w:t>
      </w:r>
      <w:r>
        <w:t xml:space="preserve">bogaconego </w:t>
      </w:r>
      <w:r w:rsidRPr="00784F93">
        <w:t>paliwa jądrowego znajdują się w</w:t>
      </w:r>
      <w:r>
        <w:t xml:space="preserve"> basenie technologicznym</w:t>
      </w:r>
      <w:r w:rsidRPr="00784F93">
        <w:t xml:space="preserve"> reaktora M</w:t>
      </w:r>
      <w:r>
        <w:t>ARIA</w:t>
      </w:r>
      <w:r w:rsidRPr="00784F93">
        <w:t>.</w:t>
      </w:r>
    </w:p>
    <w:p w14:paraId="49980B17" w14:textId="41C0C524" w:rsidR="00084F8B" w:rsidRPr="00784F93" w:rsidRDefault="00084F8B" w:rsidP="00FD1188">
      <w:pPr>
        <w:spacing w:before="120" w:after="120"/>
        <w:jc w:val="both"/>
      </w:pPr>
      <w:r w:rsidRPr="00784F93">
        <w:t>Inne</w:t>
      </w:r>
      <w:r>
        <w:t>,</w:t>
      </w:r>
      <w:r w:rsidRPr="00784F93">
        <w:t xml:space="preserve"> poza wypalonym paliwem jądrowym</w:t>
      </w:r>
      <w:r>
        <w:t>,</w:t>
      </w:r>
      <w:r w:rsidRPr="00784F93">
        <w:t xml:space="preserve"> niewielkie ilości odpadów wysokoaktywnych oraz źródła wysokoaktywne są w chwili obecnej przechowywane w obiektach magazynowych na terenie Ośrodka </w:t>
      </w:r>
      <w:r w:rsidR="00D4550D">
        <w:t>w Otwocku-</w:t>
      </w:r>
      <w:r w:rsidRPr="00784F93">
        <w:t>Świerk</w:t>
      </w:r>
      <w:r w:rsidR="00D4550D">
        <w:t>u</w:t>
      </w:r>
      <w:r w:rsidRPr="00784F93">
        <w:t xml:space="preserve">. </w:t>
      </w:r>
    </w:p>
    <w:p w14:paraId="68EE426D" w14:textId="77777777" w:rsidR="00084F8B" w:rsidRPr="00F74164" w:rsidRDefault="00084F8B" w:rsidP="008D5796">
      <w:pPr>
        <w:pStyle w:val="Nagwek3"/>
      </w:pPr>
      <w:bookmarkStart w:id="131" w:name="_Toc397697033"/>
      <w:bookmarkStart w:id="132" w:name="_Toc424116729"/>
      <w:r>
        <w:t>4</w:t>
      </w:r>
      <w:r w:rsidRPr="00F74164">
        <w:t>.</w:t>
      </w:r>
      <w:r>
        <w:t>4</w:t>
      </w:r>
      <w:r w:rsidRPr="00F74164">
        <w:t>.2</w:t>
      </w:r>
      <w:r>
        <w:t>.</w:t>
      </w:r>
      <w:r w:rsidRPr="00F74164">
        <w:t xml:space="preserve"> Cykl paliwowy</w:t>
      </w:r>
      <w:bookmarkEnd w:id="131"/>
      <w:bookmarkEnd w:id="132"/>
      <w:r w:rsidRPr="00F74164">
        <w:t xml:space="preserve"> </w:t>
      </w:r>
    </w:p>
    <w:p w14:paraId="17773DF8" w14:textId="77777777" w:rsidR="00084F8B" w:rsidRPr="00784F93" w:rsidRDefault="00084F8B" w:rsidP="00C87B85">
      <w:pPr>
        <w:spacing w:before="120" w:after="120"/>
        <w:ind w:firstLine="567"/>
        <w:jc w:val="both"/>
        <w:rPr>
          <w:rFonts w:eastAsia="MS Mincho"/>
          <w:lang w:eastAsia="ja-JP"/>
        </w:rPr>
      </w:pPr>
      <w:r w:rsidRPr="00784F93">
        <w:rPr>
          <w:rFonts w:eastAsia="MS Mincho"/>
          <w:lang w:eastAsia="ja-JP"/>
        </w:rPr>
        <w:t>Cykl paliwa jądrowego</w:t>
      </w:r>
      <w:r>
        <w:rPr>
          <w:rFonts w:eastAsia="MS Mincho"/>
          <w:lang w:eastAsia="ja-JP"/>
        </w:rPr>
        <w:t xml:space="preserve"> (cykl paliwowy)</w:t>
      </w:r>
      <w:r w:rsidRPr="00784F93">
        <w:rPr>
          <w:rFonts w:eastAsia="MS Mincho"/>
          <w:lang w:eastAsia="ja-JP"/>
        </w:rPr>
        <w:t xml:space="preserve"> to zespół operacji przemysłowych</w:t>
      </w:r>
      <w:r>
        <w:rPr>
          <w:rFonts w:eastAsia="MS Mincho"/>
          <w:lang w:eastAsia="ja-JP"/>
        </w:rPr>
        <w:t xml:space="preserve"> </w:t>
      </w:r>
      <w:r w:rsidRPr="00784F93">
        <w:rPr>
          <w:rFonts w:eastAsia="MS Mincho"/>
          <w:lang w:eastAsia="ja-JP"/>
        </w:rPr>
        <w:t xml:space="preserve">i procesów technologicznych podzielonych na </w:t>
      </w:r>
      <w:r>
        <w:rPr>
          <w:rFonts w:eastAsia="MS Mincho"/>
          <w:lang w:eastAsia="ja-JP"/>
        </w:rPr>
        <w:t>cztery</w:t>
      </w:r>
      <w:r w:rsidRPr="00784F93">
        <w:rPr>
          <w:rFonts w:eastAsia="MS Mincho"/>
          <w:lang w:eastAsia="ja-JP"/>
        </w:rPr>
        <w:t xml:space="preserve"> fazy: </w:t>
      </w:r>
    </w:p>
    <w:p w14:paraId="54911BEC" w14:textId="77777777" w:rsidR="00084F8B" w:rsidRPr="00784F93" w:rsidRDefault="00084F8B" w:rsidP="000C4A33">
      <w:pPr>
        <w:numPr>
          <w:ilvl w:val="1"/>
          <w:numId w:val="36"/>
        </w:numPr>
        <w:spacing w:before="120" w:after="12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przygotowanie paliwa jądrowego dla reaktora;</w:t>
      </w:r>
    </w:p>
    <w:p w14:paraId="5DE91BDA" w14:textId="77777777" w:rsidR="00084F8B" w:rsidRDefault="00084F8B" w:rsidP="000C4A33">
      <w:pPr>
        <w:numPr>
          <w:ilvl w:val="1"/>
          <w:numId w:val="36"/>
        </w:numPr>
        <w:spacing w:before="120" w:after="120"/>
        <w:jc w:val="both"/>
        <w:rPr>
          <w:rFonts w:eastAsia="MS Mincho"/>
          <w:lang w:eastAsia="ja-JP"/>
        </w:rPr>
      </w:pPr>
      <w:r w:rsidRPr="00784F93">
        <w:rPr>
          <w:rFonts w:eastAsia="MS Mincho"/>
          <w:lang w:eastAsia="ja-JP"/>
        </w:rPr>
        <w:t xml:space="preserve">wypalenie paliwa jądrowego w </w:t>
      </w:r>
      <w:r>
        <w:rPr>
          <w:rFonts w:eastAsia="MS Mincho"/>
          <w:lang w:eastAsia="ja-JP"/>
        </w:rPr>
        <w:t>reaktorze jądrowym;</w:t>
      </w:r>
    </w:p>
    <w:p w14:paraId="52DE6258" w14:textId="77777777" w:rsidR="00084F8B" w:rsidRDefault="00084F8B" w:rsidP="000C4A33">
      <w:pPr>
        <w:numPr>
          <w:ilvl w:val="1"/>
          <w:numId w:val="36"/>
        </w:numPr>
        <w:spacing w:before="120" w:after="12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chemiczny przerób wypalonego paliwa w celu odzyskania materiałów rozszczepialnych, w tym uranu i plutonu ( np. U-235, Pu-239, Pu-241);</w:t>
      </w:r>
    </w:p>
    <w:p w14:paraId="386FB63E" w14:textId="77777777" w:rsidR="00084F8B" w:rsidRPr="00784F93" w:rsidRDefault="00084F8B" w:rsidP="000C4A33">
      <w:pPr>
        <w:numPr>
          <w:ilvl w:val="1"/>
          <w:numId w:val="36"/>
        </w:numPr>
        <w:spacing w:before="120" w:after="12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trwałe zestalenie i bezpieczne składowanie odpadów promieniotwórczych.</w:t>
      </w:r>
    </w:p>
    <w:p w14:paraId="30AF2E0F" w14:textId="77777777" w:rsidR="00084F8B" w:rsidRPr="00784F93" w:rsidRDefault="00084F8B" w:rsidP="00C87B85">
      <w:pPr>
        <w:spacing w:before="120" w:after="120"/>
        <w:jc w:val="both"/>
      </w:pPr>
      <w:r w:rsidRPr="00784F93">
        <w:rPr>
          <w:rFonts w:eastAsia="MS Mincho"/>
          <w:lang w:eastAsia="ja-JP"/>
        </w:rPr>
        <w:t>Jeżeli cykl paliwowy</w:t>
      </w:r>
      <w:r>
        <w:rPr>
          <w:rFonts w:eastAsia="MS Mincho"/>
          <w:lang w:eastAsia="ja-JP"/>
        </w:rPr>
        <w:t>,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po fazie drugiej, po okresie tymczasowego przechowywania, przewiduje skierowanie wypalonego paliwa jądrowego do bezpiecznego składowania w głębokich formacjach geologicznych (bez fazy trzeciej),</w:t>
      </w:r>
      <w:r w:rsidRPr="00784F93">
        <w:rPr>
          <w:rFonts w:eastAsia="MS Mincho"/>
          <w:lang w:eastAsia="ja-JP"/>
        </w:rPr>
        <w:t xml:space="preserve"> nazywany jest otwartym, </w:t>
      </w:r>
      <w:r w:rsidR="0010629E">
        <w:rPr>
          <w:rFonts w:eastAsia="MS Mincho"/>
          <w:lang w:eastAsia="ja-JP"/>
        </w:rPr>
        <w:t xml:space="preserve">a </w:t>
      </w:r>
      <w:r w:rsidRPr="00784F93">
        <w:rPr>
          <w:rFonts w:eastAsia="MS Mincho"/>
          <w:lang w:eastAsia="ja-JP"/>
        </w:rPr>
        <w:t>jeżeli obejmuje także</w:t>
      </w:r>
      <w:r>
        <w:rPr>
          <w:rFonts w:eastAsia="MS Mincho"/>
          <w:lang w:eastAsia="ja-JP"/>
        </w:rPr>
        <w:t xml:space="preserve"> przerób</w:t>
      </w:r>
      <w:r w:rsidRPr="00784F93">
        <w:rPr>
          <w:rFonts w:eastAsia="MS Mincho"/>
          <w:lang w:eastAsia="ja-JP"/>
        </w:rPr>
        <w:t xml:space="preserve"> – zamkniętym</w:t>
      </w:r>
      <w:r>
        <w:rPr>
          <w:rFonts w:eastAsia="MS Mincho"/>
          <w:lang w:eastAsia="ja-JP"/>
        </w:rPr>
        <w:t>.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J</w:t>
      </w:r>
      <w:r w:rsidRPr="00784F93">
        <w:rPr>
          <w:rFonts w:eastAsia="MS Mincho"/>
          <w:lang w:eastAsia="ja-JP"/>
        </w:rPr>
        <w:t>eśli</w:t>
      </w:r>
      <w:r>
        <w:rPr>
          <w:rFonts w:eastAsia="MS Mincho"/>
          <w:lang w:eastAsia="ja-JP"/>
        </w:rPr>
        <w:t> </w:t>
      </w:r>
      <w:r w:rsidRPr="00784F93">
        <w:rPr>
          <w:rFonts w:eastAsia="MS Mincho"/>
          <w:lang w:eastAsia="ja-JP"/>
        </w:rPr>
        <w:t xml:space="preserve">odzyskuje się w nim tylko uran i pluton </w:t>
      </w:r>
      <w:r>
        <w:rPr>
          <w:rFonts w:eastAsia="MS Mincho"/>
          <w:lang w:eastAsia="ja-JP"/>
        </w:rPr>
        <w:t>–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jest to cykl </w:t>
      </w:r>
      <w:r w:rsidRPr="00784F93">
        <w:rPr>
          <w:rFonts w:eastAsia="MS Mincho"/>
          <w:lang w:eastAsia="ja-JP"/>
        </w:rPr>
        <w:t>częściowo zamknięty</w:t>
      </w:r>
      <w:r>
        <w:rPr>
          <w:rFonts w:eastAsia="MS Mincho"/>
          <w:lang w:eastAsia="ja-JP"/>
        </w:rPr>
        <w:t>,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zaś gdy</w:t>
      </w:r>
      <w:r w:rsidRPr="00784F93">
        <w:rPr>
          <w:rFonts w:eastAsia="MS Mincho"/>
          <w:lang w:eastAsia="ja-JP"/>
        </w:rPr>
        <w:t xml:space="preserve"> przewiduje się wydzielenie z odpadów </w:t>
      </w:r>
      <w:r>
        <w:rPr>
          <w:rFonts w:eastAsia="MS Mincho"/>
          <w:lang w:eastAsia="ja-JP"/>
        </w:rPr>
        <w:t>promieniotwórczych</w:t>
      </w:r>
      <w:r w:rsidRPr="00784F93">
        <w:rPr>
          <w:rFonts w:eastAsia="MS Mincho"/>
          <w:lang w:eastAsia="ja-JP"/>
        </w:rPr>
        <w:t xml:space="preserve"> - nie tylko rozszczepialnego uranu i plutonu, ale i innych najbardziej długożyciowych radionuklidów (przede wszystkim mniejszościowych aktynowców - zwłaszcza ameryku</w:t>
      </w:r>
      <w:r>
        <w:rPr>
          <w:rFonts w:eastAsia="MS Mincho"/>
          <w:lang w:eastAsia="ja-JP"/>
        </w:rPr>
        <w:t>, neptunu</w:t>
      </w:r>
      <w:r w:rsidRPr="00784F93">
        <w:rPr>
          <w:rFonts w:eastAsia="MS Mincho"/>
          <w:lang w:eastAsia="ja-JP"/>
        </w:rPr>
        <w:t xml:space="preserve"> i kiuru) – </w:t>
      </w:r>
      <w:r>
        <w:rPr>
          <w:rFonts w:eastAsia="MS Mincho"/>
          <w:lang w:eastAsia="ja-JP"/>
        </w:rPr>
        <w:t xml:space="preserve">jest to cykl </w:t>
      </w:r>
      <w:r w:rsidRPr="00784F93">
        <w:rPr>
          <w:rFonts w:eastAsia="MS Mincho"/>
          <w:lang w:eastAsia="ja-JP"/>
        </w:rPr>
        <w:t xml:space="preserve">zamknięty. </w:t>
      </w:r>
    </w:p>
    <w:p w14:paraId="4B86BE81" w14:textId="77777777" w:rsidR="00084F8B" w:rsidRPr="00784F93" w:rsidRDefault="00084F8B" w:rsidP="00C87B85">
      <w:pPr>
        <w:spacing w:before="120" w:after="120"/>
        <w:jc w:val="both"/>
        <w:rPr>
          <w:rFonts w:eastAsia="MS Mincho"/>
          <w:lang w:eastAsia="ja-JP"/>
        </w:rPr>
      </w:pPr>
      <w:r w:rsidRPr="00784F93">
        <w:rPr>
          <w:rFonts w:eastAsia="MS Mincho"/>
          <w:lang w:eastAsia="ja-JP"/>
        </w:rPr>
        <w:t xml:space="preserve">Jednym z ważniejszych </w:t>
      </w:r>
      <w:r>
        <w:rPr>
          <w:rFonts w:eastAsia="MS Mincho"/>
          <w:lang w:eastAsia="ja-JP"/>
        </w:rPr>
        <w:t>aspektów</w:t>
      </w:r>
      <w:r w:rsidRPr="00784F93">
        <w:rPr>
          <w:rFonts w:eastAsia="MS Mincho"/>
          <w:lang w:eastAsia="ja-JP"/>
        </w:rPr>
        <w:t xml:space="preserve"> rozwoju polskiej energetyki </w:t>
      </w:r>
      <w:r>
        <w:rPr>
          <w:rFonts w:eastAsia="MS Mincho"/>
          <w:lang w:eastAsia="ja-JP"/>
        </w:rPr>
        <w:t xml:space="preserve">jądrowej jest wybór cyklu paliwowego. Dokonanie w chwili obecnej wyboru </w:t>
      </w:r>
      <w:r w:rsidRPr="00784F93">
        <w:rPr>
          <w:rFonts w:eastAsia="MS Mincho"/>
          <w:lang w:eastAsia="ja-JP"/>
        </w:rPr>
        <w:t xml:space="preserve">cyklu paliwowego </w:t>
      </w:r>
      <w:r>
        <w:rPr>
          <w:rFonts w:eastAsia="MS Mincho"/>
          <w:lang w:eastAsia="ja-JP"/>
        </w:rPr>
        <w:t xml:space="preserve">jest trudne, m.in. ze względu na trudności z </w:t>
      </w:r>
      <w:r w:rsidRPr="00784F93">
        <w:rPr>
          <w:rFonts w:eastAsia="MS Mincho"/>
          <w:lang w:eastAsia="ja-JP"/>
        </w:rPr>
        <w:t>określeni</w:t>
      </w:r>
      <w:r>
        <w:rPr>
          <w:rFonts w:eastAsia="MS Mincho"/>
          <w:lang w:eastAsia="ja-JP"/>
        </w:rPr>
        <w:t>em</w:t>
      </w:r>
      <w:r w:rsidRPr="00784F93">
        <w:rPr>
          <w:rFonts w:eastAsia="MS Mincho"/>
          <w:lang w:eastAsia="ja-JP"/>
        </w:rPr>
        <w:t xml:space="preserve"> kosztów poszczególnych faz cyklu paliwowego w dłuższym horyzoncie czasowym - zwłaszcza cen uranu, kosztów składowania wypalonego paliwa jądrowego i wysokoaktywnych odpadów promieniotwórczych</w:t>
      </w:r>
      <w:r>
        <w:rPr>
          <w:rFonts w:eastAsia="MS Mincho"/>
          <w:lang w:eastAsia="ja-JP"/>
        </w:rPr>
        <w:t xml:space="preserve">, </w:t>
      </w:r>
      <w:r w:rsidRPr="00784F93">
        <w:rPr>
          <w:rFonts w:eastAsia="MS Mincho"/>
          <w:lang w:eastAsia="ja-JP"/>
        </w:rPr>
        <w:t>transportu materiałów jądrowych, dostępności usług cyklu paliwowego</w:t>
      </w:r>
      <w:r>
        <w:rPr>
          <w:rFonts w:eastAsia="MS Mincho"/>
          <w:lang w:eastAsia="ja-JP"/>
        </w:rPr>
        <w:t xml:space="preserve">. </w:t>
      </w:r>
    </w:p>
    <w:p w14:paraId="0B473887" w14:textId="77777777" w:rsidR="00084F8B" w:rsidRPr="00784F93" w:rsidRDefault="00084F8B" w:rsidP="00C87B85">
      <w:pPr>
        <w:spacing w:before="120" w:after="120"/>
        <w:jc w:val="both"/>
        <w:rPr>
          <w:rFonts w:eastAsia="MS Mincho"/>
          <w:lang w:eastAsia="ja-JP"/>
        </w:rPr>
      </w:pPr>
      <w:r w:rsidRPr="00784F93">
        <w:rPr>
          <w:rFonts w:eastAsia="MS Mincho"/>
          <w:lang w:eastAsia="ja-JP"/>
        </w:rPr>
        <w:t xml:space="preserve">Biorąc pod uwagę opcję cyklu </w:t>
      </w:r>
      <w:r>
        <w:rPr>
          <w:rFonts w:eastAsia="MS Mincho"/>
          <w:lang w:eastAsia="ja-JP"/>
        </w:rPr>
        <w:t>otwartego</w:t>
      </w:r>
      <w:r w:rsidRPr="00784F93">
        <w:rPr>
          <w:rFonts w:eastAsia="MS Mincho"/>
          <w:lang w:eastAsia="ja-JP"/>
        </w:rPr>
        <w:t xml:space="preserve">, trzeba zwrócić uwagę na jej pozytywną stronę, jaką jest brak zapotrzebowania na usługi przerobu wypalonego paliwa. Za to większe jest zużycie uranu, </w:t>
      </w:r>
      <w:r>
        <w:rPr>
          <w:rFonts w:eastAsia="MS Mincho"/>
          <w:lang w:eastAsia="ja-JP"/>
        </w:rPr>
        <w:t xml:space="preserve">jak też </w:t>
      </w:r>
      <w:r>
        <w:rPr>
          <w:rFonts w:eastAsia="MS Mincho"/>
          <w:lang w:eastAsia="ja-JP"/>
        </w:rPr>
        <w:lastRenderedPageBreak/>
        <w:t xml:space="preserve">wykorzystywania </w:t>
      </w:r>
      <w:r w:rsidRPr="00784F93">
        <w:rPr>
          <w:rFonts w:eastAsia="MS Mincho"/>
          <w:lang w:eastAsia="ja-JP"/>
        </w:rPr>
        <w:t xml:space="preserve">usług w zakresie jego konwersji i wzbogacania. Towarzyszą temu wysokie koszty przechowywania i składowania głębokiego wypalonego paliwa.  </w:t>
      </w:r>
    </w:p>
    <w:p w14:paraId="46504877" w14:textId="77777777" w:rsidR="00084F8B" w:rsidRPr="00784F93" w:rsidRDefault="00084F8B" w:rsidP="00FD1188">
      <w:pPr>
        <w:spacing w:before="120" w:after="12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Określenie stopnia e</w:t>
      </w:r>
      <w:r w:rsidRPr="00784F93">
        <w:rPr>
          <w:rFonts w:eastAsia="MS Mincho"/>
          <w:lang w:eastAsia="ja-JP"/>
        </w:rPr>
        <w:t>fektywnoś</w:t>
      </w:r>
      <w:r>
        <w:rPr>
          <w:rFonts w:eastAsia="MS Mincho"/>
          <w:lang w:eastAsia="ja-JP"/>
        </w:rPr>
        <w:t>ci</w:t>
      </w:r>
      <w:r w:rsidRPr="00784F93">
        <w:rPr>
          <w:rFonts w:eastAsia="MS Mincho"/>
          <w:lang w:eastAsia="ja-JP"/>
        </w:rPr>
        <w:t xml:space="preserve"> cyklu paliwowego </w:t>
      </w:r>
      <w:r w:rsidR="00872D64">
        <w:rPr>
          <w:rFonts w:eastAsia="MS Mincho"/>
          <w:lang w:eastAsia="ja-JP"/>
        </w:rPr>
        <w:t xml:space="preserve">częściowo zamkniętego </w:t>
      </w:r>
      <w:r w:rsidRPr="00784F93">
        <w:rPr>
          <w:rFonts w:eastAsia="MS Mincho"/>
          <w:lang w:eastAsia="ja-JP"/>
        </w:rPr>
        <w:t xml:space="preserve">jest </w:t>
      </w:r>
      <w:r>
        <w:rPr>
          <w:rFonts w:eastAsia="MS Mincho"/>
          <w:lang w:eastAsia="ja-JP"/>
        </w:rPr>
        <w:t>zagadnieniem</w:t>
      </w:r>
      <w:r w:rsidRPr="00784F93">
        <w:rPr>
          <w:rFonts w:eastAsia="MS Mincho"/>
          <w:lang w:eastAsia="ja-JP"/>
        </w:rPr>
        <w:t xml:space="preserve"> bardziej złożon</w:t>
      </w:r>
      <w:r>
        <w:rPr>
          <w:rFonts w:eastAsia="MS Mincho"/>
          <w:lang w:eastAsia="ja-JP"/>
        </w:rPr>
        <w:t>ym</w:t>
      </w:r>
      <w:r w:rsidRPr="00784F93">
        <w:rPr>
          <w:rFonts w:eastAsia="MS Mincho"/>
          <w:lang w:eastAsia="ja-JP"/>
        </w:rPr>
        <w:t>. Wybór tej opcji cyklu paliwowego w obecnych uwarunkowaniach pociągałby za sobą konieczność korzystania z drogich i</w:t>
      </w:r>
      <w:r>
        <w:rPr>
          <w:rFonts w:eastAsia="MS Mincho"/>
          <w:lang w:eastAsia="ja-JP"/>
        </w:rPr>
        <w:t> </w:t>
      </w:r>
      <w:r w:rsidRPr="00784F93">
        <w:rPr>
          <w:rFonts w:eastAsia="MS Mincho"/>
          <w:lang w:eastAsia="ja-JP"/>
        </w:rPr>
        <w:t>trudno dostępn</w:t>
      </w:r>
      <w:r>
        <w:rPr>
          <w:rFonts w:eastAsia="MS Mincho"/>
          <w:lang w:eastAsia="ja-JP"/>
        </w:rPr>
        <w:t>ych usług zagranicznych. Trzeba bowiem</w:t>
      </w:r>
      <w:r w:rsidRPr="00784F93">
        <w:rPr>
          <w:rFonts w:eastAsia="MS Mincho"/>
          <w:lang w:eastAsia="ja-JP"/>
        </w:rPr>
        <w:t xml:space="preserve"> uwzględnić wysokie koszty transportu i przerobu wypalonego paliwa, a także zagospodarowania </w:t>
      </w:r>
      <w:r>
        <w:rPr>
          <w:rFonts w:eastAsia="MS Mincho"/>
          <w:lang w:eastAsia="ja-JP"/>
        </w:rPr>
        <w:t xml:space="preserve">m.in. </w:t>
      </w:r>
      <w:r w:rsidRPr="00784F93">
        <w:rPr>
          <w:rFonts w:eastAsia="MS Mincho"/>
          <w:lang w:eastAsia="ja-JP"/>
        </w:rPr>
        <w:t xml:space="preserve">otrzymanego plutonu lub koszty jego przechowywania. Pełna analiza cyklu całkowicie zamkniętego, </w:t>
      </w:r>
      <w:r>
        <w:rPr>
          <w:rFonts w:eastAsia="MS Mincho"/>
          <w:lang w:eastAsia="ja-JP"/>
        </w:rPr>
        <w:t xml:space="preserve">obejmująca </w:t>
      </w:r>
      <w:r w:rsidRPr="00784F93">
        <w:rPr>
          <w:rFonts w:eastAsia="MS Mincho"/>
          <w:lang w:eastAsia="ja-JP"/>
        </w:rPr>
        <w:t>wydzielenie wszystkich aktynowców – łącznie z</w:t>
      </w:r>
      <w:r>
        <w:rPr>
          <w:rFonts w:eastAsia="MS Mincho"/>
          <w:lang w:eastAsia="ja-JP"/>
        </w:rPr>
        <w:t> </w:t>
      </w:r>
      <w:r w:rsidRPr="00784F93">
        <w:rPr>
          <w:rFonts w:eastAsia="MS Mincho"/>
          <w:lang w:eastAsia="ja-JP"/>
        </w:rPr>
        <w:t>mniejszościowymi</w:t>
      </w:r>
      <w:r>
        <w:rPr>
          <w:rFonts w:eastAsia="MS Mincho"/>
          <w:lang w:eastAsia="ja-JP"/>
        </w:rPr>
        <w:t xml:space="preserve"> oraz</w:t>
      </w:r>
      <w:r w:rsidRPr="00784F93">
        <w:rPr>
          <w:rFonts w:eastAsia="MS Mincho"/>
          <w:lang w:eastAsia="ja-JP"/>
        </w:rPr>
        <w:t xml:space="preserve"> ich późniejsz</w:t>
      </w:r>
      <w:r>
        <w:rPr>
          <w:rFonts w:eastAsia="MS Mincho"/>
          <w:lang w:eastAsia="ja-JP"/>
        </w:rPr>
        <w:t>ą</w:t>
      </w:r>
      <w:r w:rsidRPr="00784F93">
        <w:rPr>
          <w:rFonts w:eastAsia="MS Mincho"/>
          <w:lang w:eastAsia="ja-JP"/>
        </w:rPr>
        <w:t xml:space="preserve"> transmutacj</w:t>
      </w:r>
      <w:r>
        <w:rPr>
          <w:rFonts w:eastAsia="MS Mincho"/>
          <w:lang w:eastAsia="ja-JP"/>
        </w:rPr>
        <w:t>ę</w:t>
      </w:r>
      <w:r w:rsidRPr="00784F93">
        <w:rPr>
          <w:rFonts w:eastAsia="MS Mincho"/>
          <w:lang w:eastAsia="ja-JP"/>
        </w:rPr>
        <w:t xml:space="preserve"> jądrow</w:t>
      </w:r>
      <w:r>
        <w:rPr>
          <w:rFonts w:eastAsia="MS Mincho"/>
          <w:lang w:eastAsia="ja-JP"/>
        </w:rPr>
        <w:t>ą</w:t>
      </w:r>
      <w:r w:rsidRPr="00784F93">
        <w:rPr>
          <w:rFonts w:eastAsia="MS Mincho"/>
          <w:lang w:eastAsia="ja-JP"/>
        </w:rPr>
        <w:t xml:space="preserve"> (reaktory IV generacji)</w:t>
      </w:r>
      <w:r>
        <w:rPr>
          <w:rFonts w:eastAsia="MS Mincho"/>
          <w:lang w:eastAsia="ja-JP"/>
        </w:rPr>
        <w:t xml:space="preserve"> </w:t>
      </w:r>
      <w:r w:rsidRPr="00784F93">
        <w:rPr>
          <w:rFonts w:eastAsia="MS Mincho"/>
          <w:lang w:eastAsia="ja-JP"/>
        </w:rPr>
        <w:t>przy obecnym stanie wiedzy nie jest jeszcze możliwa.</w:t>
      </w:r>
    </w:p>
    <w:p w14:paraId="10F8EAA1" w14:textId="2FEDE468" w:rsidR="00084F8B" w:rsidRDefault="00084F8B" w:rsidP="00FD1188">
      <w:pPr>
        <w:spacing w:before="120" w:after="120"/>
        <w:jc w:val="both"/>
        <w:rPr>
          <w:color w:val="000000"/>
        </w:rPr>
      </w:pPr>
      <w:r w:rsidRPr="00784F93">
        <w:rPr>
          <w:rFonts w:eastAsia="MS Mincho"/>
          <w:lang w:eastAsia="ja-JP"/>
        </w:rPr>
        <w:t>Analiza porównawcza wszystkich wymienionych wyżej opcji cyklu paliwowego prowadz</w:t>
      </w:r>
      <w:r>
        <w:rPr>
          <w:rFonts w:eastAsia="MS Mincho"/>
          <w:lang w:eastAsia="ja-JP"/>
        </w:rPr>
        <w:t xml:space="preserve">i </w:t>
      </w:r>
      <w:r w:rsidRPr="00784F93">
        <w:rPr>
          <w:rFonts w:eastAsia="MS Mincho"/>
          <w:lang w:eastAsia="ja-JP"/>
        </w:rPr>
        <w:t xml:space="preserve">do wniosku, iż </w:t>
      </w:r>
      <w:r>
        <w:rPr>
          <w:rFonts w:eastAsia="MS Mincho"/>
          <w:lang w:eastAsia="ja-JP"/>
        </w:rPr>
        <w:t xml:space="preserve">w obecnej sytuacji pod względem ekonomicznym, </w:t>
      </w:r>
      <w:r w:rsidRPr="00784F93">
        <w:rPr>
          <w:rFonts w:eastAsia="MS Mincho"/>
          <w:lang w:eastAsia="ja-JP"/>
        </w:rPr>
        <w:t xml:space="preserve">najkorzystniejszy </w:t>
      </w:r>
      <w:r>
        <w:rPr>
          <w:rFonts w:eastAsia="MS Mincho"/>
          <w:lang w:eastAsia="ja-JP"/>
        </w:rPr>
        <w:t>dla Polski jest</w:t>
      </w:r>
      <w:r w:rsidRPr="00784F93">
        <w:rPr>
          <w:rFonts w:eastAsia="MS Mincho"/>
          <w:lang w:eastAsia="ja-JP"/>
        </w:rPr>
        <w:t xml:space="preserve"> otwarty cykl paliwowy. </w:t>
      </w:r>
      <w:r w:rsidRPr="00784F93">
        <w:rPr>
          <w:color w:val="000000"/>
        </w:rPr>
        <w:t xml:space="preserve">Wyniki </w:t>
      </w:r>
      <w:r>
        <w:rPr>
          <w:color w:val="000000"/>
        </w:rPr>
        <w:t xml:space="preserve">analiz </w:t>
      </w:r>
      <w:r w:rsidRPr="00784F93">
        <w:rPr>
          <w:color w:val="000000"/>
        </w:rPr>
        <w:t>przeprowadzonych na zle</w:t>
      </w:r>
      <w:r>
        <w:rPr>
          <w:color w:val="000000"/>
        </w:rPr>
        <w:t>cenie</w:t>
      </w:r>
      <w:r w:rsidR="001921E9" w:rsidRPr="001921E9">
        <w:rPr>
          <w:color w:val="000000"/>
        </w:rPr>
        <w:t xml:space="preserve"> ówczesnego Ministerstwa Gospodarki przez instytuty naukowe i badawcze oraz jednostki specjalizujące się w gospodarce odpadami promieniotwórczymi</w:t>
      </w:r>
      <w:r w:rsidRPr="00784F93">
        <w:rPr>
          <w:color w:val="000000"/>
        </w:rPr>
        <w:t xml:space="preserve">, wskazują, że w sytuacji Polski </w:t>
      </w:r>
      <w:r>
        <w:rPr>
          <w:color w:val="000000"/>
        </w:rPr>
        <w:t xml:space="preserve">cykl otwarty </w:t>
      </w:r>
      <w:r w:rsidRPr="00784F93">
        <w:rPr>
          <w:color w:val="000000"/>
        </w:rPr>
        <w:t>będzie</w:t>
      </w:r>
      <w:r>
        <w:rPr>
          <w:color w:val="000000"/>
        </w:rPr>
        <w:t xml:space="preserve"> korzystniejszy ekonomicznie</w:t>
      </w:r>
      <w:r w:rsidRPr="00784F93">
        <w:rPr>
          <w:color w:val="000000"/>
        </w:rPr>
        <w:t xml:space="preserve"> (od 30 do 50%)</w:t>
      </w:r>
      <w:r>
        <w:rPr>
          <w:color w:val="000000"/>
        </w:rPr>
        <w:t xml:space="preserve"> od cyklu częściowo zamkniętego. Światowe trendy w tym zakresie będą jednak stale obserwowane i, w razie potrzeby, jeżeli będzie to zasadne, w proponowanych rozwiązaniach wprowadzone zostaną stosowne zmiany. </w:t>
      </w:r>
    </w:p>
    <w:p w14:paraId="384DDD75" w14:textId="77777777" w:rsidR="00084F8B" w:rsidRPr="00784F93" w:rsidRDefault="00084F8B" w:rsidP="00C87B85">
      <w:pPr>
        <w:spacing w:before="120" w:after="120"/>
        <w:jc w:val="both"/>
        <w:rPr>
          <w:rFonts w:eastAsia="MS Mincho"/>
          <w:sz w:val="24"/>
          <w:szCs w:val="24"/>
          <w:lang w:eastAsia="ja-JP"/>
        </w:rPr>
      </w:pPr>
      <w:r>
        <w:rPr>
          <w:color w:val="000000"/>
        </w:rPr>
        <w:t>Ponowna analiza w zakresie cyklu paliwowego zostanie dokonana po uruchomieniu pierwszej polskiej elektrowni jądrowej. Zgodnie z ustawą – Prawo atomowe</w:t>
      </w:r>
      <w:r>
        <w:rPr>
          <w:rStyle w:val="Odwoanieprzypisudolnego"/>
          <w:color w:val="000000"/>
        </w:rPr>
        <w:footnoteReference w:id="36"/>
      </w:r>
      <w:r>
        <w:rPr>
          <w:color w:val="000000"/>
        </w:rPr>
        <w:t>, decyzja dotycząca kwalifikacji wypalonego paliwa, jako odpadu albo surowca do dalszego przerobu będzie należała do operatora elektrowni jądrowych. Koszty przerobu będzie on musiał pokryć z własnych środków.</w:t>
      </w:r>
    </w:p>
    <w:p w14:paraId="1E35A979" w14:textId="77777777" w:rsidR="00084F8B" w:rsidRPr="00F74164" w:rsidRDefault="00084F8B" w:rsidP="008D5796">
      <w:pPr>
        <w:pStyle w:val="Nagwek3"/>
      </w:pPr>
      <w:bookmarkStart w:id="133" w:name="_Toc397697035"/>
      <w:bookmarkStart w:id="134" w:name="_Toc424116730"/>
      <w:r>
        <w:t>4</w:t>
      </w:r>
      <w:r w:rsidRPr="00F74164">
        <w:t>.</w:t>
      </w:r>
      <w:r>
        <w:t>4</w:t>
      </w:r>
      <w:r w:rsidRPr="00F74164">
        <w:t>.</w:t>
      </w:r>
      <w:r>
        <w:t>3.</w:t>
      </w:r>
      <w:r w:rsidRPr="00F74164">
        <w:t xml:space="preserve"> </w:t>
      </w:r>
      <w:r>
        <w:t xml:space="preserve">Rozstrzygnięcie w zakresie końcowego postępowania z </w:t>
      </w:r>
      <w:r w:rsidRPr="00F74164">
        <w:t>odpad</w:t>
      </w:r>
      <w:r>
        <w:t>ami</w:t>
      </w:r>
      <w:r w:rsidRPr="00F74164">
        <w:t xml:space="preserve"> promieniotwórczy</w:t>
      </w:r>
      <w:r>
        <w:t>mi</w:t>
      </w:r>
      <w:r w:rsidRPr="00F74164">
        <w:t xml:space="preserve"> </w:t>
      </w:r>
      <w:r>
        <w:t xml:space="preserve">wysokoaktywnymi </w:t>
      </w:r>
      <w:r w:rsidRPr="00F74164">
        <w:t>i wypalon</w:t>
      </w:r>
      <w:r>
        <w:t xml:space="preserve">ym </w:t>
      </w:r>
      <w:r w:rsidRPr="00F74164">
        <w:t>paliw</w:t>
      </w:r>
      <w:r>
        <w:t>em</w:t>
      </w:r>
      <w:r w:rsidRPr="00F74164">
        <w:t xml:space="preserve"> jądrow</w:t>
      </w:r>
      <w:r>
        <w:t>ym</w:t>
      </w:r>
      <w:bookmarkEnd w:id="133"/>
      <w:bookmarkEnd w:id="134"/>
      <w:r w:rsidRPr="00F74164">
        <w:t xml:space="preserve"> </w:t>
      </w:r>
    </w:p>
    <w:p w14:paraId="0BB343E1" w14:textId="77777777" w:rsidR="00084F8B" w:rsidRPr="000A30E9" w:rsidRDefault="00084F8B" w:rsidP="00C87B85">
      <w:pPr>
        <w:spacing w:before="120" w:after="120"/>
        <w:ind w:firstLine="567"/>
        <w:jc w:val="both"/>
      </w:pPr>
      <w:r w:rsidRPr="000A30E9">
        <w:t xml:space="preserve">Obecnie przyjmuje się, że najbezpieczniejszym rozwiązaniem problemu wysokoaktywnych odpadów promieniotwórczych </w:t>
      </w:r>
      <w:r>
        <w:t xml:space="preserve">i wypalonego paliwa jądrowego </w:t>
      </w:r>
      <w:r w:rsidRPr="000A30E9">
        <w:t xml:space="preserve">jest ich składowanie w głębokich składowiskach odpadów promieniotwórczych budowanych w strukturach geologicznych. </w:t>
      </w:r>
    </w:p>
    <w:p w14:paraId="773FB5B3" w14:textId="7950D9EB" w:rsidR="00084F8B" w:rsidRPr="00784F93" w:rsidRDefault="00084F8B" w:rsidP="00E6279B">
      <w:pPr>
        <w:spacing w:before="120" w:after="120"/>
        <w:jc w:val="both"/>
      </w:pPr>
      <w:r w:rsidRPr="000A30E9">
        <w:t xml:space="preserve">Po fazie schładzania w </w:t>
      </w:r>
      <w:r>
        <w:t>basenie technologicznym</w:t>
      </w:r>
      <w:r w:rsidRPr="000A30E9">
        <w:t xml:space="preserve">, trwającej ok. </w:t>
      </w:r>
      <w:r>
        <w:t>3-5</w:t>
      </w:r>
      <w:r w:rsidRPr="000A30E9">
        <w:t xml:space="preserve"> lat, wypalone paliwo jądrowe </w:t>
      </w:r>
      <w:r>
        <w:t xml:space="preserve">jest transportowane </w:t>
      </w:r>
      <w:r w:rsidRPr="000A30E9">
        <w:t xml:space="preserve">do przechowalnika poza reaktorem (suchego lub mokrego). W przypadku Polski można rozważyć budowę jednego, wspólnego przechowalnika dla </w:t>
      </w:r>
      <w:r w:rsidR="00183E9C">
        <w:t>kilku elektrowni, lub kilku</w:t>
      </w:r>
      <w:r w:rsidRPr="000A30E9">
        <w:t xml:space="preserve"> – dla każdej elektrowni osobno. </w:t>
      </w:r>
      <w:r>
        <w:t xml:space="preserve">Za przechowywanie wypalonego paliwa jądrowego odpowiedzialny jest operator EJ, który musi zapewnić możliwość przechowywania </w:t>
      </w:r>
      <w:r w:rsidRPr="000A30E9">
        <w:t>wypalonego paliwa jądrowego z całego okresu eksploatacji elektrowni jądrowej</w:t>
      </w:r>
      <w:r>
        <w:t xml:space="preserve">. </w:t>
      </w:r>
      <w:r w:rsidRPr="000A30E9">
        <w:t>Po</w:t>
      </w:r>
      <w:r>
        <w:t xml:space="preserve"> </w:t>
      </w:r>
      <w:r w:rsidRPr="000A30E9">
        <w:t>kilkudziesięciu latach przechowywania</w:t>
      </w:r>
      <w:r>
        <w:t xml:space="preserve"> i po uruchomieniu SGOP, paliwo to</w:t>
      </w:r>
      <w:r w:rsidRPr="000A30E9">
        <w:t xml:space="preserve"> będzie </w:t>
      </w:r>
      <w:r>
        <w:t>mogło być</w:t>
      </w:r>
      <w:r w:rsidRPr="000A30E9">
        <w:t xml:space="preserve"> </w:t>
      </w:r>
      <w:r>
        <w:t xml:space="preserve">przekazane do składowania. </w:t>
      </w:r>
      <w:r w:rsidRPr="00784F93">
        <w:t>Kwesti</w:t>
      </w:r>
      <w:r>
        <w:t>a</w:t>
      </w:r>
      <w:r w:rsidRPr="00784F93">
        <w:t xml:space="preserve"> </w:t>
      </w:r>
      <w:r>
        <w:t>budowy SGOP, była</w:t>
      </w:r>
      <w:r w:rsidRPr="00784F93">
        <w:t xml:space="preserve"> </w:t>
      </w:r>
      <w:r>
        <w:t>r</w:t>
      </w:r>
      <w:r w:rsidRPr="00784F93">
        <w:t>ozpatrywan</w:t>
      </w:r>
      <w:r>
        <w:t>a</w:t>
      </w:r>
      <w:r w:rsidRPr="00784F93">
        <w:t xml:space="preserve"> na potrzeby pierwszego programu jądrowego w Polsce (EJ „Żarnowiec”). </w:t>
      </w:r>
      <w:r>
        <w:t>W</w:t>
      </w:r>
      <w:r w:rsidRPr="00784F93">
        <w:t xml:space="preserve">ykonano </w:t>
      </w:r>
      <w:r>
        <w:t xml:space="preserve">wtedy </w:t>
      </w:r>
      <w:r w:rsidRPr="00784F93">
        <w:t>szereg badań związan</w:t>
      </w:r>
      <w:r>
        <w:t xml:space="preserve">ych z wytypowaniem lokalizacji </w:t>
      </w:r>
      <w:r w:rsidRPr="00784F93">
        <w:t>głębokiego składowiska wypalonego paliwa</w:t>
      </w:r>
      <w:r>
        <w:t xml:space="preserve"> jądrowego</w:t>
      </w:r>
      <w:r w:rsidRPr="00784F93">
        <w:t>. Prace te były kontynuowane w latach 1997-</w:t>
      </w:r>
      <w:r>
        <w:t>19</w:t>
      </w:r>
      <w:r w:rsidRPr="00784F93">
        <w:t>99 w ramach opracowanego przez PAA Strategicznego Programu Rządowego „Gospodarka odpadami promieniotwórczymi i wypalonym paliwem jądrowym w Polsce”</w:t>
      </w:r>
      <w:r>
        <w:rPr>
          <w:rStyle w:val="Odwoanieprzypisudolnego"/>
        </w:rPr>
        <w:footnoteReference w:id="37"/>
      </w:r>
      <w:r w:rsidRPr="00784F93">
        <w:t xml:space="preserve">. Jednym z </w:t>
      </w:r>
      <w:r>
        <w:t>celów tego p</w:t>
      </w:r>
      <w:r w:rsidRPr="00784F93">
        <w:t xml:space="preserve">rogramu było wytypowanie lokalizacji i opracowanie koncepcji składowiska odpadów promieniotwórczych w głębokich formacjach geologicznych. </w:t>
      </w:r>
    </w:p>
    <w:p w14:paraId="622A7F3F" w14:textId="77777777" w:rsidR="00084F8B" w:rsidRPr="00784F93" w:rsidRDefault="00084F8B" w:rsidP="00E6279B">
      <w:pPr>
        <w:spacing w:before="120" w:after="120"/>
        <w:jc w:val="both"/>
      </w:pPr>
      <w:r w:rsidRPr="00784F93">
        <w:lastRenderedPageBreak/>
        <w:t xml:space="preserve">W wyniku prowadzonych w ramach </w:t>
      </w:r>
      <w:r>
        <w:t>ww. p</w:t>
      </w:r>
      <w:r w:rsidRPr="00784F93">
        <w:t>rogramu prac, na terenie Polski zidentyfikowano 44 struktury skalne, w których istnieje potencjalna możliwość lokalizacji</w:t>
      </w:r>
      <w:r>
        <w:t xml:space="preserve"> SGOP.</w:t>
      </w:r>
      <w:r w:rsidRPr="00784F93">
        <w:t xml:space="preserve"> Struktury te obejmują skały magmowe i metamorficzne, utwory ilaste oraz sol</w:t>
      </w:r>
      <w:r>
        <w:t>e kamienne</w:t>
      </w:r>
      <w:r w:rsidRPr="00784F93">
        <w:t>.</w:t>
      </w:r>
      <w:r w:rsidR="0010629E">
        <w:t xml:space="preserve"> </w:t>
      </w:r>
      <w:r w:rsidRPr="00784F93">
        <w:t xml:space="preserve">W ramach prowadzonych prac dokonano negatywnej oceny możliwości składowania </w:t>
      </w:r>
      <w:r>
        <w:t xml:space="preserve">wysokoaktywnych </w:t>
      </w:r>
      <w:r w:rsidRPr="00784F93">
        <w:t xml:space="preserve">odpadów promieniotwórczych </w:t>
      </w:r>
      <w:r>
        <w:t xml:space="preserve">i wypalonego paliwa jądrowego </w:t>
      </w:r>
      <w:r w:rsidRPr="00784F93">
        <w:t>w wyrobiskach górniczych i</w:t>
      </w:r>
      <w:r>
        <w:t xml:space="preserve"> </w:t>
      </w:r>
      <w:r w:rsidRPr="00784F93">
        <w:t>powierzchniowych formacjach geologicznych oraz w</w:t>
      </w:r>
      <w:r>
        <w:t> </w:t>
      </w:r>
      <w:r w:rsidRPr="00784F93">
        <w:t>niezagospodarowanych głębokich formacjach geologicznych. Negatywnie oceniono też obszary zbiorników wód podziemnych, zalegania cennych kopalin, obszary aktywne sejsmicznie, położone w obrębie prowadzenia prac górniczych czy wreszcie obszary atrakcyjne pod względem przyrodniczo</w:t>
      </w:r>
      <w:r w:rsidR="00B436D2">
        <w:t>-</w:t>
      </w:r>
      <w:r w:rsidRPr="00784F93">
        <w:t xml:space="preserve">krajobrazowym. </w:t>
      </w:r>
      <w:r>
        <w:t>Wykluczenia te są zgodne z przesłankami w</w:t>
      </w:r>
      <w:r w:rsidR="00251CDA">
        <w:t>y</w:t>
      </w:r>
      <w:r>
        <w:t xml:space="preserve">kluczającymi, określonymi w art. 53 b ust. 1 ustawy – Prawo atomowe. </w:t>
      </w:r>
    </w:p>
    <w:p w14:paraId="13609165" w14:textId="77777777" w:rsidR="00084F8B" w:rsidRPr="00784F93" w:rsidRDefault="00084F8B" w:rsidP="00014993">
      <w:pPr>
        <w:spacing w:before="120" w:after="120"/>
        <w:jc w:val="both"/>
      </w:pPr>
      <w:r w:rsidRPr="00784F93">
        <w:t xml:space="preserve">Wobec powyższego, można stwierdzić, że Polska dysponuje zarówno </w:t>
      </w:r>
      <w:r>
        <w:t xml:space="preserve">warunkami, </w:t>
      </w:r>
      <w:r w:rsidRPr="00784F93">
        <w:t xml:space="preserve">jak i wiedzą </w:t>
      </w:r>
      <w:r>
        <w:t xml:space="preserve">odnośnie możliwości składowania </w:t>
      </w:r>
      <w:r w:rsidRPr="00784F93">
        <w:t>wypalon</w:t>
      </w:r>
      <w:r>
        <w:t xml:space="preserve">ego </w:t>
      </w:r>
      <w:r w:rsidRPr="00784F93">
        <w:t>paliw</w:t>
      </w:r>
      <w:r>
        <w:t>a</w:t>
      </w:r>
      <w:r w:rsidRPr="00784F93">
        <w:t xml:space="preserve"> jądrow</w:t>
      </w:r>
      <w:r>
        <w:t>ego</w:t>
      </w:r>
      <w:r w:rsidRPr="00784F93">
        <w:t xml:space="preserve"> i odpad</w:t>
      </w:r>
      <w:r>
        <w:t>ów</w:t>
      </w:r>
      <w:r w:rsidRPr="00784F93">
        <w:t xml:space="preserve"> promieniotwórczymi na terenie kraju. </w:t>
      </w:r>
    </w:p>
    <w:p w14:paraId="7AB68CAE" w14:textId="77777777" w:rsidR="00084F8B" w:rsidRDefault="00084F8B" w:rsidP="000A43EA">
      <w:pPr>
        <w:spacing w:before="120" w:after="120"/>
        <w:jc w:val="both"/>
      </w:pPr>
      <w:r>
        <w:t>Podejmowane d</w:t>
      </w:r>
      <w:r w:rsidRPr="00784F93">
        <w:t>ziałania</w:t>
      </w:r>
      <w:r>
        <w:t>,</w:t>
      </w:r>
      <w:r w:rsidRPr="00784F93">
        <w:t xml:space="preserve"> </w:t>
      </w:r>
      <w:r>
        <w:t>mające na celu</w:t>
      </w:r>
      <w:r w:rsidRPr="00784F93">
        <w:t xml:space="preserve"> </w:t>
      </w:r>
      <w:r>
        <w:t>budowę SGOP,</w:t>
      </w:r>
      <w:r w:rsidRPr="00784F93">
        <w:t xml:space="preserve"> będą </w:t>
      </w:r>
      <w:r>
        <w:t xml:space="preserve">także </w:t>
      </w:r>
      <w:r w:rsidRPr="00784F93">
        <w:t xml:space="preserve">oparte na doświadczeniach innych krajów. </w:t>
      </w:r>
    </w:p>
    <w:p w14:paraId="483FE9DE" w14:textId="364B0813" w:rsidR="00084F8B" w:rsidRDefault="00084F8B" w:rsidP="00992E79">
      <w:pPr>
        <w:spacing w:before="120" w:after="120"/>
        <w:jc w:val="both"/>
      </w:pPr>
      <w:r>
        <w:t xml:space="preserve">W związku z przyjęciem </w:t>
      </w:r>
      <w:r w:rsidR="005D52A7" w:rsidRPr="00904041">
        <w:t>P</w:t>
      </w:r>
      <w:r w:rsidR="00904041" w:rsidRPr="00904041">
        <w:t>PEJ</w:t>
      </w:r>
      <w:r w:rsidR="005D52A7" w:rsidRPr="00F75614">
        <w:rPr>
          <w:color w:val="FF0000"/>
        </w:rPr>
        <w:t xml:space="preserve"> </w:t>
      </w:r>
      <w:r w:rsidRPr="00784F93">
        <w:t xml:space="preserve">planowane </w:t>
      </w:r>
      <w:r w:rsidRPr="00E45810">
        <w:t xml:space="preserve">jest podpisanie porozumienia przez </w:t>
      </w:r>
      <w:r>
        <w:t xml:space="preserve">ministra właściwego ds. </w:t>
      </w:r>
      <w:r w:rsidR="00F96B0A">
        <w:t>energii</w:t>
      </w:r>
      <w:r w:rsidRPr="00E45810">
        <w:t>, PIG</w:t>
      </w:r>
      <w:r>
        <w:t>-PIB</w:t>
      </w:r>
      <w:r w:rsidRPr="00E45810">
        <w:t xml:space="preserve"> oraz inne zainteresowane instytucje, w sprawie wspierania koncepcji</w:t>
      </w:r>
      <w:r>
        <w:t xml:space="preserve"> i podjęcia zintegrowanych badań nad </w:t>
      </w:r>
      <w:r w:rsidRPr="00E45810">
        <w:t>głęboki</w:t>
      </w:r>
      <w:r>
        <w:t>m</w:t>
      </w:r>
      <w:r w:rsidRPr="00E45810">
        <w:t xml:space="preserve"> składowani</w:t>
      </w:r>
      <w:r>
        <w:t>em</w:t>
      </w:r>
      <w:r w:rsidRPr="00E45810">
        <w:t xml:space="preserve"> odpadów promieniotwórczych </w:t>
      </w:r>
      <w:r>
        <w:t xml:space="preserve">i </w:t>
      </w:r>
      <w:r w:rsidRPr="00E45810">
        <w:t>budow</w:t>
      </w:r>
      <w:r>
        <w:t>ą</w:t>
      </w:r>
      <w:r w:rsidRPr="00E45810">
        <w:t xml:space="preserve"> PURL</w:t>
      </w:r>
      <w:r>
        <w:t xml:space="preserve"> (zob. </w:t>
      </w:r>
      <w:r w:rsidR="00FA31C1">
        <w:t>pkt 1.3.2). Zgromadzone</w:t>
      </w:r>
      <w:r w:rsidRPr="00784F93">
        <w:t xml:space="preserve"> wyniki badań będą w przyszłości wykorzystane do wskazania lokalizacji i budowy </w:t>
      </w:r>
      <w:r>
        <w:t>SGOP</w:t>
      </w:r>
      <w:r w:rsidRPr="00784F93">
        <w:t>.</w:t>
      </w:r>
      <w:r>
        <w:t xml:space="preserve"> </w:t>
      </w:r>
    </w:p>
    <w:p w14:paraId="56FBD0D3" w14:textId="77777777" w:rsidR="00084F8B" w:rsidRDefault="00084F8B" w:rsidP="00992E79">
      <w:pPr>
        <w:spacing w:before="120" w:after="120"/>
        <w:jc w:val="both"/>
      </w:pPr>
      <w:r>
        <w:t xml:space="preserve">Do czasu zakończenia budowy SGOP wypalone paliwo będzie przechowywane w przechowalniku (przechowalnikach) </w:t>
      </w:r>
      <w:r w:rsidRPr="000A30E9">
        <w:t>poza reaktorem</w:t>
      </w:r>
      <w:r>
        <w:t xml:space="preserve">, których pojemność musi być wystarczająca na przyjęcie do </w:t>
      </w:r>
      <w:r w:rsidR="00AD6D12">
        <w:t xml:space="preserve">przechowywania </w:t>
      </w:r>
      <w:r w:rsidRPr="000A30E9">
        <w:t xml:space="preserve">wypalonego paliwa jądrowego z całego okresu </w:t>
      </w:r>
      <w:r>
        <w:t xml:space="preserve">eksploatacji elektrowni jądrowych. </w:t>
      </w:r>
      <w:r w:rsidRPr="00784F93">
        <w:t>Wielkość składowiska będzie uzależniona od rozwoju energetyki jądrowej</w:t>
      </w:r>
      <w:r w:rsidRPr="0049529A">
        <w:t xml:space="preserve"> </w:t>
      </w:r>
      <w:r w:rsidRPr="00784F93">
        <w:t>w Polsce</w:t>
      </w:r>
      <w:r w:rsidR="0010629E">
        <w:t xml:space="preserve">. </w:t>
      </w:r>
      <w:r w:rsidRPr="00784F93">
        <w:t xml:space="preserve">Ze względu na koszty budowy </w:t>
      </w:r>
      <w:r>
        <w:t xml:space="preserve">SGOP </w:t>
      </w:r>
      <w:r w:rsidRPr="00784F93">
        <w:t xml:space="preserve">Polska będzie także </w:t>
      </w:r>
      <w:r>
        <w:t>uczestniczyć</w:t>
      </w:r>
      <w:r w:rsidRPr="00784F93">
        <w:t xml:space="preserve"> w europejskich inicjatywach</w:t>
      </w:r>
      <w:r>
        <w:t xml:space="preserve"> takich jak Organizacja Rozwoju Europejskiego Składowania - ERDO, analizujących możliwość </w:t>
      </w:r>
      <w:r w:rsidRPr="00784F93">
        <w:t xml:space="preserve">budowy </w:t>
      </w:r>
      <w:r>
        <w:t xml:space="preserve">w przyszłości </w:t>
      </w:r>
      <w:r w:rsidRPr="00784F93">
        <w:t xml:space="preserve">wspólnego dla kilku krajów </w:t>
      </w:r>
      <w:r>
        <w:t>SGOP</w:t>
      </w:r>
      <w:r w:rsidRPr="00784F93">
        <w:t>.</w:t>
      </w:r>
      <w:r>
        <w:t xml:space="preserve"> Zgodnie z przepisami polskiego prawa</w:t>
      </w:r>
      <w:r>
        <w:rPr>
          <w:rStyle w:val="Odwoanieprzypisudolnego"/>
        </w:rPr>
        <w:footnoteReference w:id="38"/>
      </w:r>
      <w:r>
        <w:t xml:space="preserve">, </w:t>
      </w:r>
      <w:r w:rsidR="0010629E">
        <w:t xml:space="preserve">lokalizacja </w:t>
      </w:r>
      <w:r>
        <w:t>takiego składowiska na t</w:t>
      </w:r>
      <w:r w:rsidR="003306CB">
        <w:t>erytorium Polski jest niemożliwa</w:t>
      </w:r>
      <w:r>
        <w:t>.</w:t>
      </w:r>
    </w:p>
    <w:p w14:paraId="15870D11" w14:textId="77777777" w:rsidR="00084F8B" w:rsidRDefault="00084F8B" w:rsidP="00992E79">
      <w:pPr>
        <w:spacing w:before="120" w:after="120"/>
        <w:jc w:val="both"/>
      </w:pPr>
    </w:p>
    <w:p w14:paraId="790CF38E" w14:textId="77777777" w:rsidR="00084F8B" w:rsidRPr="00F74164" w:rsidRDefault="00084F8B" w:rsidP="00C369E8">
      <w:pPr>
        <w:pStyle w:val="Nagwek2"/>
      </w:pPr>
      <w:bookmarkStart w:id="135" w:name="_Toc424116731"/>
      <w:r>
        <w:t>4</w:t>
      </w:r>
      <w:r w:rsidRPr="00F74164">
        <w:t>.</w:t>
      </w:r>
      <w:r>
        <w:t>5</w:t>
      </w:r>
      <w:r w:rsidRPr="00F74164">
        <w:t>.</w:t>
      </w:r>
      <w:r>
        <w:t xml:space="preserve"> Odpady z likwidacji obiektów jądrowych</w:t>
      </w:r>
      <w:bookmarkEnd w:id="135"/>
      <w:r>
        <w:t xml:space="preserve"> </w:t>
      </w:r>
    </w:p>
    <w:p w14:paraId="00E87923" w14:textId="77777777" w:rsidR="00084F8B" w:rsidRDefault="00084F8B" w:rsidP="00942CAE">
      <w:pPr>
        <w:spacing w:before="240" w:after="120"/>
        <w:ind w:firstLine="567"/>
        <w:jc w:val="both"/>
        <w:rPr>
          <w:rFonts w:eastAsia="MS Mincho"/>
          <w:lang w:eastAsia="ja-JP"/>
        </w:rPr>
      </w:pPr>
      <w:r w:rsidRPr="00784F93">
        <w:rPr>
          <w:rFonts w:eastAsia="MS Mincho"/>
          <w:lang w:eastAsia="ja-JP"/>
        </w:rPr>
        <w:t xml:space="preserve">Likwidacja obiektu jądrowego polega na administracyjnych i technicznych czynnościach prowadzących do </w:t>
      </w:r>
      <w:r>
        <w:rPr>
          <w:rFonts w:eastAsia="MS Mincho"/>
          <w:lang w:eastAsia="ja-JP"/>
        </w:rPr>
        <w:t>osiągnięcia stanu niewymagającego ograniczeń związanych z BJiOR w wykonywaniu dowolnej działalności</w:t>
      </w:r>
      <w:r>
        <w:rPr>
          <w:rStyle w:val="Odwoanieprzypisudolnego"/>
          <w:rFonts w:eastAsia="MS Mincho"/>
          <w:lang w:eastAsia="ja-JP"/>
        </w:rPr>
        <w:footnoteReference w:id="39"/>
      </w:r>
      <w:r>
        <w:rPr>
          <w:rFonts w:eastAsia="MS Mincho"/>
          <w:lang w:eastAsia="ja-JP"/>
        </w:rPr>
        <w:t xml:space="preserve">, a zatem do stanu, w którym możliwe jest ograniczenie lub całkowite wyjęcie go spod kontroli dozoru jądrowego. </w:t>
      </w:r>
      <w:r w:rsidRPr="00784F93">
        <w:rPr>
          <w:rFonts w:eastAsia="MS Mincho"/>
          <w:lang w:eastAsia="ja-JP"/>
        </w:rPr>
        <w:t>Jest to proces wieloletni, złożony i dynamiczny, reagujący na postęp technologiczny</w:t>
      </w:r>
      <w:r>
        <w:rPr>
          <w:rFonts w:eastAsia="MS Mincho"/>
          <w:lang w:eastAsia="ja-JP"/>
        </w:rPr>
        <w:t xml:space="preserve"> i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zmiany regulacji prawnych</w:t>
      </w:r>
      <w:r w:rsidRPr="00784F93">
        <w:rPr>
          <w:rFonts w:eastAsia="MS Mincho"/>
          <w:lang w:eastAsia="ja-JP"/>
        </w:rPr>
        <w:t>.</w:t>
      </w:r>
    </w:p>
    <w:p w14:paraId="717BF294" w14:textId="77777777" w:rsidR="00084F8B" w:rsidRPr="00C87B85" w:rsidRDefault="00084F8B" w:rsidP="00872645">
      <w:pPr>
        <w:spacing w:before="240" w:after="120"/>
        <w:ind w:firstLine="567"/>
        <w:jc w:val="both"/>
      </w:pPr>
      <w:r w:rsidRPr="00784F93">
        <w:t>Ze względu na koszty, proces likwidacji obiektu jądrowego należy uwzględniać już na etapie projektowania obiektu</w:t>
      </w:r>
      <w:r>
        <w:t xml:space="preserve">, dlatego </w:t>
      </w:r>
      <w:r w:rsidR="0010629E">
        <w:t xml:space="preserve">też </w:t>
      </w:r>
      <w:r>
        <w:t xml:space="preserve">program likwidacji jest przedstawiany Prezesowi PAA do zatwierdzenia wraz z wnioskiem o wydanie zezwolenia na budowę, rozruch lub eksploatację obiektu jądrowego. W toku eksploatacji </w:t>
      </w:r>
      <w:r w:rsidRPr="00784F93">
        <w:t xml:space="preserve">obiektu jądrowego </w:t>
      </w:r>
      <w:r>
        <w:t>j</w:t>
      </w:r>
      <w:r w:rsidRPr="00784F93">
        <w:t>ednostka organizacyjna odpowiedzialna za eksploatacj</w:t>
      </w:r>
      <w:r>
        <w:t>ę</w:t>
      </w:r>
      <w:r w:rsidRPr="00784F93">
        <w:t xml:space="preserve"> ma obowiązek </w:t>
      </w:r>
      <w:r>
        <w:t xml:space="preserve">okresowo uaktualniać (nie rzadziej niż raz na pięć lat) </w:t>
      </w:r>
      <w:r w:rsidRPr="00784F93">
        <w:t>p</w:t>
      </w:r>
      <w:r>
        <w:t>rogram</w:t>
      </w:r>
      <w:r w:rsidRPr="00784F93">
        <w:t xml:space="preserve"> likwidacji</w:t>
      </w:r>
      <w:r>
        <w:t xml:space="preserve"> wraz z prognozą jej kosztów, który przekazuje do zatwierdzenia Prezesowi PAA</w:t>
      </w:r>
      <w:r w:rsidR="00B436D2">
        <w:t>.</w:t>
      </w:r>
      <w:r>
        <w:rPr>
          <w:rStyle w:val="Odwoanieprzypisudolnego"/>
        </w:rPr>
        <w:footnoteReference w:id="40"/>
      </w:r>
    </w:p>
    <w:p w14:paraId="3B1600D1" w14:textId="77777777" w:rsidR="00084F8B" w:rsidRPr="00784F93" w:rsidRDefault="00084F8B" w:rsidP="00942CAE">
      <w:pPr>
        <w:spacing w:before="240" w:after="120"/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 xml:space="preserve"> Likwidacja musi być przeprowadzona w sposób zapewniający bezpieczeństwo jądrowe oraz ochronę radiologiczną pracowników i ludności. Proces musi także spełniać wymogi określone w zezwoleniu Prezesa PAA oraz we wdrożonym w jednostce zintegrowanym systemie zarządzania</w:t>
      </w:r>
      <w:r>
        <w:rPr>
          <w:rStyle w:val="Odwoanieprzypisudolnego"/>
          <w:rFonts w:eastAsia="MS Mincho"/>
          <w:lang w:eastAsia="ja-JP"/>
        </w:rPr>
        <w:footnoteReference w:id="41"/>
      </w:r>
      <w:r>
        <w:rPr>
          <w:rFonts w:eastAsia="MS Mincho"/>
          <w:lang w:eastAsia="ja-JP"/>
        </w:rPr>
        <w:t>.</w:t>
      </w:r>
    </w:p>
    <w:p w14:paraId="562A2A44" w14:textId="77777777" w:rsidR="00084F8B" w:rsidRDefault="00084F8B" w:rsidP="00C369E8">
      <w:pPr>
        <w:spacing w:before="120" w:after="120"/>
        <w:jc w:val="both"/>
        <w:rPr>
          <w:rFonts w:eastAsia="MS Mincho"/>
          <w:lang w:eastAsia="ja-JP"/>
        </w:rPr>
      </w:pPr>
      <w:r w:rsidRPr="00784F93">
        <w:rPr>
          <w:rFonts w:eastAsia="MS Mincho"/>
          <w:lang w:eastAsia="ja-JP"/>
        </w:rPr>
        <w:t>Zgodnie z ustawą</w:t>
      </w:r>
      <w:r>
        <w:rPr>
          <w:rFonts w:eastAsia="MS Mincho"/>
          <w:lang w:eastAsia="ja-JP"/>
        </w:rPr>
        <w:t xml:space="preserve"> - </w:t>
      </w:r>
      <w:r w:rsidRPr="00784F93">
        <w:rPr>
          <w:rFonts w:eastAsia="MS Mincho"/>
          <w:lang w:eastAsia="ja-JP"/>
        </w:rPr>
        <w:t>Prawo atomowe</w:t>
      </w:r>
      <w:r>
        <w:rPr>
          <w:rFonts w:eastAsia="MS Mincho"/>
          <w:lang w:eastAsia="ja-JP"/>
        </w:rPr>
        <w:t>,</w:t>
      </w:r>
      <w:r w:rsidRPr="00784F93">
        <w:rPr>
          <w:rFonts w:eastAsia="MS Mincho"/>
          <w:lang w:eastAsia="ja-JP"/>
        </w:rPr>
        <w:t xml:space="preserve"> odpowiedzialność za zapewnienie bezpieczeństwa jądrowego, ochrony radiologicznej, ochrony fizycznej i zabezpieczeń materiałów jądrowych </w:t>
      </w:r>
      <w:r>
        <w:rPr>
          <w:rFonts w:eastAsia="MS Mincho"/>
          <w:lang w:eastAsia="ja-JP"/>
        </w:rPr>
        <w:t>ponosi</w:t>
      </w:r>
      <w:r w:rsidRPr="00784F93">
        <w:rPr>
          <w:rFonts w:eastAsia="MS Mincho"/>
          <w:lang w:eastAsia="ja-JP"/>
        </w:rPr>
        <w:t xml:space="preserve"> kierownik jednostki posiadającej zezwolenia na wykonywanie działalności związanej z narażeniem</w:t>
      </w:r>
      <w:r>
        <w:rPr>
          <w:rFonts w:eastAsia="MS Mincho"/>
          <w:lang w:eastAsia="ja-JP"/>
        </w:rPr>
        <w:t xml:space="preserve"> na promieniowanie jonizujące</w:t>
      </w:r>
      <w:r w:rsidRPr="00784F93">
        <w:rPr>
          <w:rFonts w:eastAsia="MS Mincho"/>
          <w:lang w:eastAsia="ja-JP"/>
        </w:rPr>
        <w:t>, polegającej na budowie, rozruchu, eksploatacji lub likwidacji obiek</w:t>
      </w:r>
      <w:r>
        <w:rPr>
          <w:rFonts w:eastAsia="MS Mincho"/>
          <w:lang w:eastAsia="ja-JP"/>
        </w:rPr>
        <w:t>tu jądrowego. Odpowiedzialność k</w:t>
      </w:r>
      <w:r w:rsidRPr="00784F93">
        <w:rPr>
          <w:rFonts w:eastAsia="MS Mincho"/>
          <w:lang w:eastAsia="ja-JP"/>
        </w:rPr>
        <w:t xml:space="preserve">ierownika jednostki za bezpieczeństwo </w:t>
      </w:r>
      <w:r>
        <w:rPr>
          <w:rFonts w:eastAsia="MS Mincho"/>
          <w:lang w:eastAsia="ja-JP"/>
        </w:rPr>
        <w:t xml:space="preserve">jądrowe obiektu </w:t>
      </w:r>
      <w:r w:rsidRPr="00784F93">
        <w:rPr>
          <w:rFonts w:eastAsia="MS Mincho"/>
          <w:lang w:eastAsia="ja-JP"/>
        </w:rPr>
        <w:t>ustaje z dniem zatwierdzenia przez Prezesa PAA raportu z likwidacji obiektu jądrowego</w:t>
      </w:r>
      <w:r>
        <w:rPr>
          <w:rStyle w:val="Odwoanieprzypisudolnego"/>
          <w:rFonts w:eastAsia="MS Mincho"/>
          <w:lang w:eastAsia="ja-JP"/>
        </w:rPr>
        <w:footnoteReference w:id="42"/>
      </w:r>
      <w:r w:rsidRPr="00784F93">
        <w:rPr>
          <w:rFonts w:eastAsia="MS Mincho"/>
          <w:lang w:eastAsia="ja-JP"/>
        </w:rPr>
        <w:t xml:space="preserve">. </w:t>
      </w:r>
    </w:p>
    <w:p w14:paraId="2AA45277" w14:textId="77777777" w:rsidR="00084F8B" w:rsidRPr="00784F93" w:rsidRDefault="00084F8B" w:rsidP="00C369E8">
      <w:pPr>
        <w:spacing w:before="120" w:after="12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Koszty likwidacji elektrowni jądrowej są pokrywane ze środków funduszu likwidacyjnego, który ma obowiązek utworzyć i zasilać wpłatami operator elektrowni jądrowej.</w:t>
      </w:r>
      <w:r>
        <w:rPr>
          <w:rStyle w:val="Odwoanieprzypisudolnego"/>
          <w:rFonts w:eastAsia="MS Mincho"/>
          <w:lang w:eastAsia="ja-JP"/>
        </w:rPr>
        <w:footnoteReference w:id="43"/>
      </w:r>
      <w:r>
        <w:rPr>
          <w:rFonts w:eastAsia="MS Mincho"/>
          <w:lang w:eastAsia="ja-JP"/>
        </w:rPr>
        <w:t xml:space="preserve">  </w:t>
      </w:r>
    </w:p>
    <w:p w14:paraId="7CFC57F3" w14:textId="77777777" w:rsidR="00084F8B" w:rsidRPr="00784F93" w:rsidRDefault="00F30EB0" w:rsidP="00C369E8">
      <w:pPr>
        <w:spacing w:before="120" w:after="12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</w:t>
      </w:r>
      <w:r w:rsidR="00084F8B">
        <w:rPr>
          <w:rFonts w:eastAsia="MS Mincho"/>
          <w:lang w:eastAsia="ja-JP"/>
        </w:rPr>
        <w:t>W</w:t>
      </w:r>
      <w:r w:rsidR="00084F8B" w:rsidRPr="00784F93">
        <w:rPr>
          <w:rFonts w:eastAsia="MS Mincho"/>
          <w:lang w:eastAsia="ja-JP"/>
        </w:rPr>
        <w:t xml:space="preserve">yróżnia </w:t>
      </w:r>
      <w:r w:rsidR="00084F8B">
        <w:rPr>
          <w:rFonts w:eastAsia="MS Mincho"/>
          <w:lang w:eastAsia="ja-JP"/>
        </w:rPr>
        <w:t xml:space="preserve">się </w:t>
      </w:r>
      <w:r>
        <w:rPr>
          <w:rFonts w:eastAsia="MS Mincho"/>
          <w:lang w:eastAsia="ja-JP"/>
        </w:rPr>
        <w:t>dwa</w:t>
      </w:r>
      <w:r w:rsidRPr="00784F93">
        <w:rPr>
          <w:rFonts w:eastAsia="MS Mincho"/>
          <w:lang w:eastAsia="ja-JP"/>
        </w:rPr>
        <w:t xml:space="preserve"> </w:t>
      </w:r>
      <w:r w:rsidR="00084F8B" w:rsidRPr="00784F93">
        <w:rPr>
          <w:rFonts w:eastAsia="MS Mincho"/>
          <w:lang w:eastAsia="ja-JP"/>
        </w:rPr>
        <w:t>typy likwidacji obiektu jądrowego</w:t>
      </w:r>
      <w:r w:rsidR="00F67746">
        <w:rPr>
          <w:rStyle w:val="Odwoanieprzypisudolnego"/>
          <w:rFonts w:eastAsia="MS Mincho"/>
          <w:lang w:eastAsia="ja-JP"/>
        </w:rPr>
        <w:footnoteReference w:id="44"/>
      </w:r>
      <w:r w:rsidR="00084F8B" w:rsidRPr="00784F93">
        <w:rPr>
          <w:rFonts w:eastAsia="MS Mincho"/>
          <w:lang w:eastAsia="ja-JP"/>
        </w:rPr>
        <w:t>:</w:t>
      </w:r>
    </w:p>
    <w:p w14:paraId="77C6F25F" w14:textId="77777777" w:rsidR="00F67746" w:rsidRDefault="00F67746" w:rsidP="006E5A9A">
      <w:pPr>
        <w:numPr>
          <w:ilvl w:val="0"/>
          <w:numId w:val="46"/>
        </w:numPr>
        <w:tabs>
          <w:tab w:val="clear" w:pos="1080"/>
          <w:tab w:val="num" w:pos="709"/>
        </w:tabs>
        <w:spacing w:before="120" w:after="120"/>
        <w:ind w:left="709" w:hanging="283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likwidacja natychmiastowa;</w:t>
      </w:r>
    </w:p>
    <w:p w14:paraId="264D1256" w14:textId="77777777" w:rsidR="00F67746" w:rsidRDefault="00F67746" w:rsidP="006E5A9A">
      <w:pPr>
        <w:numPr>
          <w:ilvl w:val="0"/>
          <w:numId w:val="46"/>
        </w:numPr>
        <w:tabs>
          <w:tab w:val="clear" w:pos="1080"/>
          <w:tab w:val="num" w:pos="709"/>
        </w:tabs>
        <w:spacing w:before="120" w:after="120"/>
        <w:ind w:left="709" w:hanging="283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likwidacja odłożona i rozłożona w czasie</w:t>
      </w:r>
      <w:r w:rsidR="00D261BE">
        <w:rPr>
          <w:rFonts w:eastAsia="MS Mincho"/>
          <w:lang w:eastAsia="ja-JP"/>
        </w:rPr>
        <w:t>.</w:t>
      </w:r>
    </w:p>
    <w:p w14:paraId="75C52F67" w14:textId="77777777" w:rsidR="00084F8B" w:rsidRPr="006261E3" w:rsidRDefault="00D261BE" w:rsidP="00C369E8">
      <w:pPr>
        <w:spacing w:before="120" w:after="120"/>
        <w:jc w:val="both"/>
        <w:rPr>
          <w:b/>
        </w:rPr>
      </w:pPr>
      <w:r>
        <w:rPr>
          <w:rFonts w:eastAsia="MS Mincho"/>
          <w:lang w:eastAsia="ja-JP"/>
        </w:rPr>
        <w:t>Przy w</w:t>
      </w:r>
      <w:r w:rsidR="00084F8B" w:rsidRPr="00784F93">
        <w:rPr>
          <w:rFonts w:eastAsia="MS Mincho"/>
          <w:lang w:eastAsia="ja-JP"/>
        </w:rPr>
        <w:t>yb</w:t>
      </w:r>
      <w:r>
        <w:rPr>
          <w:rFonts w:eastAsia="MS Mincho"/>
          <w:lang w:eastAsia="ja-JP"/>
        </w:rPr>
        <w:t>o</w:t>
      </w:r>
      <w:r w:rsidR="00084F8B" w:rsidRPr="00784F93">
        <w:rPr>
          <w:rFonts w:eastAsia="MS Mincho"/>
          <w:lang w:eastAsia="ja-JP"/>
        </w:rPr>
        <w:t>r</w:t>
      </w:r>
      <w:r>
        <w:rPr>
          <w:rFonts w:eastAsia="MS Mincho"/>
          <w:lang w:eastAsia="ja-JP"/>
        </w:rPr>
        <w:t>ze</w:t>
      </w:r>
      <w:r w:rsidR="00084F8B" w:rsidRPr="00784F93">
        <w:rPr>
          <w:rFonts w:eastAsia="MS Mincho"/>
          <w:lang w:eastAsia="ja-JP"/>
        </w:rPr>
        <w:t xml:space="preserve"> strategii likwidacyjnej </w:t>
      </w:r>
      <w:r>
        <w:rPr>
          <w:rFonts w:eastAsia="MS Mincho"/>
          <w:lang w:eastAsia="ja-JP"/>
        </w:rPr>
        <w:t>uwzględnia</w:t>
      </w:r>
      <w:r w:rsidRPr="00784F9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się </w:t>
      </w:r>
      <w:r w:rsidR="00084F8B" w:rsidRPr="00784F93">
        <w:rPr>
          <w:rFonts w:eastAsia="MS Mincho"/>
          <w:lang w:eastAsia="ja-JP"/>
        </w:rPr>
        <w:t xml:space="preserve">m.in. </w:t>
      </w:r>
      <w:r>
        <w:rPr>
          <w:rFonts w:eastAsia="MS Mincho"/>
          <w:lang w:eastAsia="ja-JP"/>
        </w:rPr>
        <w:t>względy</w:t>
      </w:r>
      <w:r w:rsidR="00DD1AAA">
        <w:rPr>
          <w:rFonts w:eastAsia="MS Mincho"/>
          <w:lang w:eastAsia="ja-JP"/>
        </w:rPr>
        <w:t xml:space="preserve"> bezpieczeństwa jądrowego i </w:t>
      </w:r>
      <w:r>
        <w:rPr>
          <w:rFonts w:eastAsia="MS Mincho"/>
          <w:lang w:eastAsia="ja-JP"/>
        </w:rPr>
        <w:t xml:space="preserve">ochrony radiologicznej, współzależności pomiędzy budowlami, budynkami i instalacjami na terenie </w:t>
      </w:r>
      <w:r w:rsidR="00DD1AAA">
        <w:rPr>
          <w:rFonts w:eastAsia="MS Mincho"/>
          <w:lang w:eastAsia="ja-JP"/>
        </w:rPr>
        <w:t xml:space="preserve">obiektu jądrowego, możliwe obciążenia dla przyszłych pokoleń, czy też możliwą z upływem czasu utratę wiedzy i kompetencji w zakresie stanu obiektu jądrowego i jego likwidacji. </w:t>
      </w:r>
      <w:r w:rsidR="00084F8B" w:rsidRPr="006261E3">
        <w:t xml:space="preserve">Polska ma doświadczenie w likwidacji obiektów jądrowych. W </w:t>
      </w:r>
      <w:r w:rsidR="00084F8B" w:rsidRPr="000A30E9">
        <w:rPr>
          <w:rFonts w:cs="Arial"/>
        </w:rPr>
        <w:t xml:space="preserve">1997 r. </w:t>
      </w:r>
      <w:r w:rsidR="00084F8B">
        <w:rPr>
          <w:rFonts w:cs="Arial"/>
        </w:rPr>
        <w:t>r</w:t>
      </w:r>
      <w:r w:rsidR="00084F8B" w:rsidRPr="000A30E9">
        <w:rPr>
          <w:rFonts w:cs="Arial"/>
        </w:rPr>
        <w:t xml:space="preserve">ozpoczęto likwidację reaktora </w:t>
      </w:r>
      <w:r w:rsidR="00084F8B">
        <w:rPr>
          <w:rFonts w:cs="Arial"/>
        </w:rPr>
        <w:t>EWA. Do</w:t>
      </w:r>
      <w:r w:rsidR="00084F8B" w:rsidRPr="000A30E9">
        <w:rPr>
          <w:rFonts w:cs="Arial"/>
        </w:rPr>
        <w:t xml:space="preserve"> 2002 r</w:t>
      </w:r>
      <w:r w:rsidR="00084F8B">
        <w:rPr>
          <w:rFonts w:cs="Arial"/>
        </w:rPr>
        <w:t>.</w:t>
      </w:r>
      <w:r w:rsidR="00084F8B" w:rsidRPr="000A30E9">
        <w:rPr>
          <w:rFonts w:cs="Arial"/>
        </w:rPr>
        <w:t xml:space="preserve"> dokonano usunięcia paliwa jądrowego oraz wszystkich substancji promieniotwórczych, których poziom aktywności </w:t>
      </w:r>
      <w:r w:rsidR="00084F8B">
        <w:rPr>
          <w:rFonts w:cs="Arial"/>
        </w:rPr>
        <w:t>ma</w:t>
      </w:r>
      <w:r w:rsidR="00084F8B" w:rsidRPr="000A30E9">
        <w:rPr>
          <w:rFonts w:cs="Arial"/>
        </w:rPr>
        <w:t xml:space="preserve"> znaczenie z punktu widzenia ochrony radiologicznej. Dalsze prace wstrzymano</w:t>
      </w:r>
      <w:r w:rsidR="00084F8B" w:rsidRPr="006261E3">
        <w:rPr>
          <w:rFonts w:cs="Arial"/>
        </w:rPr>
        <w:t xml:space="preserve">, nie przewidując obecnie </w:t>
      </w:r>
      <w:r w:rsidR="00084F8B">
        <w:rPr>
          <w:rFonts w:cs="Arial"/>
        </w:rPr>
        <w:t>całkowitej rozbiórki korpusu reaktora.</w:t>
      </w:r>
    </w:p>
    <w:p w14:paraId="28B86B2B" w14:textId="52B8E4E8" w:rsidR="00084F8B" w:rsidRDefault="00084F8B" w:rsidP="00992E79">
      <w:pPr>
        <w:spacing w:before="120" w:after="120"/>
        <w:jc w:val="both"/>
      </w:pPr>
      <w:r>
        <w:t xml:space="preserve">Kolejnym zadaniem w tym zakresie </w:t>
      </w:r>
      <w:r w:rsidRPr="00784F93">
        <w:t>będzie likwidacja reaktora badawczego MARIA</w:t>
      </w:r>
      <w:r>
        <w:t xml:space="preserve">, po jego wycofaniu z eksploatacji, co jest spodziewane za ok. </w:t>
      </w:r>
      <w:r w:rsidR="003A36BC">
        <w:t>20-</w:t>
      </w:r>
      <w:r>
        <w:t>30 lat</w:t>
      </w:r>
      <w:r w:rsidRPr="00784F93">
        <w:t>.</w:t>
      </w:r>
    </w:p>
    <w:p w14:paraId="45F42810" w14:textId="77777777" w:rsidR="00084F8B" w:rsidRDefault="00084F8B" w:rsidP="00992E79">
      <w:pPr>
        <w:spacing w:before="120" w:after="120"/>
        <w:jc w:val="both"/>
      </w:pPr>
      <w:r>
        <w:br w:type="page"/>
      </w:r>
    </w:p>
    <w:p w14:paraId="42B1C6AD" w14:textId="77777777" w:rsidR="00084F8B" w:rsidRPr="00800F6F" w:rsidRDefault="00084F8B" w:rsidP="002A6705">
      <w:pPr>
        <w:pStyle w:val="Nagwek1"/>
        <w:spacing w:before="240" w:after="240"/>
        <w:jc w:val="both"/>
      </w:pPr>
      <w:bookmarkStart w:id="136" w:name="_Toc397697036"/>
      <w:bookmarkStart w:id="137" w:name="_Toc424116732"/>
      <w:r w:rsidRPr="00800F6F">
        <w:lastRenderedPageBreak/>
        <w:t>Rozdział 5. Zamknięcie składowiska powierzchniowego</w:t>
      </w:r>
      <w:bookmarkEnd w:id="136"/>
      <w:r w:rsidRPr="00800F6F">
        <w:t xml:space="preserve"> </w:t>
      </w:r>
      <w:r>
        <w:t>odpadów promieniotwórczych</w:t>
      </w:r>
      <w:bookmarkEnd w:id="137"/>
    </w:p>
    <w:p w14:paraId="391FC506" w14:textId="77777777" w:rsidR="00084F8B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Zamknięcie</w:t>
      </w:r>
      <w:r w:rsidRPr="00694D2C">
        <w:rPr>
          <w:color w:val="000000"/>
        </w:rPr>
        <w:t xml:space="preserve"> </w:t>
      </w:r>
      <w:r>
        <w:rPr>
          <w:color w:val="000000"/>
        </w:rPr>
        <w:t xml:space="preserve">składowiska </w:t>
      </w:r>
      <w:r w:rsidRPr="00694D2C">
        <w:rPr>
          <w:color w:val="000000"/>
        </w:rPr>
        <w:t xml:space="preserve">oznacza zaprzestanie dostarczania </w:t>
      </w:r>
      <w:r>
        <w:rPr>
          <w:color w:val="000000"/>
        </w:rPr>
        <w:t xml:space="preserve">na nie </w:t>
      </w:r>
      <w:r w:rsidRPr="00694D2C">
        <w:rPr>
          <w:color w:val="000000"/>
        </w:rPr>
        <w:t xml:space="preserve">odpadów promieniotwórczych </w:t>
      </w:r>
      <w:r>
        <w:rPr>
          <w:color w:val="000000"/>
        </w:rPr>
        <w:t xml:space="preserve">oraz podjęcie działań zmierzających do zabezpieczenia składowiska </w:t>
      </w:r>
      <w:r w:rsidRPr="003309A0">
        <w:rPr>
          <w:color w:val="000000"/>
        </w:rPr>
        <w:t>przed</w:t>
      </w:r>
      <w:r>
        <w:rPr>
          <w:color w:val="000000"/>
        </w:rPr>
        <w:t>:</w:t>
      </w:r>
    </w:p>
    <w:p w14:paraId="12D6396B" w14:textId="77777777" w:rsidR="00084F8B" w:rsidRDefault="00084F8B" w:rsidP="006E5A9A">
      <w:pPr>
        <w:widowControl w:val="0"/>
        <w:numPr>
          <w:ilvl w:val="1"/>
          <w:numId w:val="54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3309A0">
        <w:rPr>
          <w:color w:val="000000"/>
        </w:rPr>
        <w:t>infiltracją wód opadowych</w:t>
      </w:r>
      <w:r>
        <w:rPr>
          <w:color w:val="000000"/>
        </w:rPr>
        <w:t>;</w:t>
      </w:r>
      <w:r w:rsidRPr="003309A0">
        <w:rPr>
          <w:color w:val="000000"/>
        </w:rPr>
        <w:t xml:space="preserve"> </w:t>
      </w:r>
    </w:p>
    <w:p w14:paraId="3F65873A" w14:textId="77777777" w:rsidR="00084F8B" w:rsidRDefault="00084F8B" w:rsidP="006E5A9A">
      <w:pPr>
        <w:widowControl w:val="0"/>
        <w:numPr>
          <w:ilvl w:val="1"/>
          <w:numId w:val="54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3309A0">
        <w:rPr>
          <w:color w:val="000000"/>
        </w:rPr>
        <w:t xml:space="preserve">nieświadomą penetracją </w:t>
      </w:r>
      <w:r>
        <w:rPr>
          <w:color w:val="000000"/>
        </w:rPr>
        <w:t xml:space="preserve">przez </w:t>
      </w:r>
      <w:r w:rsidRPr="003309A0">
        <w:rPr>
          <w:color w:val="000000"/>
        </w:rPr>
        <w:t>człowieka</w:t>
      </w:r>
      <w:r>
        <w:rPr>
          <w:color w:val="000000"/>
        </w:rPr>
        <w:t>;</w:t>
      </w:r>
      <w:r w:rsidRPr="003309A0">
        <w:rPr>
          <w:color w:val="000000"/>
        </w:rPr>
        <w:t xml:space="preserve"> </w:t>
      </w:r>
    </w:p>
    <w:p w14:paraId="35018F3E" w14:textId="77777777" w:rsidR="00084F8B" w:rsidRDefault="00084F8B" w:rsidP="006E5A9A">
      <w:pPr>
        <w:widowControl w:val="0"/>
        <w:numPr>
          <w:ilvl w:val="1"/>
          <w:numId w:val="54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3309A0">
        <w:rPr>
          <w:color w:val="000000"/>
        </w:rPr>
        <w:t>niszczącym działaniem roślin</w:t>
      </w:r>
      <w:r>
        <w:rPr>
          <w:color w:val="000000"/>
        </w:rPr>
        <w:t xml:space="preserve"> </w:t>
      </w:r>
      <w:r w:rsidRPr="003309A0">
        <w:rPr>
          <w:color w:val="000000"/>
        </w:rPr>
        <w:t xml:space="preserve">i zwierząt. </w:t>
      </w:r>
    </w:p>
    <w:p w14:paraId="17E108D4" w14:textId="77777777" w:rsidR="00084F8B" w:rsidRDefault="00084F8B" w:rsidP="002E58C9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3309A0">
        <w:rPr>
          <w:color w:val="000000"/>
        </w:rPr>
        <w:t>Celem tych działań jest</w:t>
      </w:r>
      <w:r>
        <w:rPr>
          <w:color w:val="000000"/>
        </w:rPr>
        <w:t xml:space="preserve"> </w:t>
      </w:r>
      <w:r w:rsidRPr="003309A0">
        <w:rPr>
          <w:color w:val="000000"/>
        </w:rPr>
        <w:t>zapewnienie skutecznej</w:t>
      </w:r>
      <w:r>
        <w:rPr>
          <w:color w:val="000000"/>
        </w:rPr>
        <w:t xml:space="preserve"> i długotrwałej</w:t>
      </w:r>
      <w:r w:rsidRPr="003309A0">
        <w:rPr>
          <w:color w:val="000000"/>
        </w:rPr>
        <w:t xml:space="preserve"> izolacji składowanych odpadów promieniot</w:t>
      </w:r>
      <w:r>
        <w:rPr>
          <w:color w:val="000000"/>
        </w:rPr>
        <w:t xml:space="preserve">wórczych od środowiska i ludzi. </w:t>
      </w:r>
    </w:p>
    <w:p w14:paraId="2F1C758C" w14:textId="3C4FC645" w:rsidR="00084F8B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Pierwszym składowiskiem odpadów promieniotwórczych, jakie zostanie zamknięte w Polsce będzie </w:t>
      </w:r>
      <w:r w:rsidRPr="00784F93">
        <w:rPr>
          <w:color w:val="000000"/>
        </w:rPr>
        <w:t>KSOP w</w:t>
      </w:r>
      <w:r>
        <w:rPr>
          <w:color w:val="000000"/>
        </w:rPr>
        <w:t> </w:t>
      </w:r>
      <w:r w:rsidRPr="00784F93">
        <w:rPr>
          <w:color w:val="000000"/>
        </w:rPr>
        <w:t>Różanie</w:t>
      </w:r>
      <w:r>
        <w:rPr>
          <w:color w:val="000000"/>
        </w:rPr>
        <w:t xml:space="preserve"> (po ponad 60-ciu latach funkcjonowania). </w:t>
      </w:r>
    </w:p>
    <w:p w14:paraId="71D64F1A" w14:textId="77777777" w:rsidR="00084F8B" w:rsidRDefault="00084F8B" w:rsidP="000A43EA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3309A0">
        <w:rPr>
          <w:color w:val="000000"/>
        </w:rPr>
        <w:t xml:space="preserve">W celu zachowania wiedzy </w:t>
      </w:r>
      <w:r>
        <w:rPr>
          <w:color w:val="000000"/>
        </w:rPr>
        <w:t xml:space="preserve">na temat </w:t>
      </w:r>
      <w:r w:rsidRPr="003309A0">
        <w:rPr>
          <w:color w:val="000000"/>
        </w:rPr>
        <w:t>składowiska i składowanych w nim odpadów promieniotwórczych dla przyszłych generacji</w:t>
      </w:r>
      <w:r>
        <w:rPr>
          <w:color w:val="000000"/>
        </w:rPr>
        <w:t>,</w:t>
      </w:r>
      <w:r w:rsidRPr="003309A0">
        <w:rPr>
          <w:color w:val="000000"/>
        </w:rPr>
        <w:t xml:space="preserve"> </w:t>
      </w:r>
      <w:r>
        <w:rPr>
          <w:color w:val="000000"/>
        </w:rPr>
        <w:t xml:space="preserve">zostaną </w:t>
      </w:r>
      <w:r w:rsidRPr="003309A0">
        <w:rPr>
          <w:color w:val="000000"/>
        </w:rPr>
        <w:t xml:space="preserve">sporządzone </w:t>
      </w:r>
      <w:r>
        <w:rPr>
          <w:color w:val="000000"/>
        </w:rPr>
        <w:t>i przekazane do wieczystego przechowania</w:t>
      </w:r>
      <w:r w:rsidRPr="003309A0">
        <w:rPr>
          <w:color w:val="000000"/>
        </w:rPr>
        <w:t xml:space="preserve"> rejestry danych</w:t>
      </w:r>
      <w:r>
        <w:rPr>
          <w:color w:val="000000"/>
        </w:rPr>
        <w:t xml:space="preserve">. </w:t>
      </w:r>
    </w:p>
    <w:p w14:paraId="45A59114" w14:textId="77777777" w:rsidR="00084F8B" w:rsidRPr="007A1FA8" w:rsidRDefault="00084F8B" w:rsidP="008D5796">
      <w:pPr>
        <w:pStyle w:val="Nagwek2"/>
      </w:pPr>
      <w:bookmarkStart w:id="138" w:name="_Toc397697037"/>
      <w:bookmarkStart w:id="139" w:name="_Toc424116733"/>
      <w:r>
        <w:t>5</w:t>
      </w:r>
      <w:r w:rsidRPr="007A1FA8">
        <w:t xml:space="preserve">.1. </w:t>
      </w:r>
      <w:r>
        <w:t>Działania przygotowawcze poprzedzające zamknięcie Składowiska i jego zamknięcie</w:t>
      </w:r>
      <w:bookmarkEnd w:id="138"/>
      <w:bookmarkEnd w:id="139"/>
    </w:p>
    <w:p w14:paraId="7BBB972F" w14:textId="77777777" w:rsidR="00084F8B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rPr>
          <w:color w:val="000000"/>
        </w:rPr>
      </w:pPr>
      <w:r>
        <w:rPr>
          <w:color w:val="000000"/>
        </w:rPr>
        <w:t>Stosowne rozwiązania, umożliwiające zamknięcie składowiska, muszą być zawarte w jego projekcie</w:t>
      </w:r>
      <w:r>
        <w:rPr>
          <w:rStyle w:val="Odwoanieprzypisudolnego"/>
          <w:color w:val="000000"/>
        </w:rPr>
        <w:footnoteReference w:id="45"/>
      </w:r>
      <w:r>
        <w:rPr>
          <w:color w:val="000000"/>
        </w:rPr>
        <w:t xml:space="preserve">. </w:t>
      </w:r>
    </w:p>
    <w:p w14:paraId="66A3EDFE" w14:textId="77777777" w:rsidR="00084F8B" w:rsidRDefault="00084F8B" w:rsidP="00C87B85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>Program zamknięcia składowiska jest przygotowywany przez jego operatora i przedkładany do zatwierdzenia Prezesowi PAA wraz z wnioskiem o zezwolenie na budowę lub eksploatację składowiska</w:t>
      </w:r>
      <w:r>
        <w:rPr>
          <w:rStyle w:val="Odwoanieprzypisudolnego"/>
          <w:color w:val="000000"/>
        </w:rPr>
        <w:footnoteReference w:id="46"/>
      </w:r>
      <w:r>
        <w:rPr>
          <w:color w:val="000000"/>
        </w:rPr>
        <w:t>. Program ten podlega aktualizacji nie rzadziej niż raz na 15 lat</w:t>
      </w:r>
      <w:r>
        <w:rPr>
          <w:rStyle w:val="Odwoanieprzypisudolnego"/>
          <w:color w:val="000000"/>
        </w:rPr>
        <w:footnoteReference w:id="47"/>
      </w:r>
      <w:r>
        <w:rPr>
          <w:color w:val="000000"/>
        </w:rPr>
        <w:t xml:space="preserve"> i jest zatwierdzany przez Prezesa PAA.</w:t>
      </w:r>
    </w:p>
    <w:p w14:paraId="39EE164B" w14:textId="77777777" w:rsidR="00084F8B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>Składowisko jest zamykane zgodnie z zezwoleniem na zamknięcie wydanym przez Prezesa PAA</w:t>
      </w:r>
      <w:r w:rsidR="00D27BB7">
        <w:rPr>
          <w:color w:val="000000"/>
        </w:rPr>
        <w:t xml:space="preserve"> oraz wdrożonym zintegrowanym systemem zarządzania</w:t>
      </w:r>
      <w:r>
        <w:rPr>
          <w:color w:val="000000"/>
        </w:rPr>
        <w:t>. Po zamknięciu operator składowiska sporządza raport z zamknięcia składowiska i przedkłada go do zatwierdzenia Prezesowi PAA.</w:t>
      </w:r>
    </w:p>
    <w:p w14:paraId="7DDA2019" w14:textId="77777777" w:rsidR="00084F8B" w:rsidRPr="007A1FA8" w:rsidRDefault="00084F8B" w:rsidP="008D5796">
      <w:pPr>
        <w:pStyle w:val="Nagwek2"/>
      </w:pPr>
      <w:bookmarkStart w:id="140" w:name="_Toc397697038"/>
      <w:bookmarkStart w:id="141" w:name="_Toc424116734"/>
      <w:r>
        <w:t>5</w:t>
      </w:r>
      <w:r w:rsidRPr="007A1FA8">
        <w:t>.2. Długo</w:t>
      </w:r>
      <w:r>
        <w:t>okresowy</w:t>
      </w:r>
      <w:r w:rsidRPr="007A1FA8">
        <w:t xml:space="preserve"> monitoring po zamknięciu składowiska</w:t>
      </w:r>
      <w:bookmarkEnd w:id="140"/>
      <w:bookmarkEnd w:id="141"/>
    </w:p>
    <w:p w14:paraId="340E4BA7" w14:textId="77777777" w:rsidR="00084F8B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 w:rsidRPr="003309A0">
        <w:rPr>
          <w:color w:val="000000"/>
        </w:rPr>
        <w:t xml:space="preserve">Monitoring to obserwacja </w:t>
      </w:r>
      <w:r>
        <w:rPr>
          <w:color w:val="000000"/>
        </w:rPr>
        <w:t xml:space="preserve">stanu </w:t>
      </w:r>
      <w:r w:rsidRPr="003309A0">
        <w:rPr>
          <w:color w:val="000000"/>
        </w:rPr>
        <w:t xml:space="preserve">zachowania składowiska </w:t>
      </w:r>
      <w:r>
        <w:rPr>
          <w:color w:val="000000"/>
        </w:rPr>
        <w:t>oraz</w:t>
      </w:r>
      <w:r w:rsidRPr="003309A0">
        <w:rPr>
          <w:color w:val="000000"/>
        </w:rPr>
        <w:t xml:space="preserve"> jego wpływu na środowisko, za pośrednictwem stałych lub okresowych obserwacji i pomiarów parametrów inżynieryjnych, środowiskowych i radi</w:t>
      </w:r>
      <w:r>
        <w:rPr>
          <w:color w:val="000000"/>
        </w:rPr>
        <w:t>acyjnych oraz konserwacja zabezpieczeń</w:t>
      </w:r>
      <w:r w:rsidRPr="003309A0">
        <w:rPr>
          <w:color w:val="000000"/>
        </w:rPr>
        <w:t>.</w:t>
      </w:r>
    </w:p>
    <w:p w14:paraId="23792727" w14:textId="77777777" w:rsidR="00084F8B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Plan monitoringu obszaru składowiska i jego otoczenia z uwzględnieniem charakterystyki odpadów, uwzględniający jego okres jest elementem programu zamknięcia składowiska, który zatwierdzany jest przez Prezesa PAA. </w:t>
      </w:r>
    </w:p>
    <w:p w14:paraId="79DFC2B4" w14:textId="77777777" w:rsidR="00084F8B" w:rsidRPr="003309A0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3309A0">
        <w:rPr>
          <w:color w:val="000000"/>
        </w:rPr>
        <w:t xml:space="preserve">Teren </w:t>
      </w:r>
      <w:r>
        <w:rPr>
          <w:color w:val="000000"/>
        </w:rPr>
        <w:t>monitorowanego składowiska jest</w:t>
      </w:r>
      <w:r w:rsidRPr="003309A0">
        <w:rPr>
          <w:color w:val="000000"/>
        </w:rPr>
        <w:t xml:space="preserve"> </w:t>
      </w:r>
      <w:r>
        <w:rPr>
          <w:color w:val="000000"/>
        </w:rPr>
        <w:t>odpowiednio oznaczony i niedostępny</w:t>
      </w:r>
      <w:r w:rsidRPr="003309A0">
        <w:rPr>
          <w:color w:val="000000"/>
        </w:rPr>
        <w:t xml:space="preserve"> dla osób nieupoważnionych</w:t>
      </w:r>
      <w:r>
        <w:rPr>
          <w:color w:val="000000"/>
        </w:rPr>
        <w:t>.</w:t>
      </w:r>
    </w:p>
    <w:p w14:paraId="183D74CB" w14:textId="77777777" w:rsidR="00084F8B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3309A0">
        <w:rPr>
          <w:color w:val="000000"/>
        </w:rPr>
        <w:t xml:space="preserve"> </w:t>
      </w:r>
    </w:p>
    <w:p w14:paraId="08B65DE6" w14:textId="77777777" w:rsidR="00084F8B" w:rsidRPr="007A1FA8" w:rsidRDefault="00084F8B" w:rsidP="008D5796">
      <w:pPr>
        <w:pStyle w:val="Nagwek2"/>
      </w:pPr>
      <w:bookmarkStart w:id="142" w:name="_Toc397697039"/>
      <w:bookmarkStart w:id="143" w:name="_Toc424116735"/>
      <w:r>
        <w:t>5</w:t>
      </w:r>
      <w:r w:rsidRPr="007A1FA8">
        <w:t>.3. Zachowanie wiedzy o składowisku</w:t>
      </w:r>
      <w:bookmarkEnd w:id="142"/>
      <w:bookmarkEnd w:id="143"/>
    </w:p>
    <w:p w14:paraId="573D0556" w14:textId="77777777" w:rsidR="00084F8B" w:rsidRPr="003309A0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 w:rsidRPr="003309A0">
        <w:rPr>
          <w:color w:val="000000"/>
        </w:rPr>
        <w:t>W celu zachowania wiedzy n</w:t>
      </w:r>
      <w:r>
        <w:rPr>
          <w:color w:val="000000"/>
        </w:rPr>
        <w:t xml:space="preserve">a </w:t>
      </w:r>
      <w:r w:rsidRPr="003309A0">
        <w:rPr>
          <w:color w:val="000000"/>
        </w:rPr>
        <w:t>t</w:t>
      </w:r>
      <w:r>
        <w:rPr>
          <w:color w:val="000000"/>
        </w:rPr>
        <w:t>emat</w:t>
      </w:r>
      <w:r w:rsidRPr="003309A0">
        <w:rPr>
          <w:color w:val="000000"/>
        </w:rPr>
        <w:t xml:space="preserve"> składowiska, jego konstrukcji, składowanych odpadów, systemów </w:t>
      </w:r>
      <w:r w:rsidRPr="003309A0">
        <w:rPr>
          <w:color w:val="000000"/>
        </w:rPr>
        <w:lastRenderedPageBreak/>
        <w:t>monitoringu</w:t>
      </w:r>
      <w:r>
        <w:rPr>
          <w:color w:val="000000"/>
        </w:rPr>
        <w:t xml:space="preserve"> i</w:t>
      </w:r>
      <w:r w:rsidRPr="003309A0">
        <w:rPr>
          <w:color w:val="000000"/>
        </w:rPr>
        <w:t xml:space="preserve"> danych z pomiarów, zostaną sporządzone rejestry danych.</w:t>
      </w:r>
    </w:p>
    <w:p w14:paraId="5B02AAB4" w14:textId="77777777" w:rsidR="00084F8B" w:rsidRPr="003309A0" w:rsidRDefault="00084F8B" w:rsidP="00C87B85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3309A0">
        <w:rPr>
          <w:color w:val="000000"/>
        </w:rPr>
        <w:t xml:space="preserve">Rejestry danych zostaną sporządzone </w:t>
      </w:r>
      <w:r>
        <w:rPr>
          <w:color w:val="000000"/>
        </w:rPr>
        <w:t>w formie papierowej (</w:t>
      </w:r>
      <w:r w:rsidRPr="003309A0">
        <w:rPr>
          <w:color w:val="000000"/>
        </w:rPr>
        <w:t>na papierze trwałym</w:t>
      </w:r>
      <w:r>
        <w:rPr>
          <w:color w:val="000000"/>
        </w:rPr>
        <w:t>)</w:t>
      </w:r>
      <w:r w:rsidRPr="003309A0">
        <w:rPr>
          <w:color w:val="000000"/>
        </w:rPr>
        <w:t xml:space="preserve"> oraz na nośnikach elektronicznych, umożliwiających </w:t>
      </w:r>
      <w:r>
        <w:rPr>
          <w:color w:val="000000"/>
        </w:rPr>
        <w:t xml:space="preserve">ich </w:t>
      </w:r>
      <w:r w:rsidRPr="003309A0">
        <w:rPr>
          <w:color w:val="000000"/>
        </w:rPr>
        <w:t xml:space="preserve">przenoszenie na różne systemy zapisu danych, stosownie do rozwoju technologicznego. </w:t>
      </w:r>
    </w:p>
    <w:p w14:paraId="105B9BE7" w14:textId="77777777" w:rsidR="00084F8B" w:rsidRPr="003309A0" w:rsidRDefault="00084F8B" w:rsidP="002B35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3309A0">
        <w:rPr>
          <w:color w:val="000000"/>
        </w:rPr>
        <w:t xml:space="preserve">Kopie rejestrów danych </w:t>
      </w:r>
      <w:r>
        <w:rPr>
          <w:color w:val="000000"/>
        </w:rPr>
        <w:t>zostaną przekazane do wieczystego przechowania do następujących instytucji</w:t>
      </w:r>
      <w:r w:rsidRPr="003309A0">
        <w:rPr>
          <w:color w:val="000000"/>
        </w:rPr>
        <w:t>:</w:t>
      </w:r>
    </w:p>
    <w:p w14:paraId="25789E99" w14:textId="77777777" w:rsidR="00084F8B" w:rsidRPr="003309A0" w:rsidRDefault="00084F8B" w:rsidP="002B04C7">
      <w:pPr>
        <w:widowControl w:val="0"/>
        <w:numPr>
          <w:ilvl w:val="0"/>
          <w:numId w:val="56"/>
        </w:numPr>
        <w:autoSpaceDE w:val="0"/>
        <w:autoSpaceDN w:val="0"/>
        <w:adjustRightInd w:val="0"/>
        <w:ind w:left="1077" w:hanging="357"/>
        <w:jc w:val="both"/>
        <w:rPr>
          <w:color w:val="000000"/>
        </w:rPr>
      </w:pPr>
      <w:r>
        <w:rPr>
          <w:color w:val="000000"/>
        </w:rPr>
        <w:t>ZUOP;</w:t>
      </w:r>
    </w:p>
    <w:p w14:paraId="1F691778" w14:textId="77777777" w:rsidR="00084F8B" w:rsidRPr="003309A0" w:rsidRDefault="00760A6B" w:rsidP="002B04C7">
      <w:pPr>
        <w:widowControl w:val="0"/>
        <w:numPr>
          <w:ilvl w:val="0"/>
          <w:numId w:val="56"/>
        </w:numPr>
        <w:autoSpaceDE w:val="0"/>
        <w:autoSpaceDN w:val="0"/>
        <w:adjustRightInd w:val="0"/>
        <w:ind w:left="1077" w:hanging="357"/>
        <w:jc w:val="both"/>
        <w:rPr>
          <w:color w:val="000000"/>
        </w:rPr>
      </w:pPr>
      <w:r>
        <w:rPr>
          <w:color w:val="000000"/>
        </w:rPr>
        <w:t>PAA</w:t>
      </w:r>
      <w:r w:rsidR="00084F8B">
        <w:rPr>
          <w:color w:val="000000"/>
        </w:rPr>
        <w:t>;</w:t>
      </w:r>
    </w:p>
    <w:p w14:paraId="1DB61FCD" w14:textId="77777777" w:rsidR="00084F8B" w:rsidRDefault="00760A6B" w:rsidP="002B04C7">
      <w:pPr>
        <w:widowControl w:val="0"/>
        <w:numPr>
          <w:ilvl w:val="0"/>
          <w:numId w:val="56"/>
        </w:numPr>
        <w:autoSpaceDE w:val="0"/>
        <w:autoSpaceDN w:val="0"/>
        <w:adjustRightInd w:val="0"/>
        <w:ind w:left="1077" w:hanging="357"/>
        <w:jc w:val="both"/>
        <w:rPr>
          <w:color w:val="000000"/>
        </w:rPr>
      </w:pPr>
      <w:r>
        <w:rPr>
          <w:color w:val="000000"/>
        </w:rPr>
        <w:t>U</w:t>
      </w:r>
      <w:r w:rsidR="00084F8B" w:rsidRPr="003309A0">
        <w:rPr>
          <w:color w:val="000000"/>
        </w:rPr>
        <w:t>rz</w:t>
      </w:r>
      <w:r>
        <w:rPr>
          <w:color w:val="000000"/>
        </w:rPr>
        <w:t xml:space="preserve">ędu </w:t>
      </w:r>
      <w:r w:rsidR="00084F8B">
        <w:rPr>
          <w:color w:val="000000"/>
        </w:rPr>
        <w:t>g</w:t>
      </w:r>
      <w:r w:rsidR="00084F8B" w:rsidRPr="003309A0">
        <w:rPr>
          <w:color w:val="000000"/>
        </w:rPr>
        <w:t>miny, w której</w:t>
      </w:r>
      <w:r w:rsidR="00084F8B">
        <w:rPr>
          <w:color w:val="000000"/>
        </w:rPr>
        <w:t xml:space="preserve"> znajduje się monitorowane składowisko;</w:t>
      </w:r>
    </w:p>
    <w:p w14:paraId="6EEEC0B4" w14:textId="77777777" w:rsidR="00084F8B" w:rsidRPr="00AF7FEC" w:rsidRDefault="00084F8B" w:rsidP="00AF7FEC">
      <w:pPr>
        <w:widowControl w:val="0"/>
        <w:numPr>
          <w:ilvl w:val="0"/>
          <w:numId w:val="56"/>
        </w:numPr>
        <w:autoSpaceDE w:val="0"/>
        <w:autoSpaceDN w:val="0"/>
        <w:adjustRightInd w:val="0"/>
        <w:ind w:left="1077" w:hanging="357"/>
        <w:jc w:val="both"/>
        <w:rPr>
          <w:color w:val="000000"/>
        </w:rPr>
      </w:pPr>
      <w:r w:rsidRPr="00AF7FEC">
        <w:rPr>
          <w:color w:val="000000"/>
        </w:rPr>
        <w:t>Archiwum Państwowe</w:t>
      </w:r>
      <w:r w:rsidR="00760A6B">
        <w:rPr>
          <w:color w:val="000000"/>
        </w:rPr>
        <w:t>go</w:t>
      </w:r>
      <w:r>
        <w:rPr>
          <w:color w:val="000000"/>
        </w:rPr>
        <w:t>.</w:t>
      </w:r>
    </w:p>
    <w:p w14:paraId="5863B34C" w14:textId="77777777" w:rsidR="00084F8B" w:rsidRDefault="00084F8B" w:rsidP="00A63F7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3E258D5" w14:textId="77777777" w:rsidR="00084F8B" w:rsidRDefault="00084F8B" w:rsidP="00A63F7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D769E46" w14:textId="77777777" w:rsidR="00084F8B" w:rsidRDefault="00084F8B" w:rsidP="00A63F7E">
      <w:pPr>
        <w:widowControl w:val="0"/>
        <w:autoSpaceDE w:val="0"/>
        <w:autoSpaceDN w:val="0"/>
        <w:adjustRightInd w:val="0"/>
        <w:jc w:val="both"/>
        <w:rPr>
          <w:color w:val="000000"/>
        </w:rPr>
        <w:sectPr w:rsidR="00084F8B" w:rsidSect="00596CB4">
          <w:footerReference w:type="even" r:id="rId29"/>
          <w:footerReference w:type="default" r:id="rId30"/>
          <w:pgSz w:w="11906" w:h="16838"/>
          <w:pgMar w:top="1418" w:right="1418" w:bottom="1701" w:left="1418" w:header="709" w:footer="709" w:gutter="0"/>
          <w:cols w:space="708"/>
          <w:rtlGutter/>
          <w:docGrid w:linePitch="360"/>
        </w:sectPr>
      </w:pPr>
    </w:p>
    <w:p w14:paraId="7EF0A0FF" w14:textId="77777777" w:rsidR="00084F8B" w:rsidRPr="00EA0483" w:rsidRDefault="00084F8B" w:rsidP="0008240A">
      <w:pPr>
        <w:pStyle w:val="Nagwek1"/>
        <w:spacing w:before="240"/>
        <w:rPr>
          <w:rFonts w:cs="Calibri"/>
        </w:rPr>
      </w:pPr>
      <w:bookmarkStart w:id="144" w:name="_Toc397697040"/>
      <w:bookmarkStart w:id="145" w:name="_Toc424116736"/>
      <w:r w:rsidRPr="00EA0483">
        <w:rPr>
          <w:rFonts w:cs="Calibri"/>
        </w:rPr>
        <w:lastRenderedPageBreak/>
        <w:t>Rozdział 6. Badania i rozwój w zakresie postępowania</w:t>
      </w:r>
      <w:r w:rsidRPr="00EA0483">
        <w:rPr>
          <w:rFonts w:eastAsia="MS Mincho" w:cs="Calibri"/>
        </w:rPr>
        <w:t xml:space="preserve"> z odpadami promieniotwórczymi i wypalonym paliwem</w:t>
      </w:r>
      <w:r w:rsidRPr="00EA0483">
        <w:rPr>
          <w:rFonts w:cs="Calibri"/>
        </w:rPr>
        <w:t xml:space="preserve"> jądrowym</w:t>
      </w:r>
      <w:bookmarkEnd w:id="144"/>
      <w:bookmarkEnd w:id="145"/>
    </w:p>
    <w:p w14:paraId="705D49F3" w14:textId="77777777" w:rsidR="00084F8B" w:rsidRDefault="00084F8B" w:rsidP="002B3522"/>
    <w:p w14:paraId="45EADE19" w14:textId="77777777" w:rsidR="00084F8B" w:rsidRPr="003309A0" w:rsidRDefault="00084F8B" w:rsidP="00C87B85">
      <w:pPr>
        <w:spacing w:before="120" w:after="120"/>
        <w:ind w:firstLine="567"/>
        <w:jc w:val="both"/>
      </w:pPr>
      <w:r w:rsidRPr="003309A0">
        <w:t>Zgodnie z doświadczeniami państw posiadających rozwiniętą i funkcjonującą energetykę jądrową, także w</w:t>
      </w:r>
      <w:r>
        <w:t> </w:t>
      </w:r>
      <w:r w:rsidRPr="003309A0">
        <w:t xml:space="preserve">kwestii </w:t>
      </w:r>
      <w:r>
        <w:t xml:space="preserve">postępowania z </w:t>
      </w:r>
      <w:r w:rsidRPr="003309A0">
        <w:t>odpadami promieniotwórczymi i wypalonym paliwem jądrowym</w:t>
      </w:r>
      <w:r>
        <w:t>,</w:t>
      </w:r>
      <w:r w:rsidRPr="003309A0">
        <w:t xml:space="preserve"> ważne jest zbudowanie silnego zaplecza naukowo-badawczego. Ze względu na dokonujący się postęp w nauce, założeniem </w:t>
      </w:r>
      <w:r>
        <w:t>Krajowego p</w:t>
      </w:r>
      <w:r w:rsidRPr="003309A0">
        <w:t>lanu jest jego ciągła ewolucja powiązana z aktualnym stanem wiedzy. Duże znaczenie w kwestii wyboru w przyszłości konkretnych rozwiązań będzie miał postęp w nauce, zwłaszcza prace nad składowaniem geologicznym i badania nad końcem cyklu paliwowego. Te</w:t>
      </w:r>
      <w:r>
        <w:t> </w:t>
      </w:r>
      <w:r w:rsidRPr="003309A0">
        <w:t>ostatnie obejmują szeroką grupę zagadnień: metody rozdzielania składników wypalonego paliwa oraz selektywne wydzielanie aktynowców mniejszościowych, a</w:t>
      </w:r>
      <w:r>
        <w:t> </w:t>
      </w:r>
      <w:r w:rsidRPr="003309A0">
        <w:t xml:space="preserve">także ich </w:t>
      </w:r>
      <w:r>
        <w:t>wy</w:t>
      </w:r>
      <w:r w:rsidRPr="003309A0">
        <w:t>palanie w reaktorach</w:t>
      </w:r>
      <w:r>
        <w:t xml:space="preserve"> </w:t>
      </w:r>
      <w:r w:rsidRPr="003309A0">
        <w:t>IV generacji lub transmutację w hybrydowych systemach złożonych z</w:t>
      </w:r>
      <w:r>
        <w:t> </w:t>
      </w:r>
      <w:r w:rsidRPr="003309A0">
        <w:t xml:space="preserve">reaktorów podkrytycznych z akceleratorami cząstek. </w:t>
      </w:r>
      <w:r>
        <w:t>Pomimo, że p</w:t>
      </w:r>
      <w:r w:rsidRPr="003309A0">
        <w:t xml:space="preserve">race nad tymi zagadnieniami są zaawansowane, nadal nie dostarczają </w:t>
      </w:r>
      <w:r>
        <w:t xml:space="preserve">one </w:t>
      </w:r>
      <w:r w:rsidRPr="003309A0">
        <w:t xml:space="preserve">gotowych rozwiązań dających podstawy do umieszczenia ich w strategii krajowej. </w:t>
      </w:r>
    </w:p>
    <w:p w14:paraId="5E57316F" w14:textId="77777777" w:rsidR="00084F8B" w:rsidRPr="003309A0" w:rsidRDefault="00084F8B" w:rsidP="00C87B85">
      <w:pPr>
        <w:spacing w:before="120" w:after="120"/>
        <w:ind w:firstLine="567"/>
        <w:jc w:val="both"/>
      </w:pPr>
      <w:r w:rsidRPr="003309A0">
        <w:t xml:space="preserve">W Polsce od lat działają instytuty badawcze i ośrodki </w:t>
      </w:r>
      <w:r>
        <w:t>realizujące programy naukowe w zakresie pokojowego wykorzystania</w:t>
      </w:r>
      <w:r w:rsidRPr="003309A0">
        <w:t xml:space="preserve"> energii jądrowej</w:t>
      </w:r>
      <w:r>
        <w:t xml:space="preserve"> oraz zajmujące się praktycznymi aspektami składowania odpadów promieniotwórczych</w:t>
      </w:r>
      <w:r w:rsidRPr="003309A0">
        <w:t xml:space="preserve"> – np. Instytut Chemii i Techniki Jądrowej (IChTJ), NCBJ, z którymi ściśle współpracuje ZUOP. W latach 70-tych i 80-tych </w:t>
      </w:r>
      <w:r>
        <w:t xml:space="preserve">ubiegłego wieku </w:t>
      </w:r>
      <w:r w:rsidRPr="003309A0">
        <w:t xml:space="preserve">prowadziły one prace </w:t>
      </w:r>
      <w:r>
        <w:t>związane z</w:t>
      </w:r>
      <w:r w:rsidRPr="003309A0">
        <w:t xml:space="preserve"> rozwoj</w:t>
      </w:r>
      <w:r>
        <w:t>em</w:t>
      </w:r>
      <w:r w:rsidRPr="003309A0">
        <w:t xml:space="preserve"> energetyki jądrowej w Polsce. </w:t>
      </w:r>
      <w:r>
        <w:t>Obecnie</w:t>
      </w:r>
      <w:r w:rsidRPr="003309A0">
        <w:t xml:space="preserve">, po </w:t>
      </w:r>
      <w:r>
        <w:t xml:space="preserve">ponownej </w:t>
      </w:r>
      <w:r w:rsidRPr="003309A0">
        <w:t xml:space="preserve">decyzji o </w:t>
      </w:r>
      <w:r>
        <w:t>wdrożeniu</w:t>
      </w:r>
      <w:r w:rsidRPr="003309A0">
        <w:t xml:space="preserve"> energetyki jądrowej, aktywnie włączyły się w prace badawcze w</w:t>
      </w:r>
      <w:r>
        <w:t xml:space="preserve"> tym </w:t>
      </w:r>
      <w:r w:rsidRPr="003309A0">
        <w:t>zakresie</w:t>
      </w:r>
      <w:r>
        <w:t>,</w:t>
      </w:r>
      <w:r w:rsidRPr="003309A0">
        <w:t xml:space="preserve"> w szczególności</w:t>
      </w:r>
      <w:r>
        <w:t>,</w:t>
      </w:r>
      <w:r w:rsidRPr="003309A0">
        <w:t xml:space="preserve"> w prace dotyczące </w:t>
      </w:r>
      <w:r>
        <w:t>postępowania z</w:t>
      </w:r>
      <w:r w:rsidRPr="003309A0">
        <w:t xml:space="preserve"> odpadami promieniotwórczymi i</w:t>
      </w:r>
      <w:r>
        <w:t> </w:t>
      </w:r>
      <w:r w:rsidRPr="003309A0">
        <w:t xml:space="preserve">wypalonym paliwem jądrowym. </w:t>
      </w:r>
    </w:p>
    <w:p w14:paraId="0ED77A68" w14:textId="3DFB25A1" w:rsidR="00084F8B" w:rsidRPr="00A9153A" w:rsidRDefault="00084F8B" w:rsidP="00A9153A">
      <w:pPr>
        <w:spacing w:before="120" w:after="120"/>
        <w:ind w:firstLine="567"/>
        <w:jc w:val="both"/>
        <w:rPr>
          <w:highlight w:val="yellow"/>
        </w:rPr>
      </w:pPr>
      <w:r w:rsidRPr="00177B66">
        <w:t>Polskie instytuty badawcze oraz uczelnie wyższe brały udział w projektach realizowanych w ramach</w:t>
      </w:r>
      <w:r w:rsidR="00E24926" w:rsidRPr="00177B66">
        <w:t xml:space="preserve"> programu  </w:t>
      </w:r>
      <w:r w:rsidR="00E24926">
        <w:t>„</w:t>
      </w:r>
      <w:r w:rsidR="00E24926" w:rsidRPr="00E24926">
        <w:t xml:space="preserve">Horyzont 2020” – </w:t>
      </w:r>
      <w:r w:rsidR="00681B06">
        <w:t xml:space="preserve">w obrębie </w:t>
      </w:r>
      <w:r w:rsidR="00681B06" w:rsidRPr="00681B06">
        <w:t>programu</w:t>
      </w:r>
      <w:r w:rsidR="00681B06">
        <w:t xml:space="preserve"> badawczo-szkoleniowego EURATOM</w:t>
      </w:r>
      <w:r w:rsidR="00681B06">
        <w:rPr>
          <w:rStyle w:val="Odwoanieprzypisudolnego"/>
        </w:rPr>
        <w:footnoteReference w:id="48"/>
      </w:r>
    </w:p>
    <w:p w14:paraId="7B7FB15C" w14:textId="5A247710" w:rsidR="00084F8B" w:rsidRPr="003309A0" w:rsidRDefault="00084F8B" w:rsidP="00A50159">
      <w:pPr>
        <w:spacing w:before="120" w:after="120"/>
        <w:ind w:firstLine="708"/>
        <w:jc w:val="both"/>
      </w:pPr>
      <w:r w:rsidRPr="00177B66">
        <w:t xml:space="preserve">Z inicjatywy MG, NCBiR, nadzorowane przez Ministerstwo Nauki i Szkolnictwa Wyższego, wszczęło we wrześniu 2011 r. i zakończyło w lipcu 2012 r., procedury zamówień publicznych na wykonanie - w ramach strategicznego projektu badawczego „Technologie wspomagające rozwój bezpiecznej energetyki jądrowej” - 10 zadań badawczych </w:t>
      </w:r>
      <w:r w:rsidR="009B5FBA" w:rsidRPr="00177B66">
        <w:t xml:space="preserve">zostało </w:t>
      </w:r>
      <w:r w:rsidR="00FA31C1" w:rsidRPr="00177B66">
        <w:t>zrealizowanych do</w:t>
      </w:r>
      <w:r w:rsidRPr="00177B66">
        <w:t xml:space="preserve"> połowy 2015 r. Część z tych zadań dotyczy cyklu paliwowego, w tym gospodarki odpadami promieniotwórczymi i wypalonym paliwem jądrowym:</w:t>
      </w:r>
      <w:r w:rsidRPr="003309A0">
        <w:t xml:space="preserve"> </w:t>
      </w:r>
    </w:p>
    <w:p w14:paraId="6CC3FE7F" w14:textId="6D639499" w:rsidR="00084F8B" w:rsidRDefault="00084F8B" w:rsidP="002B04C7">
      <w:pPr>
        <w:numPr>
          <w:ilvl w:val="1"/>
          <w:numId w:val="58"/>
        </w:numPr>
        <w:ind w:left="709" w:hanging="357"/>
        <w:jc w:val="both"/>
      </w:pPr>
      <w:r>
        <w:t>p</w:t>
      </w:r>
      <w:r w:rsidRPr="003309A0">
        <w:t>odstawy zabezpieczenia potrzeb paliwowych polskiej energetyki jądrowej (wykona</w:t>
      </w:r>
      <w:r>
        <w:t xml:space="preserve">wca - konsorcjum z Uniwersytetem </w:t>
      </w:r>
      <w:r w:rsidR="00FA31C1">
        <w:t>Warszawskim, jako</w:t>
      </w:r>
      <w:r>
        <w:t xml:space="preserve"> liderem);</w:t>
      </w:r>
    </w:p>
    <w:p w14:paraId="36073384" w14:textId="44D8B0D4" w:rsidR="00084F8B" w:rsidRPr="003309A0" w:rsidRDefault="00084F8B" w:rsidP="002B04C7">
      <w:pPr>
        <w:numPr>
          <w:ilvl w:val="1"/>
          <w:numId w:val="58"/>
        </w:numPr>
        <w:ind w:left="709" w:hanging="357"/>
        <w:jc w:val="both"/>
      </w:pPr>
      <w:r>
        <w:t>r</w:t>
      </w:r>
      <w:r w:rsidRPr="003309A0">
        <w:t>ozwój technik i technologii wspomagających postępowanie z odpadami promieniotwórczymi i</w:t>
      </w:r>
      <w:r>
        <w:t> </w:t>
      </w:r>
      <w:r w:rsidRPr="003309A0">
        <w:t xml:space="preserve">wypalonym </w:t>
      </w:r>
      <w:r>
        <w:t xml:space="preserve">paliwem jądrowym (wykonawca: konsorcjum z </w:t>
      </w:r>
      <w:r w:rsidR="00FA31C1">
        <w:t>ICh</w:t>
      </w:r>
      <w:r w:rsidR="00FA31C1" w:rsidRPr="003309A0">
        <w:t>TJ</w:t>
      </w:r>
      <w:r w:rsidR="00FA31C1">
        <w:t>, jako</w:t>
      </w:r>
      <w:r>
        <w:t xml:space="preserve"> liderem</w:t>
      </w:r>
      <w:r w:rsidRPr="003309A0">
        <w:t xml:space="preserve">). </w:t>
      </w:r>
    </w:p>
    <w:p w14:paraId="4D501FA7" w14:textId="77777777" w:rsidR="00084F8B" w:rsidRPr="003309A0" w:rsidRDefault="00084F8B" w:rsidP="00EA0483">
      <w:pPr>
        <w:spacing w:before="120" w:after="120"/>
        <w:jc w:val="both"/>
      </w:pPr>
      <w:r w:rsidRPr="003309A0">
        <w:t xml:space="preserve">Mając na uwadze ww. fakty, konieczne jest prowadzenie w kraju prac badawczych pozwalających na </w:t>
      </w:r>
      <w:r>
        <w:t>międzynarodową współpracę naukową</w:t>
      </w:r>
      <w:r w:rsidRPr="003309A0">
        <w:t xml:space="preserve"> </w:t>
      </w:r>
      <w:r>
        <w:t>oraz</w:t>
      </w:r>
      <w:r w:rsidRPr="003309A0">
        <w:t xml:space="preserve"> </w:t>
      </w:r>
      <w:r>
        <w:t xml:space="preserve">obserwację trendów </w:t>
      </w:r>
      <w:r w:rsidRPr="003309A0">
        <w:t xml:space="preserve">w rozwoju badań </w:t>
      </w:r>
      <w:r>
        <w:t xml:space="preserve">dotyczących </w:t>
      </w:r>
      <w:r w:rsidRPr="003309A0">
        <w:t>końcow</w:t>
      </w:r>
      <w:r>
        <w:t xml:space="preserve">ego </w:t>
      </w:r>
      <w:r w:rsidRPr="003309A0">
        <w:t>etap</w:t>
      </w:r>
      <w:r>
        <w:t>u</w:t>
      </w:r>
      <w:r w:rsidRPr="003309A0">
        <w:t xml:space="preserve"> cyklu paliwowego </w:t>
      </w:r>
      <w:r>
        <w:t>i</w:t>
      </w:r>
      <w:r w:rsidRPr="003309A0">
        <w:t xml:space="preserve"> now</w:t>
      </w:r>
      <w:r>
        <w:t>ych</w:t>
      </w:r>
      <w:r w:rsidRPr="003309A0">
        <w:t xml:space="preserve"> technologi</w:t>
      </w:r>
      <w:r>
        <w:t>i</w:t>
      </w:r>
      <w:r w:rsidRPr="003309A0">
        <w:t xml:space="preserve"> prze</w:t>
      </w:r>
      <w:r>
        <w:t>twarzania</w:t>
      </w:r>
      <w:r w:rsidRPr="003309A0">
        <w:t xml:space="preserve"> odpadów promieniotwórczych. Pozwoli to na zdobycie odpowiednich doświadczeń i wykształcenie kadr, któr</w:t>
      </w:r>
      <w:r>
        <w:t>e</w:t>
      </w:r>
      <w:r w:rsidRPr="003309A0">
        <w:t xml:space="preserve"> w przyszłości pomo</w:t>
      </w:r>
      <w:r>
        <w:t>gą</w:t>
      </w:r>
      <w:r w:rsidRPr="003309A0">
        <w:t xml:space="preserve"> w świadomym wyborze rozwiązań w zakresie </w:t>
      </w:r>
      <w:r>
        <w:t xml:space="preserve">postępowania z </w:t>
      </w:r>
      <w:r w:rsidRPr="003309A0">
        <w:t xml:space="preserve">odpadami promieniotwórczymi i wypalonym paliwem jądrowym. </w:t>
      </w:r>
    </w:p>
    <w:p w14:paraId="15DB1533" w14:textId="77777777" w:rsidR="00084F8B" w:rsidRPr="003309A0" w:rsidRDefault="00084F8B" w:rsidP="00EA0483">
      <w:pPr>
        <w:spacing w:before="120" w:after="120"/>
        <w:jc w:val="both"/>
      </w:pPr>
      <w:r w:rsidRPr="003309A0">
        <w:t>Należy</w:t>
      </w:r>
      <w:r>
        <w:t>,</w:t>
      </w:r>
      <w:r w:rsidRPr="003309A0">
        <w:t xml:space="preserve"> w szczególności</w:t>
      </w:r>
      <w:r>
        <w:t>,</w:t>
      </w:r>
      <w:r w:rsidRPr="003309A0">
        <w:t xml:space="preserve"> rozwijać następujące kierunki prac badawczych: </w:t>
      </w:r>
    </w:p>
    <w:p w14:paraId="24353999" w14:textId="12BCEE83" w:rsidR="00183E9C" w:rsidRDefault="00183E9C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183E9C">
        <w:rPr>
          <w:color w:val="000000"/>
        </w:rPr>
        <w:lastRenderedPageBreak/>
        <w:t>kryteria akceptacji odpadów promieniotwórczych dla składowisk powierzchniowych i geologicznych</w:t>
      </w:r>
      <w:r>
        <w:rPr>
          <w:color w:val="000000"/>
        </w:rPr>
        <w:t>;</w:t>
      </w:r>
    </w:p>
    <w:p w14:paraId="10C8FC9A" w14:textId="77777777" w:rsidR="00084F8B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>rozwój metod przetwarzania odpadów nisko- i średnioaktywnych</w:t>
      </w:r>
      <w:r>
        <w:rPr>
          <w:color w:val="000000"/>
        </w:rPr>
        <w:t>;</w:t>
      </w:r>
    </w:p>
    <w:p w14:paraId="098F66D5" w14:textId="77777777" w:rsidR="00084F8B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>zaawansowane technologie przechowywania odpadów promieniotwórczych, w tym wysokoaktywnych</w:t>
      </w:r>
      <w:r>
        <w:rPr>
          <w:color w:val="000000"/>
        </w:rPr>
        <w:t>;</w:t>
      </w:r>
    </w:p>
    <w:p w14:paraId="5D68A669" w14:textId="77777777" w:rsidR="00084F8B" w:rsidRPr="00B03C19" w:rsidRDefault="00084F8B" w:rsidP="00EC206E">
      <w:pPr>
        <w:numPr>
          <w:ilvl w:val="0"/>
          <w:numId w:val="10"/>
        </w:numPr>
        <w:ind w:left="714" w:hanging="357"/>
        <w:jc w:val="both"/>
      </w:pPr>
      <w:r w:rsidRPr="003309A0">
        <w:t xml:space="preserve">postępowanie z wielkogabarytowymi </w:t>
      </w:r>
      <w:r>
        <w:t xml:space="preserve">elementami </w:t>
      </w:r>
      <w:r w:rsidRPr="003309A0">
        <w:t>elektrowni jądrowych</w:t>
      </w:r>
      <w:r>
        <w:t>;</w:t>
      </w:r>
    </w:p>
    <w:p w14:paraId="12C4EA5B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>struktura i wła</w:t>
      </w:r>
      <w:r>
        <w:rPr>
          <w:color w:val="000000"/>
        </w:rPr>
        <w:t>ściw</w:t>
      </w:r>
      <w:r w:rsidRPr="003309A0">
        <w:rPr>
          <w:color w:val="000000"/>
        </w:rPr>
        <w:t>ości wypalonego paliwa jądrowego</w:t>
      </w:r>
      <w:r>
        <w:rPr>
          <w:color w:val="000000"/>
        </w:rPr>
        <w:t>;</w:t>
      </w:r>
    </w:p>
    <w:p w14:paraId="275F613A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>przechowywanie i transport wypalonego paliwa jądrowego</w:t>
      </w:r>
      <w:r>
        <w:rPr>
          <w:color w:val="000000"/>
        </w:rPr>
        <w:t>;</w:t>
      </w:r>
    </w:p>
    <w:p w14:paraId="1121C271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</w:pPr>
      <w:r w:rsidRPr="003309A0">
        <w:t>technologie pakowania odpadów promieniotwórczych</w:t>
      </w:r>
      <w:r>
        <w:t>;</w:t>
      </w:r>
    </w:p>
    <w:p w14:paraId="572D30C2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>procesy selektywnego oddzielania mniejszościowych aktynowców</w:t>
      </w:r>
      <w:r>
        <w:rPr>
          <w:color w:val="000000"/>
        </w:rPr>
        <w:t>;</w:t>
      </w:r>
      <w:r w:rsidRPr="003309A0">
        <w:rPr>
          <w:color w:val="000000"/>
        </w:rPr>
        <w:t xml:space="preserve"> </w:t>
      </w:r>
    </w:p>
    <w:p w14:paraId="7BB455CB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>
        <w:rPr>
          <w:color w:val="000000"/>
        </w:rPr>
        <w:t>przetwarzanie</w:t>
      </w:r>
      <w:r w:rsidRPr="003309A0">
        <w:rPr>
          <w:color w:val="000000"/>
        </w:rPr>
        <w:t xml:space="preserve"> </w:t>
      </w:r>
      <w:r>
        <w:rPr>
          <w:color w:val="000000"/>
        </w:rPr>
        <w:t xml:space="preserve">składników </w:t>
      </w:r>
      <w:r w:rsidRPr="003309A0">
        <w:rPr>
          <w:color w:val="000000"/>
        </w:rPr>
        <w:t xml:space="preserve">wypalonego paliwa jądrowego </w:t>
      </w:r>
      <w:r>
        <w:rPr>
          <w:color w:val="000000"/>
        </w:rPr>
        <w:t>w systemach</w:t>
      </w:r>
      <w:r w:rsidRPr="003309A0">
        <w:rPr>
          <w:color w:val="000000"/>
        </w:rPr>
        <w:t xml:space="preserve"> do transmutacji aktynowców długożyciowych </w:t>
      </w:r>
      <w:r>
        <w:rPr>
          <w:color w:val="000000"/>
        </w:rPr>
        <w:t>w</w:t>
      </w:r>
      <w:r w:rsidRPr="003309A0">
        <w:rPr>
          <w:color w:val="000000"/>
        </w:rPr>
        <w:t xml:space="preserve"> krótkożyciowe lub stabilne izotopy</w:t>
      </w:r>
      <w:r>
        <w:rPr>
          <w:color w:val="000000"/>
        </w:rPr>
        <w:t>;</w:t>
      </w:r>
      <w:r w:rsidRPr="003309A0">
        <w:rPr>
          <w:color w:val="000000"/>
        </w:rPr>
        <w:t xml:space="preserve"> </w:t>
      </w:r>
    </w:p>
    <w:p w14:paraId="504C4C59" w14:textId="77777777" w:rsidR="00084F8B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>materiały i paliwa dla reaktorów IV generacji</w:t>
      </w:r>
      <w:r>
        <w:rPr>
          <w:color w:val="000000"/>
        </w:rPr>
        <w:t>;</w:t>
      </w:r>
      <w:r w:rsidRPr="003309A0">
        <w:rPr>
          <w:color w:val="000000"/>
        </w:rPr>
        <w:t xml:space="preserve"> </w:t>
      </w:r>
    </w:p>
    <w:p w14:paraId="1A19D910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>procedury postępow</w:t>
      </w:r>
      <w:r>
        <w:rPr>
          <w:color w:val="000000"/>
        </w:rPr>
        <w:t>ania z odpadami promieniotwórczymi różnego rodzaju: z długożyciowymi średnio- i wysokoaktywnymi oraz wypalonym paliwem jądrowym oraz z krótkożyciowymi nisko- i średnioaktywnymi;</w:t>
      </w:r>
    </w:p>
    <w:p w14:paraId="6CA8EF69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</w:pPr>
      <w:r w:rsidRPr="003309A0">
        <w:t>transport lądowy i morski odpadów i substancji promieniotwórczych</w:t>
      </w:r>
      <w:r>
        <w:t>;</w:t>
      </w:r>
    </w:p>
    <w:p w14:paraId="27F57C9E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>
        <w:rPr>
          <w:color w:val="000000"/>
        </w:rPr>
        <w:t>metody</w:t>
      </w:r>
      <w:r w:rsidRPr="003309A0">
        <w:rPr>
          <w:color w:val="000000"/>
        </w:rPr>
        <w:t xml:space="preserve"> zestalania i utrwalania odpadów promieniotwórczych</w:t>
      </w:r>
      <w:r>
        <w:rPr>
          <w:color w:val="000000"/>
        </w:rPr>
        <w:t>;</w:t>
      </w:r>
    </w:p>
    <w:p w14:paraId="0FBA7B6A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</w:pPr>
      <w:r>
        <w:t>metody i techniki składowania</w:t>
      </w:r>
      <w:r w:rsidRPr="003309A0">
        <w:t xml:space="preserve"> odpadów promieniotwórczych w składowiskach</w:t>
      </w:r>
      <w:r>
        <w:t>;</w:t>
      </w:r>
      <w:r w:rsidRPr="003309A0">
        <w:t xml:space="preserve"> </w:t>
      </w:r>
    </w:p>
    <w:p w14:paraId="001D45F6" w14:textId="77777777" w:rsidR="00084F8B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>
        <w:rPr>
          <w:color w:val="000000"/>
        </w:rPr>
        <w:t>zamknięcie i monitoring składowisk;</w:t>
      </w:r>
    </w:p>
    <w:p w14:paraId="7E11A789" w14:textId="77777777" w:rsidR="00084F8B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>ba</w:t>
      </w:r>
      <w:r>
        <w:rPr>
          <w:color w:val="000000"/>
        </w:rPr>
        <w:t>riery ochronne składowisk, uniemożliwiające</w:t>
      </w:r>
      <w:r w:rsidRPr="003309A0">
        <w:rPr>
          <w:color w:val="000000"/>
        </w:rPr>
        <w:t xml:space="preserve"> migrację </w:t>
      </w:r>
      <w:r>
        <w:rPr>
          <w:color w:val="000000"/>
        </w:rPr>
        <w:t>radio</w:t>
      </w:r>
      <w:r w:rsidRPr="003309A0">
        <w:rPr>
          <w:color w:val="000000"/>
        </w:rPr>
        <w:t>nuklidów</w:t>
      </w:r>
      <w:r>
        <w:rPr>
          <w:color w:val="000000"/>
        </w:rPr>
        <w:t>;</w:t>
      </w:r>
    </w:p>
    <w:p w14:paraId="5691AEA2" w14:textId="77777777" w:rsidR="00183E9C" w:rsidRDefault="00183E9C" w:rsidP="00183E9C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>
        <w:rPr>
          <w:color w:val="000000"/>
        </w:rPr>
        <w:t>rozwój metod numerycznych w celu lepszego zrozumienia procesów transportu masy i ciepła w obiektach jądrowych związanych z przechowywaniem i składowaniem wypalonego paliwa jądrowego oraz składowiskach odpadów promieniotwórczych;</w:t>
      </w:r>
    </w:p>
    <w:p w14:paraId="2DE56142" w14:textId="785DE24C" w:rsidR="00183E9C" w:rsidRDefault="00183E9C" w:rsidP="00183E9C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>
        <w:rPr>
          <w:color w:val="000000"/>
        </w:rPr>
        <w:t>rozwój metod dotyczących starzenia się materiałów w obiektach jądrowych;</w:t>
      </w:r>
    </w:p>
    <w:p w14:paraId="078C1872" w14:textId="29FD6023" w:rsidR="00183E9C" w:rsidRPr="00183E9C" w:rsidRDefault="00183E9C" w:rsidP="00183E9C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>
        <w:rPr>
          <w:color w:val="000000"/>
        </w:rPr>
        <w:t>rozwój technik pomiarowych oraz aparatury pomiarowej dla obiektów jądrowych oraz składowisk odpadów promieniotwórczych;</w:t>
      </w:r>
    </w:p>
    <w:p w14:paraId="06552351" w14:textId="77777777" w:rsidR="00084F8B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>
        <w:rPr>
          <w:color w:val="000000"/>
        </w:rPr>
        <w:t>metodyka badań lokalizacyjnych i ocen bezpieczeństwa dla lokalizacji składowiska powierzchniowego;</w:t>
      </w:r>
    </w:p>
    <w:p w14:paraId="0B38958C" w14:textId="77777777" w:rsidR="00084F8B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>
        <w:rPr>
          <w:color w:val="000000"/>
        </w:rPr>
        <w:t>metodyka badań lokalizacyjnych i ocen bezpieczeństwa dla lokalizacji składowiska głębokiego;</w:t>
      </w:r>
    </w:p>
    <w:p w14:paraId="14CDDB67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 xml:space="preserve">geologiczne i geofizyczne </w:t>
      </w:r>
      <w:r>
        <w:rPr>
          <w:color w:val="000000"/>
        </w:rPr>
        <w:t xml:space="preserve">kryteria lokalizacji składowiska powierzchniowego i </w:t>
      </w:r>
      <w:r w:rsidRPr="003309A0">
        <w:rPr>
          <w:color w:val="000000"/>
        </w:rPr>
        <w:t>składowiska</w:t>
      </w:r>
      <w:r>
        <w:rPr>
          <w:color w:val="000000"/>
        </w:rPr>
        <w:t xml:space="preserve"> głębokiego;</w:t>
      </w:r>
    </w:p>
    <w:p w14:paraId="3866B318" w14:textId="77777777" w:rsidR="00084F8B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>
        <w:rPr>
          <w:color w:val="000000"/>
        </w:rPr>
        <w:t>prowadzenie badań i analiz w celu wytypowania lokalizacji składowiska powierzchniowego oraz składowiska głębokiego;</w:t>
      </w:r>
    </w:p>
    <w:p w14:paraId="56F16DCB" w14:textId="77777777" w:rsidR="00084F8B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 xml:space="preserve">bezpieczeństwo jądrowe, </w:t>
      </w:r>
      <w:r>
        <w:rPr>
          <w:color w:val="000000"/>
        </w:rPr>
        <w:t>ochrona radiologiczna</w:t>
      </w:r>
      <w:r w:rsidRPr="003309A0">
        <w:rPr>
          <w:color w:val="000000"/>
        </w:rPr>
        <w:t xml:space="preserve">, </w:t>
      </w:r>
      <w:r>
        <w:rPr>
          <w:color w:val="000000"/>
        </w:rPr>
        <w:t xml:space="preserve">ochrona </w:t>
      </w:r>
      <w:r w:rsidRPr="003309A0">
        <w:rPr>
          <w:color w:val="000000"/>
        </w:rPr>
        <w:t>fizyczn</w:t>
      </w:r>
      <w:r>
        <w:rPr>
          <w:color w:val="000000"/>
        </w:rPr>
        <w:t>a</w:t>
      </w:r>
      <w:r w:rsidRPr="003309A0">
        <w:rPr>
          <w:color w:val="000000"/>
        </w:rPr>
        <w:t xml:space="preserve"> i </w:t>
      </w:r>
      <w:r>
        <w:rPr>
          <w:color w:val="000000"/>
        </w:rPr>
        <w:t>nieproliferacja na</w:t>
      </w:r>
      <w:r w:rsidRPr="003309A0">
        <w:rPr>
          <w:color w:val="000000"/>
        </w:rPr>
        <w:t xml:space="preserve"> składowisk</w:t>
      </w:r>
      <w:r>
        <w:rPr>
          <w:color w:val="000000"/>
        </w:rPr>
        <w:t>ach odpadów promieniotwórczych oraz w obiektach jądrowych;</w:t>
      </w:r>
    </w:p>
    <w:p w14:paraId="070DE8EE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</w:pPr>
      <w:r w:rsidRPr="003309A0">
        <w:t>innowacyjne reaktory w systemach sterowanych akceleratorami w cyklach paliwowych</w:t>
      </w:r>
      <w:r>
        <w:t>;</w:t>
      </w:r>
    </w:p>
    <w:p w14:paraId="3BADA051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 xml:space="preserve">edukacja i szkolenie kadr </w:t>
      </w:r>
      <w:r>
        <w:rPr>
          <w:color w:val="000000"/>
        </w:rPr>
        <w:t>na potrzeby</w:t>
      </w:r>
      <w:r w:rsidRPr="003309A0">
        <w:rPr>
          <w:color w:val="000000"/>
        </w:rPr>
        <w:t xml:space="preserve"> postępowania z odpadami promieniotwórczymi</w:t>
      </w:r>
      <w:r>
        <w:rPr>
          <w:color w:val="000000"/>
        </w:rPr>
        <w:t xml:space="preserve"> i wypalonym paliwem jądrowym;</w:t>
      </w:r>
    </w:p>
    <w:p w14:paraId="0EEC2390" w14:textId="77777777" w:rsidR="00084F8B" w:rsidRPr="003309A0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rPr>
          <w:color w:val="000000"/>
        </w:rPr>
        <w:t>zaangażowanie polskiego przemysłu w budowę składowisk odpadów promieniotwórczych</w:t>
      </w:r>
      <w:r>
        <w:rPr>
          <w:color w:val="000000"/>
        </w:rPr>
        <w:t>;</w:t>
      </w:r>
    </w:p>
    <w:p w14:paraId="141D0084" w14:textId="77777777" w:rsidR="00084F8B" w:rsidRPr="004E4EE5" w:rsidRDefault="00084F8B" w:rsidP="00EC206E">
      <w:pPr>
        <w:numPr>
          <w:ilvl w:val="0"/>
          <w:numId w:val="10"/>
        </w:numPr>
        <w:ind w:left="714" w:hanging="357"/>
        <w:jc w:val="both"/>
        <w:rPr>
          <w:color w:val="000000"/>
        </w:rPr>
      </w:pPr>
      <w:r w:rsidRPr="003309A0">
        <w:t>analiza systemów finansowania i zarządzania funduszami: postępowania z odpadami promieniotwórczymi oraz zamknięcia składowisk i ich monitoringu</w:t>
      </w:r>
      <w:r>
        <w:t xml:space="preserve"> w państwach trzecich</w:t>
      </w:r>
      <w:r w:rsidRPr="003309A0">
        <w:t>.</w:t>
      </w:r>
    </w:p>
    <w:p w14:paraId="37A97A15" w14:textId="77777777" w:rsidR="00084F8B" w:rsidRPr="003309A0" w:rsidRDefault="00084F8B" w:rsidP="00B81EAE">
      <w:pPr>
        <w:spacing w:before="120" w:after="120"/>
        <w:jc w:val="both"/>
      </w:pPr>
      <w:r w:rsidRPr="003309A0">
        <w:t xml:space="preserve">Dla zrealizowania ww. prac konieczne będzie włączenie przynajmniej części z nich do nowego strategicznego programu badawczego lub stworzenie nowego programu, poświęconego </w:t>
      </w:r>
      <w:r>
        <w:t xml:space="preserve">wyłącznie </w:t>
      </w:r>
      <w:r w:rsidRPr="003309A0">
        <w:t xml:space="preserve">kwestiom związanym </w:t>
      </w:r>
      <w:r>
        <w:t>z </w:t>
      </w:r>
      <w:r w:rsidRPr="003309A0">
        <w:t xml:space="preserve">postępowaniem z odpadami promieniotwórczymi i wypalonym paliwem jądrowym w Polsce. </w:t>
      </w:r>
    </w:p>
    <w:p w14:paraId="7BBD3EF5" w14:textId="77777777" w:rsidR="00084F8B" w:rsidRPr="003309A0" w:rsidRDefault="00084F8B" w:rsidP="00C87B85">
      <w:pPr>
        <w:spacing w:before="120" w:after="120"/>
        <w:ind w:firstLine="567"/>
        <w:jc w:val="both"/>
      </w:pPr>
      <w:r w:rsidRPr="003309A0">
        <w:t xml:space="preserve">W przyszłości, po uruchomieniu elektrowni jądrowych, </w:t>
      </w:r>
      <w:r>
        <w:t>podmioty prowadzące</w:t>
      </w:r>
      <w:r w:rsidRPr="003309A0">
        <w:t xml:space="preserve"> postępowani</w:t>
      </w:r>
      <w:r>
        <w:t>e</w:t>
      </w:r>
      <w:r w:rsidRPr="003309A0">
        <w:t xml:space="preserve"> z</w:t>
      </w:r>
      <w:r>
        <w:t> </w:t>
      </w:r>
      <w:r w:rsidRPr="003309A0">
        <w:t xml:space="preserve">odpadami promieniotwórczymi </w:t>
      </w:r>
      <w:r>
        <w:t xml:space="preserve">i wypalonym paliwem jądrowym </w:t>
      </w:r>
      <w:r w:rsidRPr="003309A0">
        <w:t>powinn</w:t>
      </w:r>
      <w:r>
        <w:t>y</w:t>
      </w:r>
      <w:r w:rsidRPr="003309A0">
        <w:t xml:space="preserve"> przejąć na siebie realizację części tematów badawczych dotyczących m.in.:</w:t>
      </w:r>
    </w:p>
    <w:p w14:paraId="26253A36" w14:textId="77777777" w:rsidR="00084F8B" w:rsidRPr="003309A0" w:rsidRDefault="00084F8B" w:rsidP="00EC206E">
      <w:pPr>
        <w:numPr>
          <w:ilvl w:val="0"/>
          <w:numId w:val="59"/>
        </w:numPr>
        <w:ind w:left="709" w:hanging="357"/>
        <w:jc w:val="both"/>
      </w:pPr>
      <w:r w:rsidRPr="003309A0">
        <w:lastRenderedPageBreak/>
        <w:t xml:space="preserve">wpływu składowisk na </w:t>
      </w:r>
      <w:r>
        <w:t>środowisko</w:t>
      </w:r>
      <w:r w:rsidRPr="003309A0">
        <w:t xml:space="preserve"> w otoczeniu zewnętrznym i wewnętrznym</w:t>
      </w:r>
      <w:r>
        <w:t>;</w:t>
      </w:r>
    </w:p>
    <w:p w14:paraId="7D36F12C" w14:textId="77777777" w:rsidR="00084F8B" w:rsidRPr="003309A0" w:rsidRDefault="00084F8B" w:rsidP="00EC206E">
      <w:pPr>
        <w:numPr>
          <w:ilvl w:val="0"/>
          <w:numId w:val="59"/>
        </w:numPr>
        <w:ind w:left="709" w:hanging="357"/>
        <w:jc w:val="both"/>
      </w:pPr>
      <w:r w:rsidRPr="003309A0">
        <w:t>stosunków społecznych w otoczeniu składowisk</w:t>
      </w:r>
      <w:r>
        <w:t>;</w:t>
      </w:r>
    </w:p>
    <w:p w14:paraId="3FCF10BB" w14:textId="77777777" w:rsidR="00084F8B" w:rsidRPr="003309A0" w:rsidRDefault="00084F8B" w:rsidP="00EC206E">
      <w:pPr>
        <w:numPr>
          <w:ilvl w:val="0"/>
          <w:numId w:val="59"/>
        </w:numPr>
        <w:ind w:left="709" w:hanging="357"/>
        <w:jc w:val="both"/>
      </w:pPr>
      <w:r>
        <w:t xml:space="preserve">metod </w:t>
      </w:r>
      <w:r w:rsidRPr="003309A0">
        <w:t>monitoringu radi</w:t>
      </w:r>
      <w:r>
        <w:t>acyjnego</w:t>
      </w:r>
      <w:r w:rsidRPr="003309A0">
        <w:t>, geologicznego i hydrogeologicznego składowisk</w:t>
      </w:r>
      <w:r>
        <w:t>;</w:t>
      </w:r>
    </w:p>
    <w:p w14:paraId="05C1B792" w14:textId="77777777" w:rsidR="00084F8B" w:rsidRPr="003309A0" w:rsidRDefault="00084F8B" w:rsidP="00C87B85">
      <w:pPr>
        <w:numPr>
          <w:ilvl w:val="0"/>
          <w:numId w:val="59"/>
        </w:numPr>
        <w:spacing w:after="120"/>
        <w:ind w:left="709" w:hanging="357"/>
        <w:jc w:val="both"/>
      </w:pPr>
      <w:r w:rsidRPr="003309A0">
        <w:t xml:space="preserve">zasad ochrony fizycznej składowisk </w:t>
      </w:r>
      <w:r>
        <w:t>oraz innych obiektów, w których prowadzi się postępowanie z odpadami promieniotwórczymi i wypalonym paliwem jądrowym</w:t>
      </w:r>
      <w:r w:rsidRPr="003309A0">
        <w:t xml:space="preserve">. </w:t>
      </w:r>
    </w:p>
    <w:p w14:paraId="73AC0326" w14:textId="77777777" w:rsidR="00084F8B" w:rsidRPr="007A1FA8" w:rsidRDefault="00084F8B" w:rsidP="008D5796">
      <w:pPr>
        <w:pStyle w:val="Nagwek2"/>
      </w:pPr>
      <w:bookmarkStart w:id="146" w:name="_Toc397697041"/>
      <w:bookmarkStart w:id="147" w:name="_Toc424116737"/>
      <w:r>
        <w:t>6</w:t>
      </w:r>
      <w:r w:rsidRPr="007A1FA8">
        <w:t>.1</w:t>
      </w:r>
      <w:r>
        <w:t>.</w:t>
      </w:r>
      <w:r w:rsidRPr="007A1FA8">
        <w:t xml:space="preserve"> Badania nad cyklem paliwowym</w:t>
      </w:r>
      <w:bookmarkEnd w:id="146"/>
      <w:bookmarkEnd w:id="147"/>
    </w:p>
    <w:p w14:paraId="2901C1F7" w14:textId="77777777" w:rsidR="00084F8B" w:rsidRPr="003309A0" w:rsidRDefault="00084F8B" w:rsidP="00C87B85">
      <w:pPr>
        <w:spacing w:before="120" w:after="120"/>
        <w:ind w:firstLine="567"/>
        <w:jc w:val="both"/>
      </w:pPr>
      <w:r w:rsidRPr="003309A0">
        <w:t>Ja</w:t>
      </w:r>
      <w:r>
        <w:t>k wspomniano wcześniej</w:t>
      </w:r>
      <w:r w:rsidRPr="003309A0">
        <w:t xml:space="preserve">, </w:t>
      </w:r>
      <w:r>
        <w:t xml:space="preserve">w </w:t>
      </w:r>
      <w:r w:rsidRPr="003309A0">
        <w:t>Pols</w:t>
      </w:r>
      <w:r>
        <w:t>ce</w:t>
      </w:r>
      <w:r w:rsidRPr="003309A0">
        <w:t xml:space="preserve"> </w:t>
      </w:r>
      <w:r>
        <w:t>będą</w:t>
      </w:r>
      <w:r w:rsidRPr="003309A0">
        <w:t xml:space="preserve"> prowadz</w:t>
      </w:r>
      <w:r>
        <w:t xml:space="preserve">one </w:t>
      </w:r>
      <w:r w:rsidRPr="003309A0">
        <w:t xml:space="preserve">prace nad wdrożeniem otwartego cyklu paliwowego, który </w:t>
      </w:r>
      <w:r>
        <w:t xml:space="preserve">w chwili obecnej </w:t>
      </w:r>
      <w:r w:rsidRPr="003309A0">
        <w:t xml:space="preserve">jest </w:t>
      </w:r>
      <w:r>
        <w:t>bardziej efektywny ekonomicznie niż</w:t>
      </w:r>
      <w:r w:rsidRPr="003309A0">
        <w:t xml:space="preserve"> </w:t>
      </w:r>
      <w:r>
        <w:t xml:space="preserve">cykl </w:t>
      </w:r>
      <w:r w:rsidRPr="003309A0">
        <w:t>zamknięt</w:t>
      </w:r>
      <w:r>
        <w:t>y.</w:t>
      </w:r>
      <w:r w:rsidRPr="003309A0">
        <w:t xml:space="preserve"> Polska</w:t>
      </w:r>
      <w:r>
        <w:t> </w:t>
      </w:r>
      <w:r w:rsidRPr="003309A0">
        <w:t>będzie</w:t>
      </w:r>
      <w:r>
        <w:t xml:space="preserve"> jednak</w:t>
      </w:r>
      <w:r w:rsidRPr="003309A0">
        <w:t xml:space="preserve"> uważnie </w:t>
      </w:r>
      <w:r>
        <w:t xml:space="preserve">obserwować </w:t>
      </w:r>
      <w:r w:rsidRPr="003309A0">
        <w:t xml:space="preserve">zachodzące w tym zakresie zmiany na świecie i w razie potrzeby wprowadzać stosowne korekty w proponowanych do wdrożenia rozwiązaniach. </w:t>
      </w:r>
    </w:p>
    <w:p w14:paraId="437AEFA1" w14:textId="77777777" w:rsidR="00084F8B" w:rsidRPr="003309A0" w:rsidRDefault="00084F8B" w:rsidP="00B81EAE">
      <w:pPr>
        <w:spacing w:before="120" w:after="120"/>
        <w:jc w:val="both"/>
      </w:pPr>
      <w:r w:rsidRPr="003309A0">
        <w:t xml:space="preserve">Szczegółowe prace badawcze w zakresie </w:t>
      </w:r>
      <w:r>
        <w:t xml:space="preserve">cyklu paliwowego </w:t>
      </w:r>
      <w:r w:rsidRPr="003309A0">
        <w:t>będą się konce</w:t>
      </w:r>
      <w:r>
        <w:t>n</w:t>
      </w:r>
      <w:r w:rsidRPr="003309A0">
        <w:t>t</w:t>
      </w:r>
      <w:r>
        <w:t>r</w:t>
      </w:r>
      <w:r w:rsidRPr="003309A0">
        <w:t>ować na badaniach</w:t>
      </w:r>
      <w:r>
        <w:t xml:space="preserve"> nad</w:t>
      </w:r>
      <w:r w:rsidRPr="003309A0">
        <w:t>:</w:t>
      </w:r>
    </w:p>
    <w:p w14:paraId="5E47D797" w14:textId="77777777" w:rsidR="00084F8B" w:rsidRPr="003309A0" w:rsidRDefault="00084F8B" w:rsidP="002B04C7">
      <w:pPr>
        <w:numPr>
          <w:ilvl w:val="0"/>
          <w:numId w:val="62"/>
        </w:numPr>
        <w:ind w:left="408"/>
        <w:jc w:val="both"/>
      </w:pPr>
      <w:r>
        <w:t>metodami przerobu</w:t>
      </w:r>
      <w:r w:rsidRPr="003309A0">
        <w:t xml:space="preserve"> wypalonego paliwa jądrowego</w:t>
      </w:r>
      <w:r>
        <w:t>;</w:t>
      </w:r>
    </w:p>
    <w:p w14:paraId="0526AF79" w14:textId="77777777" w:rsidR="00084F8B" w:rsidRPr="003309A0" w:rsidRDefault="00084F8B" w:rsidP="002B04C7">
      <w:pPr>
        <w:numPr>
          <w:ilvl w:val="0"/>
          <w:numId w:val="62"/>
        </w:numPr>
        <w:ind w:left="408"/>
        <w:jc w:val="both"/>
      </w:pPr>
      <w:r w:rsidRPr="003309A0">
        <w:t>wykorzystaniem toru jako materiału paliworodnego</w:t>
      </w:r>
      <w:r>
        <w:t>;</w:t>
      </w:r>
    </w:p>
    <w:p w14:paraId="382672D9" w14:textId="77777777" w:rsidR="00084F8B" w:rsidRPr="003309A0" w:rsidRDefault="00084F8B" w:rsidP="002B04C7">
      <w:pPr>
        <w:numPr>
          <w:ilvl w:val="0"/>
          <w:numId w:val="62"/>
        </w:numPr>
        <w:ind w:left="408"/>
        <w:jc w:val="both"/>
      </w:pPr>
      <w:r w:rsidRPr="003309A0">
        <w:t>paliwem dla reaktorów IV generacji</w:t>
      </w:r>
      <w:r>
        <w:t>;</w:t>
      </w:r>
    </w:p>
    <w:p w14:paraId="3610CA05" w14:textId="77777777" w:rsidR="00084F8B" w:rsidRPr="003309A0" w:rsidRDefault="00084F8B" w:rsidP="002B04C7">
      <w:pPr>
        <w:numPr>
          <w:ilvl w:val="0"/>
          <w:numId w:val="62"/>
        </w:numPr>
        <w:ind w:left="408"/>
        <w:jc w:val="both"/>
      </w:pPr>
      <w:r>
        <w:t>procesami</w:t>
      </w:r>
      <w:r w:rsidRPr="003309A0">
        <w:t xml:space="preserve"> zapobiegania migracji radionuklidów z rejonów składowisk</w:t>
      </w:r>
      <w:r w:rsidR="00B040C7">
        <w:t>:</w:t>
      </w:r>
    </w:p>
    <w:p w14:paraId="3D22FDD4" w14:textId="77777777" w:rsidR="00084F8B" w:rsidRPr="003309A0" w:rsidRDefault="00084F8B" w:rsidP="002B04C7">
      <w:pPr>
        <w:ind w:left="408"/>
        <w:jc w:val="both"/>
      </w:pPr>
      <w:r w:rsidRPr="003309A0">
        <w:t>- systemy barier ochronnych (chemiczna, fizyczna, inżynierska, naturalna)</w:t>
      </w:r>
      <w:r>
        <w:t>;</w:t>
      </w:r>
    </w:p>
    <w:p w14:paraId="027089F5" w14:textId="77777777" w:rsidR="00084F8B" w:rsidRPr="003309A0" w:rsidRDefault="00084F8B" w:rsidP="002B04C7">
      <w:pPr>
        <w:ind w:left="408"/>
        <w:jc w:val="both"/>
      </w:pPr>
      <w:r w:rsidRPr="003309A0">
        <w:t>- przygotowanie odpadów do składowania</w:t>
      </w:r>
      <w:r>
        <w:t>;</w:t>
      </w:r>
    </w:p>
    <w:p w14:paraId="32692A9C" w14:textId="77777777" w:rsidR="00084F8B" w:rsidRPr="003309A0" w:rsidRDefault="00084F8B" w:rsidP="002B04C7">
      <w:pPr>
        <w:numPr>
          <w:ilvl w:val="0"/>
          <w:numId w:val="62"/>
        </w:numPr>
        <w:ind w:left="408"/>
        <w:jc w:val="both"/>
      </w:pPr>
      <w:r w:rsidRPr="003309A0">
        <w:t xml:space="preserve">sposobami i materiałami do zestalania i </w:t>
      </w:r>
      <w:r w:rsidR="0003778A">
        <w:t>utrwalania</w:t>
      </w:r>
      <w:r w:rsidR="0003778A" w:rsidRPr="003309A0">
        <w:t xml:space="preserve"> </w:t>
      </w:r>
      <w:r w:rsidRPr="003309A0">
        <w:t>wyskoaktywnych odpadów promieniotwórczych</w:t>
      </w:r>
      <w:r>
        <w:t>;</w:t>
      </w:r>
    </w:p>
    <w:p w14:paraId="07947BC5" w14:textId="77777777" w:rsidR="00084F8B" w:rsidRPr="003309A0" w:rsidRDefault="00084F8B" w:rsidP="002B04C7">
      <w:pPr>
        <w:numPr>
          <w:ilvl w:val="0"/>
          <w:numId w:val="62"/>
        </w:numPr>
        <w:ind w:left="408"/>
        <w:jc w:val="both"/>
      </w:pPr>
      <w:r w:rsidRPr="003309A0">
        <w:t>sposobami i materiałami do składowania odpadów promieniotwórczych, w szczególności wypalonego paliwa jądrowego</w:t>
      </w:r>
      <w:r>
        <w:t>;</w:t>
      </w:r>
    </w:p>
    <w:p w14:paraId="665CD78E" w14:textId="77777777" w:rsidR="00084F8B" w:rsidRDefault="00084F8B" w:rsidP="002B04C7">
      <w:pPr>
        <w:numPr>
          <w:ilvl w:val="0"/>
          <w:numId w:val="62"/>
        </w:numPr>
        <w:ind w:left="408"/>
        <w:jc w:val="both"/>
      </w:pPr>
      <w:r w:rsidRPr="003309A0">
        <w:t>nowymi barierami chemicznymi, inżynieryjnymi i fizycznymi</w:t>
      </w:r>
      <w:r>
        <w:t>;</w:t>
      </w:r>
    </w:p>
    <w:p w14:paraId="12C65C1F" w14:textId="77777777" w:rsidR="00084F8B" w:rsidRPr="003309A0" w:rsidRDefault="00084F8B" w:rsidP="00C87B85">
      <w:pPr>
        <w:numPr>
          <w:ilvl w:val="0"/>
          <w:numId w:val="62"/>
        </w:numPr>
        <w:spacing w:after="120"/>
        <w:ind w:left="402" w:hanging="357"/>
        <w:jc w:val="both"/>
      </w:pPr>
      <w:r>
        <w:t xml:space="preserve">wyborem lokalizacji składowiska głębokiego odpadów promieniotwórczych, w tym </w:t>
      </w:r>
      <w:r w:rsidR="00885CED">
        <w:t xml:space="preserve">nad </w:t>
      </w:r>
      <w:r>
        <w:t xml:space="preserve">stabilnością i właściwościami izolacyjnymi ośrodków skalnych. </w:t>
      </w:r>
    </w:p>
    <w:p w14:paraId="5EC8DC90" w14:textId="77777777" w:rsidR="00084F8B" w:rsidRPr="003309A0" w:rsidRDefault="00084F8B" w:rsidP="008D5796">
      <w:pPr>
        <w:pStyle w:val="Nagwek2"/>
      </w:pPr>
      <w:bookmarkStart w:id="148" w:name="_Toc397697042"/>
      <w:bookmarkStart w:id="149" w:name="_Toc424116738"/>
      <w:r>
        <w:t>6</w:t>
      </w:r>
      <w:r w:rsidRPr="007A1FA8">
        <w:t>.2</w:t>
      </w:r>
      <w:r>
        <w:t>.</w:t>
      </w:r>
      <w:r w:rsidRPr="007A1FA8">
        <w:t xml:space="preserve"> Program prac badawczych dla wytypowania bezpiecznej lokalizacji składowiska </w:t>
      </w:r>
      <w:r>
        <w:t>powierzchniowego odpadów promieniotwórczych</w:t>
      </w:r>
      <w:bookmarkEnd w:id="148"/>
      <w:bookmarkEnd w:id="149"/>
      <w:r w:rsidRPr="00512D49">
        <w:t xml:space="preserve"> </w:t>
      </w:r>
    </w:p>
    <w:p w14:paraId="5AC26F34" w14:textId="77777777" w:rsidR="00084F8B" w:rsidRPr="003309A0" w:rsidRDefault="00084F8B" w:rsidP="00C9739C">
      <w:pPr>
        <w:spacing w:before="120" w:after="120"/>
        <w:ind w:firstLine="567"/>
        <w:jc w:val="both"/>
      </w:pPr>
      <w:r w:rsidRPr="003309A0">
        <w:t>Celem prac w tym zakresie jest opracowani</w:t>
      </w:r>
      <w:r>
        <w:t>e</w:t>
      </w:r>
      <w:r w:rsidRPr="003309A0">
        <w:t xml:space="preserve"> metodyki oceny bezpieczeństwa, </w:t>
      </w:r>
      <w:r>
        <w:t xml:space="preserve">wsparcie w </w:t>
      </w:r>
      <w:r w:rsidRPr="003309A0">
        <w:t>wyb</w:t>
      </w:r>
      <w:r>
        <w:t>orze</w:t>
      </w:r>
      <w:r w:rsidRPr="003309A0">
        <w:t xml:space="preserve"> optymalnej lokalizacji składowiska, a następnie jego budowa z zapewnieniem maksymalnego poziomu bezpieczeństwa dla ludzi i</w:t>
      </w:r>
      <w:r>
        <w:t> </w:t>
      </w:r>
      <w:r w:rsidRPr="003309A0">
        <w:t xml:space="preserve">środowiska. Będą </w:t>
      </w:r>
      <w:r>
        <w:t xml:space="preserve">się </w:t>
      </w:r>
      <w:r w:rsidRPr="003309A0">
        <w:t>one koncentrować</w:t>
      </w:r>
      <w:r>
        <w:t xml:space="preserve"> </w:t>
      </w:r>
      <w:r w:rsidRPr="003309A0">
        <w:t>na:</w:t>
      </w:r>
    </w:p>
    <w:p w14:paraId="7031177F" w14:textId="77777777" w:rsidR="00084F8B" w:rsidRPr="003309A0" w:rsidRDefault="00084F8B" w:rsidP="002B04C7">
      <w:pPr>
        <w:numPr>
          <w:ilvl w:val="0"/>
          <w:numId w:val="61"/>
        </w:numPr>
        <w:tabs>
          <w:tab w:val="clear" w:pos="720"/>
        </w:tabs>
        <w:ind w:left="391" w:hanging="357"/>
        <w:jc w:val="both"/>
      </w:pPr>
      <w:r w:rsidRPr="003309A0">
        <w:t xml:space="preserve">badaniach geologicznych, </w:t>
      </w:r>
      <w:r>
        <w:t>w tym także geologiczno-inżynieryjnych, geofizycznych, hydrogeologicznych i geochemicznych;</w:t>
      </w:r>
    </w:p>
    <w:p w14:paraId="265F5BC6" w14:textId="77777777" w:rsidR="00084F8B" w:rsidRPr="003309A0" w:rsidRDefault="00084F8B" w:rsidP="002B04C7">
      <w:pPr>
        <w:numPr>
          <w:ilvl w:val="0"/>
          <w:numId w:val="61"/>
        </w:numPr>
        <w:tabs>
          <w:tab w:val="clear" w:pos="720"/>
        </w:tabs>
        <w:ind w:left="391" w:hanging="357"/>
        <w:jc w:val="both"/>
      </w:pPr>
      <w:r w:rsidRPr="003309A0">
        <w:t>badaniach warunków społeczno-ekonomicznych</w:t>
      </w:r>
      <w:r>
        <w:t>;</w:t>
      </w:r>
    </w:p>
    <w:p w14:paraId="33507F7D" w14:textId="77777777" w:rsidR="00084F8B" w:rsidRDefault="00084F8B" w:rsidP="002B04C7">
      <w:pPr>
        <w:numPr>
          <w:ilvl w:val="0"/>
          <w:numId w:val="61"/>
        </w:numPr>
        <w:tabs>
          <w:tab w:val="clear" w:pos="720"/>
        </w:tabs>
        <w:ind w:left="391" w:hanging="357"/>
        <w:jc w:val="both"/>
      </w:pPr>
      <w:r w:rsidRPr="003309A0">
        <w:t>badaniach geograficzno-przyrodniczych</w:t>
      </w:r>
      <w:r>
        <w:t>;</w:t>
      </w:r>
    </w:p>
    <w:p w14:paraId="3237BFF8" w14:textId="77777777" w:rsidR="00084F8B" w:rsidRDefault="00084F8B" w:rsidP="002B04C7">
      <w:pPr>
        <w:numPr>
          <w:ilvl w:val="0"/>
          <w:numId w:val="61"/>
        </w:numPr>
        <w:tabs>
          <w:tab w:val="clear" w:pos="720"/>
        </w:tabs>
        <w:ind w:left="391" w:hanging="357"/>
        <w:jc w:val="both"/>
      </w:pPr>
      <w:r>
        <w:t>symulacji i modelowaniu transportu radionuklidów przez system barier ochronnych;</w:t>
      </w:r>
    </w:p>
    <w:p w14:paraId="1FCC539B" w14:textId="77777777" w:rsidR="00084F8B" w:rsidRPr="003309A0" w:rsidRDefault="00084F8B" w:rsidP="00C87B85">
      <w:pPr>
        <w:numPr>
          <w:ilvl w:val="0"/>
          <w:numId w:val="61"/>
        </w:numPr>
        <w:tabs>
          <w:tab w:val="clear" w:pos="720"/>
        </w:tabs>
        <w:spacing w:after="120"/>
        <w:ind w:left="391" w:hanging="357"/>
        <w:jc w:val="both"/>
      </w:pPr>
      <w:r>
        <w:t>ocenie technologicznej i ekonomicznej możliwości zastosowania nowoczesnych sorbentów, jako dodatkowego uszczelnienia otoczenia składowiska powierzchniowego.</w:t>
      </w:r>
    </w:p>
    <w:p w14:paraId="7CB011DC" w14:textId="77777777" w:rsidR="00084F8B" w:rsidRPr="007A1FA8" w:rsidRDefault="00084F8B" w:rsidP="008D5796">
      <w:pPr>
        <w:pStyle w:val="Nagwek2"/>
      </w:pPr>
      <w:bookmarkStart w:id="150" w:name="_Toc397697043"/>
      <w:bookmarkStart w:id="151" w:name="_Toc424116739"/>
      <w:r>
        <w:t>6</w:t>
      </w:r>
      <w:r w:rsidRPr="007A1FA8">
        <w:t>.3</w:t>
      </w:r>
      <w:r>
        <w:t>.</w:t>
      </w:r>
      <w:r w:rsidRPr="007A1FA8">
        <w:t xml:space="preserve"> Program prac badawczych dla wytypowania bezpiecznej lokalizacji składowiska głębokiego odpadów </w:t>
      </w:r>
      <w:r>
        <w:t xml:space="preserve">promieniotwórczych </w:t>
      </w:r>
      <w:r w:rsidRPr="007A1FA8">
        <w:t>wysokoaktywnych</w:t>
      </w:r>
      <w:bookmarkEnd w:id="150"/>
      <w:bookmarkEnd w:id="151"/>
    </w:p>
    <w:p w14:paraId="09AA19BD" w14:textId="77777777" w:rsidR="00084F8B" w:rsidRPr="003309A0" w:rsidRDefault="00084F8B" w:rsidP="00C9739C">
      <w:pPr>
        <w:spacing w:before="120" w:after="120"/>
        <w:ind w:firstLine="567"/>
        <w:jc w:val="both"/>
      </w:pPr>
      <w:r w:rsidRPr="003309A0">
        <w:t xml:space="preserve">Celem prac w tym zakresie jest </w:t>
      </w:r>
      <w:r>
        <w:t xml:space="preserve">wsparcie w procesie poszukiwania </w:t>
      </w:r>
      <w:r w:rsidRPr="003309A0">
        <w:t>optymalnej lokalizacji składowiska głębokiego</w:t>
      </w:r>
      <w:r>
        <w:t xml:space="preserve"> odpadów promieniotwórczych, </w:t>
      </w:r>
      <w:r w:rsidRPr="003309A0">
        <w:t>a następnie jego budowa z zapewnieniem maksymalnego poziomu bezpieczeństwa dla ludzi i środowiska. Będą się one koncentrować na:</w:t>
      </w:r>
    </w:p>
    <w:p w14:paraId="5DAA2207" w14:textId="77777777" w:rsidR="00084F8B" w:rsidRPr="003309A0" w:rsidRDefault="00084F8B" w:rsidP="00EC206E">
      <w:pPr>
        <w:numPr>
          <w:ilvl w:val="0"/>
          <w:numId w:val="60"/>
        </w:numPr>
        <w:ind w:left="392" w:hanging="357"/>
        <w:jc w:val="both"/>
      </w:pPr>
      <w:r w:rsidRPr="003309A0">
        <w:lastRenderedPageBreak/>
        <w:t>badaniach geologicznych</w:t>
      </w:r>
      <w:r>
        <w:t xml:space="preserve"> (m.in.</w:t>
      </w:r>
      <w:r w:rsidRPr="003309A0">
        <w:t xml:space="preserve"> </w:t>
      </w:r>
      <w:r>
        <w:t xml:space="preserve">geologiczno-inżynierskich i geomechanicznych, strukturalnych i tektonicznych, sejsmologicznych, </w:t>
      </w:r>
      <w:r w:rsidRPr="003309A0">
        <w:t>hydrogeologicznych</w:t>
      </w:r>
      <w:r>
        <w:t>,</w:t>
      </w:r>
      <w:r w:rsidRPr="003309A0">
        <w:t xml:space="preserve"> geomorfologicznych</w:t>
      </w:r>
      <w:r>
        <w:t>, geochemicznych oraz mineralogicznych);</w:t>
      </w:r>
    </w:p>
    <w:p w14:paraId="62E8537D" w14:textId="77777777" w:rsidR="00084F8B" w:rsidRPr="003309A0" w:rsidRDefault="00084F8B" w:rsidP="00EC206E">
      <w:pPr>
        <w:numPr>
          <w:ilvl w:val="0"/>
          <w:numId w:val="60"/>
        </w:numPr>
        <w:ind w:left="406" w:hanging="357"/>
      </w:pPr>
      <w:r w:rsidRPr="003309A0">
        <w:t>badaniach warunków społeczno-ekonomicznych</w:t>
      </w:r>
      <w:r>
        <w:t>;</w:t>
      </w:r>
    </w:p>
    <w:p w14:paraId="05D7C04D" w14:textId="77777777" w:rsidR="00084F8B" w:rsidRPr="003309A0" w:rsidRDefault="00084F8B" w:rsidP="00EC206E">
      <w:pPr>
        <w:numPr>
          <w:ilvl w:val="0"/>
          <w:numId w:val="60"/>
        </w:numPr>
        <w:ind w:left="392" w:hanging="357"/>
      </w:pPr>
      <w:r w:rsidRPr="003309A0">
        <w:t>badaniach geograficzno-przyrodniczych</w:t>
      </w:r>
      <w:r>
        <w:t>;</w:t>
      </w:r>
    </w:p>
    <w:p w14:paraId="5DCCEE82" w14:textId="77777777" w:rsidR="00CE2CDD" w:rsidRDefault="00CE2CDD" w:rsidP="00CE2CDD">
      <w:pPr>
        <w:numPr>
          <w:ilvl w:val="0"/>
          <w:numId w:val="60"/>
        </w:numPr>
        <w:ind w:left="392" w:hanging="357"/>
      </w:pPr>
      <w:r w:rsidRPr="003309A0">
        <w:t xml:space="preserve">badaniach geofizycznych, w szczególności procesów </w:t>
      </w:r>
      <w:r>
        <w:t>termicznych wydzielania oraz transportu ciepła;</w:t>
      </w:r>
    </w:p>
    <w:p w14:paraId="40F8EDF0" w14:textId="554B66D1" w:rsidR="00084F8B" w:rsidRDefault="00CE2CDD" w:rsidP="00CE2CDD">
      <w:pPr>
        <w:numPr>
          <w:ilvl w:val="0"/>
          <w:numId w:val="60"/>
        </w:numPr>
        <w:ind w:left="392" w:hanging="357"/>
      </w:pPr>
      <w:r>
        <w:t xml:space="preserve">transportu radionuklidów  przez system barier ochronnych (przez symulację i modelowanie </w:t>
      </w:r>
      <w:r w:rsidR="00FA31C1">
        <w:t>wymiany masy</w:t>
      </w:r>
      <w:r>
        <w:t xml:space="preserve"> i ciepła)</w:t>
      </w:r>
      <w:r w:rsidR="00084F8B">
        <w:t>;</w:t>
      </w:r>
    </w:p>
    <w:p w14:paraId="28CCF139" w14:textId="77777777" w:rsidR="00084F8B" w:rsidRPr="003309A0" w:rsidRDefault="00084F8B" w:rsidP="00EC206E">
      <w:pPr>
        <w:numPr>
          <w:ilvl w:val="0"/>
          <w:numId w:val="60"/>
        </w:numPr>
        <w:ind w:left="392" w:hanging="357"/>
      </w:pPr>
      <w:r>
        <w:t>symulacji i modelowaniu transportu radionuklidów przez system barier ochronnych.</w:t>
      </w:r>
    </w:p>
    <w:p w14:paraId="594ED3CC" w14:textId="763919A1" w:rsidR="00084F8B" w:rsidRPr="00904041" w:rsidRDefault="00084F8B" w:rsidP="00904041">
      <w:pPr>
        <w:spacing w:before="120" w:after="120"/>
        <w:jc w:val="both"/>
      </w:pPr>
      <w:r>
        <w:t>J</w:t>
      </w:r>
      <w:r w:rsidRPr="003309A0">
        <w:t>ako miejsce lokalizacji składowiska głębokiego rozpatrywane będą</w:t>
      </w:r>
      <w:r w:rsidR="00904041">
        <w:t xml:space="preserve"> </w:t>
      </w:r>
      <w:r w:rsidRPr="00904041">
        <w:t>skał</w:t>
      </w:r>
      <w:r w:rsidR="00904041" w:rsidRPr="00904041">
        <w:t>y</w:t>
      </w:r>
      <w:r w:rsidRPr="00904041">
        <w:t xml:space="preserve"> krystaliczn</w:t>
      </w:r>
      <w:r w:rsidR="00904041" w:rsidRPr="00904041">
        <w:t>e</w:t>
      </w:r>
      <w:r w:rsidRPr="00904041">
        <w:t>, kompleks</w:t>
      </w:r>
      <w:r w:rsidR="00904041" w:rsidRPr="00904041">
        <w:t>y</w:t>
      </w:r>
      <w:r w:rsidRPr="00904041">
        <w:t xml:space="preserve"> iłowców, formacj</w:t>
      </w:r>
      <w:r w:rsidR="00904041" w:rsidRPr="00904041">
        <w:t>e</w:t>
      </w:r>
      <w:r w:rsidRPr="00904041">
        <w:t xml:space="preserve"> soln</w:t>
      </w:r>
      <w:r w:rsidR="00904041" w:rsidRPr="00904041">
        <w:t>e</w:t>
      </w:r>
      <w:r w:rsidRPr="00904041">
        <w:t xml:space="preserve"> oraz tufi</w:t>
      </w:r>
      <w:r w:rsidR="00904041" w:rsidRPr="00904041">
        <w:t>ty</w:t>
      </w:r>
      <w:r w:rsidRPr="00904041">
        <w:t>.</w:t>
      </w:r>
      <w:r w:rsidR="00C31456" w:rsidRPr="00904041">
        <w:t xml:space="preserve"> </w:t>
      </w:r>
    </w:p>
    <w:p w14:paraId="5E405E47" w14:textId="771BD44D" w:rsidR="009B5FBA" w:rsidRPr="007A1FA8" w:rsidRDefault="009B5FBA" w:rsidP="009B5FBA">
      <w:pPr>
        <w:pStyle w:val="Nagwek2"/>
      </w:pPr>
      <w:r>
        <w:t>6.4.</w:t>
      </w:r>
      <w:r w:rsidRPr="007A1FA8">
        <w:t xml:space="preserve"> Program prac badawczych </w:t>
      </w:r>
      <w:r>
        <w:t xml:space="preserve">NAD ZAMKNIĘCIEM KSOp </w:t>
      </w:r>
    </w:p>
    <w:p w14:paraId="52E890C1" w14:textId="0228E700" w:rsidR="009B5FBA" w:rsidRPr="009B5FBA" w:rsidRDefault="009B5FBA" w:rsidP="009B5FBA">
      <w:pPr>
        <w:spacing w:before="120" w:after="120"/>
        <w:ind w:firstLine="567"/>
        <w:jc w:val="both"/>
      </w:pPr>
      <w:r w:rsidRPr="009B5FBA">
        <w:t xml:space="preserve">Celem prac w tym zakresie jest </w:t>
      </w:r>
      <w:r w:rsidR="00956B73">
        <w:t xml:space="preserve">wybór optymalnej opcji </w:t>
      </w:r>
      <w:r>
        <w:t xml:space="preserve">zamknięcia KSOP </w:t>
      </w:r>
      <w:r w:rsidRPr="009B5FBA">
        <w:t>z zapewnieniem maksymalnego poziomu bezpieczeństwa dla ludzi i środowiska</w:t>
      </w:r>
      <w:r>
        <w:t>.</w:t>
      </w:r>
      <w:r w:rsidRPr="009B5FBA">
        <w:t xml:space="preserve"> Będą się one koncentrować na:</w:t>
      </w:r>
    </w:p>
    <w:p w14:paraId="4C1FF6CC" w14:textId="62926DCE" w:rsidR="009B5FBA" w:rsidRDefault="00956B73" w:rsidP="009B5FBA">
      <w:pPr>
        <w:numPr>
          <w:ilvl w:val="0"/>
          <w:numId w:val="60"/>
        </w:numPr>
        <w:ind w:left="392" w:hanging="357"/>
        <w:jc w:val="both"/>
      </w:pPr>
      <w:r>
        <w:t>badaniach nad wyborem pokrywy dla zamknięcia;</w:t>
      </w:r>
    </w:p>
    <w:p w14:paraId="161F5093" w14:textId="7212874A" w:rsidR="00956B73" w:rsidRDefault="00956B73" w:rsidP="009B5FBA">
      <w:pPr>
        <w:numPr>
          <w:ilvl w:val="0"/>
          <w:numId w:val="60"/>
        </w:numPr>
        <w:ind w:left="392" w:hanging="357"/>
        <w:jc w:val="both"/>
      </w:pPr>
      <w:r>
        <w:t xml:space="preserve">sposobach </w:t>
      </w:r>
      <w:r w:rsidRPr="00956B73">
        <w:t>monitoring</w:t>
      </w:r>
      <w:r>
        <w:t>u</w:t>
      </w:r>
      <w:r w:rsidRPr="00956B73">
        <w:t xml:space="preserve"> składowisk</w:t>
      </w:r>
      <w:r>
        <w:t xml:space="preserve"> po zamknięciu;</w:t>
      </w:r>
    </w:p>
    <w:p w14:paraId="1B66FEC5" w14:textId="77777777" w:rsidR="009B5FBA" w:rsidRPr="003309A0" w:rsidRDefault="009B5FBA" w:rsidP="009B5FBA">
      <w:pPr>
        <w:numPr>
          <w:ilvl w:val="0"/>
          <w:numId w:val="60"/>
        </w:numPr>
        <w:ind w:left="392" w:hanging="357"/>
        <w:jc w:val="both"/>
      </w:pPr>
      <w:r w:rsidRPr="003309A0">
        <w:t>badaniach geologicznych</w:t>
      </w:r>
      <w:r>
        <w:t xml:space="preserve"> (m.in.</w:t>
      </w:r>
      <w:r w:rsidRPr="003309A0">
        <w:t xml:space="preserve"> </w:t>
      </w:r>
      <w:r>
        <w:t xml:space="preserve">geologiczno-inżynierskich i geomechanicznych, strukturalnych i tektonicznych, sejsmologicznych, </w:t>
      </w:r>
      <w:r w:rsidRPr="003309A0">
        <w:t>hydrogeologicznych</w:t>
      </w:r>
      <w:r>
        <w:t>,</w:t>
      </w:r>
      <w:r w:rsidRPr="003309A0">
        <w:t xml:space="preserve"> geomorfologicznych</w:t>
      </w:r>
      <w:r>
        <w:t>, geochemicznych oraz mineralogicznych);</w:t>
      </w:r>
    </w:p>
    <w:p w14:paraId="6EF81CE1" w14:textId="77777777" w:rsidR="00CF2B78" w:rsidRDefault="009B5FBA" w:rsidP="00CF2B78">
      <w:pPr>
        <w:numPr>
          <w:ilvl w:val="0"/>
          <w:numId w:val="60"/>
        </w:numPr>
        <w:ind w:left="392" w:hanging="357"/>
      </w:pPr>
      <w:r w:rsidRPr="003309A0">
        <w:t>badaniach geofizycznych, w szczególności procesów termicznych</w:t>
      </w:r>
      <w:r>
        <w:t>;</w:t>
      </w:r>
    </w:p>
    <w:p w14:paraId="54D1E588" w14:textId="3F78D662" w:rsidR="00C56E87" w:rsidRPr="00CF2B78" w:rsidRDefault="00C56E87" w:rsidP="00CF2B78">
      <w:pPr>
        <w:numPr>
          <w:ilvl w:val="0"/>
          <w:numId w:val="60"/>
        </w:numPr>
        <w:ind w:left="392" w:hanging="357"/>
      </w:pPr>
      <w:r>
        <w:t>procesami zapobiegania migracji radionuklidów z rejonów składowisk:</w:t>
      </w:r>
    </w:p>
    <w:p w14:paraId="135F6894" w14:textId="77777777" w:rsidR="00C56E87" w:rsidRPr="002F28A1" w:rsidRDefault="00C56E87" w:rsidP="00C56E87">
      <w:pPr>
        <w:ind w:left="392"/>
      </w:pPr>
      <w:r w:rsidRPr="002F28A1">
        <w:t>- systemy barier ochronnych (chemiczna, fizyczna, inżynierska, naturalna);</w:t>
      </w:r>
    </w:p>
    <w:p w14:paraId="5F7960D7" w14:textId="4E3BA4E5" w:rsidR="00C56E87" w:rsidRPr="00C31456" w:rsidRDefault="00C56E87" w:rsidP="00C56E87">
      <w:pPr>
        <w:ind w:left="392"/>
      </w:pPr>
      <w:r w:rsidRPr="00C31456">
        <w:t>- przygotowanie odpadów do składowania;</w:t>
      </w:r>
    </w:p>
    <w:p w14:paraId="1E349D4C" w14:textId="40817D7B" w:rsidR="009B5FBA" w:rsidRDefault="009B5FBA" w:rsidP="00956B73">
      <w:pPr>
        <w:numPr>
          <w:ilvl w:val="0"/>
          <w:numId w:val="60"/>
        </w:numPr>
        <w:ind w:left="392" w:hanging="357"/>
      </w:pPr>
      <w:r w:rsidRPr="002F28A1">
        <w:t>s</w:t>
      </w:r>
      <w:r>
        <w:t>ymulacji i modelowaniu transportu radionuklidów przez system barier ochronnych.</w:t>
      </w:r>
    </w:p>
    <w:p w14:paraId="199C7C6E" w14:textId="77777777" w:rsidR="00956B73" w:rsidRDefault="00956B73" w:rsidP="00956B73">
      <w:pPr>
        <w:ind w:left="392"/>
      </w:pPr>
    </w:p>
    <w:p w14:paraId="109B2FA6" w14:textId="111E3D95" w:rsidR="00956B73" w:rsidRPr="007A1FA8" w:rsidRDefault="00956B73" w:rsidP="00956B73">
      <w:pPr>
        <w:pStyle w:val="Nagwek2"/>
      </w:pPr>
      <w:r>
        <w:t>6.5.</w:t>
      </w:r>
      <w:r w:rsidRPr="007A1FA8">
        <w:t xml:space="preserve"> Program prac badawczych </w:t>
      </w:r>
      <w:r>
        <w:t>DAL ZUOP</w:t>
      </w:r>
    </w:p>
    <w:p w14:paraId="2C7FA057" w14:textId="2570666E" w:rsidR="00956B73" w:rsidRPr="009B5FBA" w:rsidRDefault="00956B73" w:rsidP="00956B73">
      <w:pPr>
        <w:spacing w:before="120" w:after="120"/>
        <w:ind w:firstLine="567"/>
        <w:jc w:val="both"/>
      </w:pPr>
      <w:r w:rsidRPr="009B5FBA">
        <w:t xml:space="preserve">Celem prac w tym zakresie jest </w:t>
      </w:r>
      <w:r>
        <w:t xml:space="preserve">sprostanie </w:t>
      </w:r>
      <w:r w:rsidR="00FA31C1">
        <w:t>potrzebom rozwoju</w:t>
      </w:r>
      <w:r w:rsidR="00C56E87">
        <w:t xml:space="preserve"> </w:t>
      </w:r>
      <w:r>
        <w:t xml:space="preserve">ZUOP </w:t>
      </w:r>
      <w:r w:rsidR="00C56E87">
        <w:t>w zakresie zapewnien</w:t>
      </w:r>
      <w:r w:rsidR="00FA31C1">
        <w:t>ia</w:t>
      </w:r>
      <w:r w:rsidR="00C56E87">
        <w:t xml:space="preserve"> </w:t>
      </w:r>
      <w:r w:rsidR="00FA31C1">
        <w:t>odpowiednio</w:t>
      </w:r>
      <w:r w:rsidR="00C56E87">
        <w:t xml:space="preserve"> bezpiecznego i sprawnego postępowania </w:t>
      </w:r>
      <w:r w:rsidR="00FA31C1">
        <w:t>z odpadami</w:t>
      </w:r>
      <w:r w:rsidR="00C56E87">
        <w:t xml:space="preserve"> </w:t>
      </w:r>
      <w:r w:rsidR="00FA31C1">
        <w:t>promieniotwórczymi</w:t>
      </w:r>
      <w:r>
        <w:t>.</w:t>
      </w:r>
      <w:r w:rsidRPr="009B5FBA">
        <w:t xml:space="preserve"> Będą się one koncentrować na:</w:t>
      </w:r>
    </w:p>
    <w:p w14:paraId="43CAACBC" w14:textId="77777777" w:rsidR="00C56E87" w:rsidRPr="00C56E87" w:rsidRDefault="00C56E87" w:rsidP="00C56E87">
      <w:pPr>
        <w:numPr>
          <w:ilvl w:val="0"/>
          <w:numId w:val="60"/>
        </w:numPr>
        <w:ind w:left="392" w:hanging="357"/>
        <w:jc w:val="both"/>
      </w:pPr>
      <w:r w:rsidRPr="00C56E87">
        <w:t>rozw</w:t>
      </w:r>
      <w:r>
        <w:t>o</w:t>
      </w:r>
      <w:r w:rsidRPr="00C56E87">
        <w:t>j</w:t>
      </w:r>
      <w:r>
        <w:t>em</w:t>
      </w:r>
      <w:r w:rsidRPr="00C56E87">
        <w:t xml:space="preserve"> metod przetwarzania odpadów nisko- i średnioaktywnych;</w:t>
      </w:r>
    </w:p>
    <w:p w14:paraId="0A053205" w14:textId="7CFB046A" w:rsidR="00C56E87" w:rsidRPr="00C56E87" w:rsidRDefault="00C56E87" w:rsidP="00C56E87">
      <w:pPr>
        <w:numPr>
          <w:ilvl w:val="0"/>
          <w:numId w:val="60"/>
        </w:numPr>
        <w:ind w:left="392" w:hanging="357"/>
        <w:jc w:val="both"/>
      </w:pPr>
      <w:r w:rsidRPr="00C56E87">
        <w:t>przechowywanie</w:t>
      </w:r>
      <w:r>
        <w:t>m</w:t>
      </w:r>
      <w:r w:rsidRPr="00C56E87">
        <w:t xml:space="preserve"> i transport</w:t>
      </w:r>
      <w:r>
        <w:t>em</w:t>
      </w:r>
      <w:r w:rsidRPr="00C56E87">
        <w:t xml:space="preserve"> wypalonego paliwa jądrowego;</w:t>
      </w:r>
    </w:p>
    <w:p w14:paraId="4174F881" w14:textId="77777777" w:rsidR="00C56E87" w:rsidRDefault="00C56E87" w:rsidP="00C56E87">
      <w:pPr>
        <w:numPr>
          <w:ilvl w:val="0"/>
          <w:numId w:val="60"/>
        </w:numPr>
        <w:ind w:left="392" w:hanging="357"/>
        <w:jc w:val="both"/>
      </w:pPr>
      <w:r>
        <w:t>technologiami</w:t>
      </w:r>
      <w:r w:rsidRPr="003309A0">
        <w:t xml:space="preserve"> pakowania odpadów promieniotwórczych</w:t>
      </w:r>
      <w:r>
        <w:t>;</w:t>
      </w:r>
    </w:p>
    <w:p w14:paraId="6F06ACDD" w14:textId="254DCD16" w:rsidR="00C56E87" w:rsidRDefault="00C56E87" w:rsidP="00C56E87">
      <w:pPr>
        <w:numPr>
          <w:ilvl w:val="0"/>
          <w:numId w:val="60"/>
        </w:numPr>
        <w:ind w:left="392" w:hanging="357"/>
        <w:jc w:val="both"/>
      </w:pPr>
      <w:r>
        <w:t>procedurach postępowania z odpadami promieniotwórczymi różnego rodzaju: z długożyciowymi średnio- i wysokoaktywnymi oraz wypalonym paliwem jądrowym oraz z krótkożyciowymi nisko- i średnioaktywnymi;</w:t>
      </w:r>
    </w:p>
    <w:p w14:paraId="6E22977D" w14:textId="5BD3F820" w:rsidR="00C56E87" w:rsidRDefault="00C56E87" w:rsidP="00C56E87">
      <w:pPr>
        <w:numPr>
          <w:ilvl w:val="0"/>
          <w:numId w:val="60"/>
        </w:numPr>
        <w:ind w:left="392" w:hanging="357"/>
        <w:jc w:val="both"/>
      </w:pPr>
      <w:r>
        <w:t>transporcie lądowym odpadów i substancji promieniotwórczych;</w:t>
      </w:r>
    </w:p>
    <w:p w14:paraId="521017D7" w14:textId="77777777" w:rsidR="00183E9C" w:rsidRPr="00183E9C" w:rsidRDefault="00183E9C" w:rsidP="00183E9C">
      <w:pPr>
        <w:numPr>
          <w:ilvl w:val="0"/>
          <w:numId w:val="60"/>
        </w:numPr>
        <w:ind w:left="392" w:hanging="357"/>
        <w:jc w:val="both"/>
      </w:pPr>
      <w:r w:rsidRPr="00183E9C">
        <w:t>rozwój metod numerycznych w celu lepszego zrozumienia procesów transportu masy i ciepła w obiektach jądrowych związanych z przechowywaniem i składowaniem wypalonego paliwa jądrowego oraz składowiskach odpadów promieniotwórczych;</w:t>
      </w:r>
    </w:p>
    <w:p w14:paraId="4E6F7EC7" w14:textId="77777777" w:rsidR="00183E9C" w:rsidRPr="00183E9C" w:rsidRDefault="00183E9C" w:rsidP="00183E9C">
      <w:pPr>
        <w:numPr>
          <w:ilvl w:val="0"/>
          <w:numId w:val="60"/>
        </w:numPr>
        <w:ind w:left="392" w:hanging="357"/>
        <w:jc w:val="both"/>
      </w:pPr>
      <w:r w:rsidRPr="00183E9C">
        <w:t>rozwój metod dotyczących starzenia się materiałów w obiektach jądrowych;</w:t>
      </w:r>
    </w:p>
    <w:p w14:paraId="265F72CF" w14:textId="77777777" w:rsidR="00183E9C" w:rsidRPr="00183E9C" w:rsidRDefault="00183E9C" w:rsidP="00183E9C">
      <w:pPr>
        <w:numPr>
          <w:ilvl w:val="0"/>
          <w:numId w:val="60"/>
        </w:numPr>
        <w:ind w:left="392" w:hanging="357"/>
        <w:jc w:val="both"/>
      </w:pPr>
      <w:r w:rsidRPr="00183E9C">
        <w:t>rozwój technik pomiarowych oraz aparatury pomiarowej dla obiektów jądrowych oraz składowisk odpadów promieniotwórczych;</w:t>
      </w:r>
    </w:p>
    <w:p w14:paraId="3F744FFD" w14:textId="77777777" w:rsidR="00183E9C" w:rsidRPr="00183E9C" w:rsidRDefault="00183E9C" w:rsidP="00183E9C">
      <w:pPr>
        <w:numPr>
          <w:ilvl w:val="0"/>
          <w:numId w:val="60"/>
        </w:numPr>
        <w:ind w:left="392" w:hanging="357"/>
        <w:jc w:val="both"/>
      </w:pPr>
      <w:r w:rsidRPr="00183E9C">
        <w:t>kryteria akceptacji odpadów promieniotwórczych dla składowisk powierzchniowych i geologicznych;</w:t>
      </w:r>
    </w:p>
    <w:p w14:paraId="40202CE0" w14:textId="65703924" w:rsidR="00084F8B" w:rsidRDefault="00956B73" w:rsidP="003A36BC">
      <w:pPr>
        <w:numPr>
          <w:ilvl w:val="0"/>
          <w:numId w:val="60"/>
        </w:numPr>
        <w:spacing w:before="120" w:after="120"/>
        <w:ind w:left="392" w:hanging="357"/>
      </w:pPr>
      <w:r>
        <w:t>symulacji i modelowaniu transportu radionuklidów przez system barier ochronnych.</w:t>
      </w:r>
      <w:r w:rsidR="00084F8B">
        <w:br w:type="page"/>
      </w:r>
    </w:p>
    <w:p w14:paraId="2D665934" w14:textId="77777777" w:rsidR="00084F8B" w:rsidRPr="00800F6F" w:rsidRDefault="00084F8B" w:rsidP="00AE65C6">
      <w:pPr>
        <w:pStyle w:val="Nagwek1"/>
        <w:spacing w:before="360" w:after="360"/>
        <w:jc w:val="both"/>
        <w:rPr>
          <w:rFonts w:cs="Calibri"/>
        </w:rPr>
      </w:pPr>
      <w:bookmarkStart w:id="152" w:name="_Toc397697044"/>
      <w:bookmarkStart w:id="153" w:name="_Toc424116740"/>
      <w:r w:rsidRPr="00800F6F">
        <w:rPr>
          <w:rFonts w:cs="Calibri"/>
        </w:rPr>
        <w:lastRenderedPageBreak/>
        <w:t>Rozdział 7. Podmioty zaangażowane w realizację Krajowego planu oraz najważniejsze wskaźniki służące monitorowaniu jego realizacji</w:t>
      </w:r>
      <w:bookmarkEnd w:id="152"/>
      <w:bookmarkEnd w:id="153"/>
    </w:p>
    <w:p w14:paraId="4A78F2D6" w14:textId="77777777" w:rsidR="00084F8B" w:rsidRPr="003D7AE9" w:rsidRDefault="00084F8B" w:rsidP="00D95B64"/>
    <w:p w14:paraId="1D08D882" w14:textId="77777777" w:rsidR="00084F8B" w:rsidRPr="007A1FA8" w:rsidRDefault="00084F8B" w:rsidP="008D5796">
      <w:pPr>
        <w:pStyle w:val="Nagwek2"/>
        <w:rPr>
          <w:color w:val="000000"/>
        </w:rPr>
      </w:pPr>
      <w:bookmarkStart w:id="154" w:name="_Toc397697045"/>
      <w:bookmarkStart w:id="155" w:name="_Toc424116741"/>
      <w:r>
        <w:rPr>
          <w:color w:val="000000"/>
        </w:rPr>
        <w:t>7</w:t>
      </w:r>
      <w:r w:rsidRPr="007A1FA8">
        <w:rPr>
          <w:color w:val="000000"/>
        </w:rPr>
        <w:t xml:space="preserve">.1. </w:t>
      </w:r>
      <w:r w:rsidRPr="00E45810">
        <w:t xml:space="preserve">Minister </w:t>
      </w:r>
      <w:r>
        <w:t>właściwy ds.</w:t>
      </w:r>
      <w:bookmarkEnd w:id="154"/>
      <w:bookmarkEnd w:id="155"/>
      <w:r w:rsidR="00C14E45">
        <w:t xml:space="preserve"> ENERGII</w:t>
      </w:r>
    </w:p>
    <w:p w14:paraId="7766A1C1" w14:textId="19FDF051" w:rsidR="00084F8B" w:rsidRDefault="00084F8B" w:rsidP="00C87B85">
      <w:pPr>
        <w:spacing w:before="120" w:after="120"/>
        <w:ind w:firstLine="567"/>
        <w:jc w:val="both"/>
      </w:pPr>
      <w:r w:rsidRPr="00E45810">
        <w:t xml:space="preserve">Minister </w:t>
      </w:r>
      <w:r>
        <w:t xml:space="preserve">właściwy ds. </w:t>
      </w:r>
      <w:r w:rsidR="00C64765">
        <w:t>energii</w:t>
      </w:r>
      <w:r w:rsidR="00C64765" w:rsidRPr="003309A0" w:rsidDel="00807002">
        <w:t xml:space="preserve"> </w:t>
      </w:r>
      <w:r w:rsidRPr="003309A0">
        <w:t xml:space="preserve">jest odpowiedzialny za przygotowanie i realizację polityki państwa w zakresie gospodarki wypalonym paliwem jądrowym i odpadami promieniotwórczymi oraz </w:t>
      </w:r>
      <w:r>
        <w:t xml:space="preserve">za </w:t>
      </w:r>
      <w:r w:rsidRPr="003309A0">
        <w:t>przygotowanie i wdrożenie stosownych regulacji prawnych</w:t>
      </w:r>
      <w:r>
        <w:rPr>
          <w:rStyle w:val="Odwoanieprzypisudolnego"/>
        </w:rPr>
        <w:footnoteReference w:id="49"/>
      </w:r>
      <w:r w:rsidRPr="003309A0">
        <w:t xml:space="preserve">. Sprawuje także nadzór nad </w:t>
      </w:r>
      <w:r>
        <w:t>ZUOP</w:t>
      </w:r>
      <w:r w:rsidRPr="003309A0">
        <w:t>.</w:t>
      </w:r>
    </w:p>
    <w:p w14:paraId="24133FF8" w14:textId="1189D3D4" w:rsidR="002F28A1" w:rsidRDefault="002F28A1" w:rsidP="00C87B85">
      <w:pPr>
        <w:spacing w:before="120" w:after="120"/>
        <w:ind w:firstLine="567"/>
        <w:jc w:val="both"/>
      </w:pPr>
      <w:r w:rsidRPr="002F28A1">
        <w:t xml:space="preserve">Ponadto jego kompetencje obejmują kontrolę nad operatorem elektrowni jądrowej w zakresie prawidłowości wnoszenia wpłat i funkcjonowania funduszu likwidacyjnego. </w:t>
      </w:r>
    </w:p>
    <w:p w14:paraId="37586199" w14:textId="77777777" w:rsidR="00084F8B" w:rsidRPr="007A1FA8" w:rsidRDefault="00084F8B" w:rsidP="008D5796">
      <w:pPr>
        <w:pStyle w:val="Nagwek2"/>
      </w:pPr>
      <w:bookmarkStart w:id="156" w:name="_Toc397697046"/>
      <w:bookmarkStart w:id="157" w:name="_Toc424116742"/>
      <w:r>
        <w:t>7</w:t>
      </w:r>
      <w:r w:rsidRPr="007A1FA8">
        <w:t>.</w:t>
      </w:r>
      <w:r>
        <w:t>2.</w:t>
      </w:r>
      <w:r w:rsidRPr="007A1FA8">
        <w:t xml:space="preserve"> </w:t>
      </w:r>
      <w:r>
        <w:t>Minister właściwy ds. nauki</w:t>
      </w:r>
      <w:bookmarkEnd w:id="156"/>
      <w:bookmarkEnd w:id="157"/>
    </w:p>
    <w:p w14:paraId="54A5076B" w14:textId="77777777" w:rsidR="00084F8B" w:rsidRPr="003309A0" w:rsidRDefault="00084F8B" w:rsidP="00AD6D12">
      <w:pPr>
        <w:spacing w:before="120" w:after="120"/>
        <w:ind w:firstLine="567"/>
        <w:jc w:val="both"/>
      </w:pPr>
      <w:r w:rsidRPr="003309A0">
        <w:rPr>
          <w:rFonts w:eastAsia="MS Mincho"/>
          <w:lang w:eastAsia="ja-JP"/>
        </w:rPr>
        <w:t>Minister</w:t>
      </w:r>
      <w:r>
        <w:rPr>
          <w:rFonts w:eastAsia="MS Mincho"/>
          <w:lang w:eastAsia="ja-JP"/>
        </w:rPr>
        <w:t xml:space="preserve"> </w:t>
      </w:r>
      <w:r>
        <w:t>właściwy ds. nauki</w:t>
      </w:r>
      <w:r w:rsidRPr="003309A0">
        <w:rPr>
          <w:rFonts w:eastAsia="MS Mincho"/>
          <w:lang w:eastAsia="ja-JP"/>
        </w:rPr>
        <w:t>, wspólnie z podległymi jednostkami (NCBi</w:t>
      </w:r>
      <w:r>
        <w:rPr>
          <w:rFonts w:eastAsia="MS Mincho"/>
          <w:lang w:eastAsia="ja-JP"/>
        </w:rPr>
        <w:t>R i NCN) odpowiada za s</w:t>
      </w:r>
      <w:r w:rsidRPr="003309A0">
        <w:rPr>
          <w:rFonts w:eastAsia="MS Mincho"/>
          <w:lang w:eastAsia="ja-JP"/>
        </w:rPr>
        <w:t>tworzenie programów naukowo-badawczych dotyczących gospodar</w:t>
      </w:r>
      <w:r>
        <w:rPr>
          <w:rFonts w:eastAsia="MS Mincho"/>
          <w:lang w:eastAsia="ja-JP"/>
        </w:rPr>
        <w:t xml:space="preserve">ki odpadami promieniotwórczymi </w:t>
      </w:r>
      <w:r w:rsidRPr="003309A0">
        <w:rPr>
          <w:rFonts w:eastAsia="MS Mincho"/>
          <w:lang w:eastAsia="ja-JP"/>
        </w:rPr>
        <w:t>i wypalonym paliwem jądrowym.</w:t>
      </w:r>
    </w:p>
    <w:p w14:paraId="5A1A6FBB" w14:textId="77777777" w:rsidR="00084F8B" w:rsidRPr="007A1FA8" w:rsidRDefault="00084F8B" w:rsidP="008D5796">
      <w:pPr>
        <w:pStyle w:val="Nagwek2"/>
      </w:pPr>
      <w:bookmarkStart w:id="158" w:name="_Toc397697047"/>
      <w:bookmarkStart w:id="159" w:name="_Toc424116743"/>
      <w:r>
        <w:t>7</w:t>
      </w:r>
      <w:r w:rsidRPr="007A1FA8">
        <w:t>.</w:t>
      </w:r>
      <w:r>
        <w:t>3</w:t>
      </w:r>
      <w:r w:rsidRPr="007A1FA8">
        <w:t>. Prezes Państwowej Agencji Atomistyki</w:t>
      </w:r>
      <w:bookmarkEnd w:id="158"/>
      <w:bookmarkEnd w:id="159"/>
    </w:p>
    <w:p w14:paraId="433D4D4C" w14:textId="77777777" w:rsidR="00BF3D13" w:rsidRDefault="00084F8B" w:rsidP="00C87B85">
      <w:pPr>
        <w:spacing w:before="120" w:after="120"/>
        <w:ind w:firstLine="567"/>
        <w:jc w:val="both"/>
        <w:rPr>
          <w:rFonts w:eastAsia="MS Mincho" w:cs="Calibri"/>
          <w:lang w:eastAsia="ja-JP"/>
        </w:rPr>
      </w:pPr>
      <w:r w:rsidRPr="00FA068C">
        <w:rPr>
          <w:rFonts w:cs="Calibri"/>
        </w:rPr>
        <w:t>Do zakresu działania Prezesa PAA</w:t>
      </w:r>
      <w:r w:rsidR="00684CB5">
        <w:rPr>
          <w:rFonts w:cs="Calibri"/>
        </w:rPr>
        <w:t xml:space="preserve"> </w:t>
      </w:r>
      <w:r w:rsidRPr="00FA068C">
        <w:rPr>
          <w:rFonts w:cs="Calibri"/>
        </w:rPr>
        <w:t>należy wykonywanie zadań związanych z</w:t>
      </w:r>
      <w:r w:rsidR="00C64765">
        <w:rPr>
          <w:rFonts w:cs="Calibri"/>
        </w:rPr>
        <w:t xml:space="preserve"> nadzorem nad</w:t>
      </w:r>
      <w:r w:rsidRPr="00FA068C">
        <w:rPr>
          <w:rFonts w:cs="Calibri"/>
        </w:rPr>
        <w:t xml:space="preserve"> bezpieczeństwem jądrowym i ochroną radiologiczną kraju</w:t>
      </w:r>
      <w:r w:rsidRPr="00FA068C">
        <w:rPr>
          <w:rStyle w:val="Odwoanieprzypisudolnego"/>
          <w:rFonts w:cs="Calibri"/>
        </w:rPr>
        <w:footnoteReference w:id="50"/>
      </w:r>
      <w:r w:rsidRPr="00FA068C">
        <w:rPr>
          <w:rFonts w:eastAsia="MS Mincho" w:cs="Calibri"/>
          <w:lang w:eastAsia="ja-JP"/>
        </w:rPr>
        <w:t>. Prezes PAA prowadzi</w:t>
      </w:r>
      <w:r w:rsidR="00684CB5">
        <w:rPr>
          <w:rFonts w:eastAsia="MS Mincho" w:cs="Calibri"/>
          <w:lang w:eastAsia="ja-JP"/>
        </w:rPr>
        <w:t>, w zakresie objętym Krajowym planem</w:t>
      </w:r>
      <w:r w:rsidRPr="00FA068C">
        <w:rPr>
          <w:rFonts w:eastAsia="MS Mincho" w:cs="Calibri"/>
          <w:lang w:eastAsia="ja-JP"/>
        </w:rPr>
        <w:t xml:space="preserve"> określone przez prawo działania reglamentacyjne, nadzorcze i kontrolne w odniesieniu do</w:t>
      </w:r>
      <w:r w:rsidR="00BF3D13">
        <w:rPr>
          <w:rFonts w:eastAsia="MS Mincho" w:cs="Calibri"/>
          <w:lang w:eastAsia="ja-JP"/>
        </w:rPr>
        <w:t>:</w:t>
      </w:r>
    </w:p>
    <w:p w14:paraId="21CB39D3" w14:textId="77777777" w:rsidR="00BF3D13" w:rsidRDefault="00BF3D13" w:rsidP="00AD6D12">
      <w:pPr>
        <w:pStyle w:val="Akapitzlist"/>
        <w:numPr>
          <w:ilvl w:val="0"/>
          <w:numId w:val="128"/>
        </w:numPr>
        <w:spacing w:before="120" w:after="120"/>
        <w:ind w:left="709" w:hanging="283"/>
        <w:jc w:val="both"/>
        <w:rPr>
          <w:rFonts w:cs="Calibri"/>
        </w:rPr>
      </w:pPr>
      <w:r w:rsidRPr="00BF3D13">
        <w:rPr>
          <w:rFonts w:cs="Calibri"/>
        </w:rPr>
        <w:t xml:space="preserve">przechowywania, transportu </w:t>
      </w:r>
      <w:r>
        <w:rPr>
          <w:rFonts w:cs="Calibri"/>
        </w:rPr>
        <w:t>przetwarzania lub składowania odpadów promieniotwórczych;</w:t>
      </w:r>
    </w:p>
    <w:p w14:paraId="0C7605A2" w14:textId="77777777" w:rsidR="00BF3D13" w:rsidRDefault="00BF3D13" w:rsidP="00AD6D12">
      <w:pPr>
        <w:pStyle w:val="Akapitzlist"/>
        <w:numPr>
          <w:ilvl w:val="0"/>
          <w:numId w:val="128"/>
        </w:numPr>
        <w:spacing w:before="120" w:after="120"/>
        <w:ind w:left="709" w:hanging="283"/>
        <w:jc w:val="both"/>
        <w:rPr>
          <w:rFonts w:cs="Calibri"/>
        </w:rPr>
      </w:pPr>
      <w:r w:rsidRPr="00BF3D13">
        <w:rPr>
          <w:rFonts w:cs="Calibri"/>
        </w:rPr>
        <w:t>przechowywania, transportu</w:t>
      </w:r>
      <w:r>
        <w:rPr>
          <w:rFonts w:cs="Calibri"/>
        </w:rPr>
        <w:t>, prze</w:t>
      </w:r>
      <w:r w:rsidR="00BC7711">
        <w:rPr>
          <w:rFonts w:cs="Calibri"/>
        </w:rPr>
        <w:t>r</w:t>
      </w:r>
      <w:r w:rsidR="009F4776">
        <w:rPr>
          <w:rFonts w:cs="Calibri"/>
        </w:rPr>
        <w:t>o</w:t>
      </w:r>
      <w:r w:rsidR="00BC7711">
        <w:rPr>
          <w:rFonts w:cs="Calibri"/>
        </w:rPr>
        <w:t>b</w:t>
      </w:r>
      <w:r w:rsidR="009F4776">
        <w:rPr>
          <w:rFonts w:cs="Calibri"/>
        </w:rPr>
        <w:t>u</w:t>
      </w:r>
      <w:r>
        <w:rPr>
          <w:rFonts w:cs="Calibri"/>
        </w:rPr>
        <w:t xml:space="preserve"> wypalonego paliwa jądrowego i obrotu tym paliwem;</w:t>
      </w:r>
    </w:p>
    <w:p w14:paraId="26C2D140" w14:textId="77777777" w:rsidR="00BF3D13" w:rsidRDefault="00BF3D13" w:rsidP="00AD6D12">
      <w:pPr>
        <w:pStyle w:val="Akapitzlist"/>
        <w:numPr>
          <w:ilvl w:val="0"/>
          <w:numId w:val="128"/>
        </w:numPr>
        <w:spacing w:before="120" w:after="120"/>
        <w:ind w:left="709" w:hanging="283"/>
        <w:jc w:val="both"/>
        <w:rPr>
          <w:rFonts w:cs="Calibri"/>
        </w:rPr>
      </w:pPr>
      <w:r>
        <w:rPr>
          <w:rFonts w:cs="Calibri"/>
        </w:rPr>
        <w:t>likwidacji obiektów jądrowych;</w:t>
      </w:r>
    </w:p>
    <w:p w14:paraId="1AE23CF9" w14:textId="77777777" w:rsidR="00BF3D13" w:rsidRDefault="00BF3D13" w:rsidP="00AD6D12">
      <w:pPr>
        <w:pStyle w:val="Akapitzlist"/>
        <w:numPr>
          <w:ilvl w:val="0"/>
          <w:numId w:val="128"/>
        </w:numPr>
        <w:spacing w:before="120" w:after="120"/>
        <w:ind w:left="709" w:hanging="283"/>
        <w:jc w:val="both"/>
        <w:rPr>
          <w:rFonts w:cs="Calibri"/>
        </w:rPr>
      </w:pPr>
      <w:r>
        <w:rPr>
          <w:rFonts w:cs="Calibri"/>
        </w:rPr>
        <w:t xml:space="preserve">budowy, </w:t>
      </w:r>
      <w:r w:rsidR="00684CB5">
        <w:rPr>
          <w:rFonts w:cs="Calibri"/>
        </w:rPr>
        <w:t>eksploatacji</w:t>
      </w:r>
      <w:r>
        <w:rPr>
          <w:rFonts w:cs="Calibri"/>
        </w:rPr>
        <w:t xml:space="preserve"> i zamykania składowisk odpadów promieniotwórczych</w:t>
      </w:r>
      <w:r w:rsidR="00684CB5">
        <w:rPr>
          <w:rStyle w:val="Odwoanieprzypisudolnego"/>
        </w:rPr>
        <w:footnoteReference w:id="51"/>
      </w:r>
      <w:r>
        <w:rPr>
          <w:rFonts w:cs="Calibri"/>
        </w:rPr>
        <w:t>;</w:t>
      </w:r>
    </w:p>
    <w:p w14:paraId="519D9442" w14:textId="77777777" w:rsidR="00084F8B" w:rsidRPr="00B7178B" w:rsidRDefault="00084F8B" w:rsidP="002F28A1">
      <w:pPr>
        <w:pStyle w:val="Nagwek2"/>
      </w:pPr>
      <w:bookmarkStart w:id="160" w:name="_Toc397697048"/>
      <w:bookmarkStart w:id="161" w:name="_Toc424116744"/>
      <w:r w:rsidRPr="00B7178B">
        <w:t>7.</w:t>
      </w:r>
      <w:r>
        <w:t xml:space="preserve">4. </w:t>
      </w:r>
      <w:r w:rsidRPr="00B7178B">
        <w:t>ZUOP</w:t>
      </w:r>
      <w:bookmarkEnd w:id="160"/>
      <w:bookmarkEnd w:id="161"/>
    </w:p>
    <w:p w14:paraId="254D9081" w14:textId="77777777" w:rsidR="00084F8B" w:rsidRDefault="00084F8B" w:rsidP="00C87B85">
      <w:pPr>
        <w:spacing w:after="120"/>
        <w:ind w:firstLine="567"/>
        <w:jc w:val="both"/>
      </w:pPr>
      <w:r w:rsidRPr="000F2065">
        <w:t>ZUOP odpowiada za postępowanie z odpadami promieniotwórczymi i wypalonym paliwem jądrowym</w:t>
      </w:r>
      <w:r w:rsidRPr="000F2065">
        <w:rPr>
          <w:rStyle w:val="Odwoanieprzypisudolnego"/>
        </w:rPr>
        <w:footnoteReference w:id="52"/>
      </w:r>
      <w:r w:rsidRPr="000F2065">
        <w:t>, w tym pochodzącymi z energetyki jądrowej na etapie postępowania końcowego. Jest to jedyna instytucja w Polsce, która może eksploatować składowiska odpadów promieniotwórczych</w:t>
      </w:r>
      <w:r w:rsidRPr="000F2065">
        <w:rPr>
          <w:rStyle w:val="Odwoanieprzypisudolnego"/>
        </w:rPr>
        <w:footnoteReference w:id="53"/>
      </w:r>
      <w:r w:rsidRPr="000F2065">
        <w:t xml:space="preserve">. Obecnie eksploatuje KSOP w Różanie. ZUOP </w:t>
      </w:r>
      <w:r>
        <w:t>będzie</w:t>
      </w:r>
      <w:r w:rsidRPr="000F2065">
        <w:t xml:space="preserve"> odpowiedzialny za </w:t>
      </w:r>
      <w:r>
        <w:t xml:space="preserve">przygotowanie do budowy, budowę i eksploatację nowego składowiska powierzchniowego odpadów promieniotwórczych oraz za </w:t>
      </w:r>
      <w:r w:rsidRPr="000F2065">
        <w:t xml:space="preserve">zamknięcie </w:t>
      </w:r>
      <w:r>
        <w:t xml:space="preserve">i monitoring KSOP w Różanie. </w:t>
      </w:r>
      <w:r w:rsidR="00B418D7">
        <w:t xml:space="preserve">Nie przewiduje się zmiany formy prawnej ZUOP (obecnie jest to </w:t>
      </w:r>
      <w:r w:rsidR="007C7ABB">
        <w:t xml:space="preserve">państwowe </w:t>
      </w:r>
      <w:r w:rsidR="00B418D7">
        <w:t>przedsiębiorstwo użyteczności publicznej).</w:t>
      </w:r>
    </w:p>
    <w:p w14:paraId="2BAD6740" w14:textId="77777777" w:rsidR="003306CB" w:rsidRDefault="003306CB" w:rsidP="00C87B85">
      <w:pPr>
        <w:spacing w:after="120"/>
        <w:ind w:firstLine="567"/>
        <w:jc w:val="both"/>
      </w:pPr>
    </w:p>
    <w:p w14:paraId="6FCC746C" w14:textId="77777777" w:rsidR="00084F8B" w:rsidRPr="007A1FA8" w:rsidRDefault="00084F8B" w:rsidP="008D5796">
      <w:pPr>
        <w:pStyle w:val="Nagwek2"/>
      </w:pPr>
      <w:bookmarkStart w:id="162" w:name="_Toc397697049"/>
      <w:bookmarkStart w:id="163" w:name="_Toc424116745"/>
      <w:r>
        <w:lastRenderedPageBreak/>
        <w:t>7</w:t>
      </w:r>
      <w:r w:rsidRPr="007A1FA8">
        <w:t>.</w:t>
      </w:r>
      <w:r>
        <w:t>5.</w:t>
      </w:r>
      <w:r w:rsidRPr="007A1FA8">
        <w:t xml:space="preserve"> </w:t>
      </w:r>
      <w:r>
        <w:t>Inwestorzy/</w:t>
      </w:r>
      <w:r w:rsidRPr="007A1FA8">
        <w:t>Operator</w:t>
      </w:r>
      <w:r>
        <w:t>zy</w:t>
      </w:r>
      <w:r w:rsidRPr="007A1FA8">
        <w:t xml:space="preserve"> </w:t>
      </w:r>
      <w:r>
        <w:t>obiektów</w:t>
      </w:r>
      <w:r w:rsidRPr="007A1FA8">
        <w:t xml:space="preserve"> </w:t>
      </w:r>
      <w:r>
        <w:t xml:space="preserve">Energetyki </w:t>
      </w:r>
      <w:r w:rsidRPr="007A1FA8">
        <w:t>jądrow</w:t>
      </w:r>
      <w:r>
        <w:t>ej</w:t>
      </w:r>
      <w:bookmarkEnd w:id="162"/>
      <w:bookmarkEnd w:id="163"/>
    </w:p>
    <w:p w14:paraId="119B45A7" w14:textId="77777777" w:rsidR="00084F8B" w:rsidRDefault="00084F8B" w:rsidP="00C9739C">
      <w:pPr>
        <w:spacing w:before="120" w:after="120"/>
        <w:ind w:firstLine="567"/>
        <w:jc w:val="both"/>
      </w:pPr>
      <w:r w:rsidRPr="003309A0">
        <w:t>Inwestor</w:t>
      </w:r>
      <w:r>
        <w:t xml:space="preserve">em </w:t>
      </w:r>
      <w:r w:rsidRPr="003309A0">
        <w:t>obiekt</w:t>
      </w:r>
      <w:r>
        <w:t>ó</w:t>
      </w:r>
      <w:r w:rsidRPr="003309A0">
        <w:t>w energetyki jądrowej, a po rozpoczęciu ich eksploatacji - operator</w:t>
      </w:r>
      <w:r>
        <w:t>em</w:t>
      </w:r>
      <w:r w:rsidRPr="003309A0">
        <w:t xml:space="preserve">, </w:t>
      </w:r>
      <w:r>
        <w:t xml:space="preserve">jest </w:t>
      </w:r>
      <w:r w:rsidRPr="003309A0">
        <w:t>podmiot</w:t>
      </w:r>
      <w:r>
        <w:t>, który ma obowiązek zapewnienia</w:t>
      </w:r>
      <w:r w:rsidRPr="003309A0">
        <w:t xml:space="preserve"> odpowiedni</w:t>
      </w:r>
      <w:r>
        <w:t>ch</w:t>
      </w:r>
      <w:r w:rsidRPr="003309A0">
        <w:t xml:space="preserve"> zasob</w:t>
      </w:r>
      <w:r>
        <w:t>ów</w:t>
      </w:r>
      <w:r w:rsidRPr="003309A0">
        <w:t xml:space="preserve"> finansow</w:t>
      </w:r>
      <w:r>
        <w:t>ych</w:t>
      </w:r>
      <w:r w:rsidRPr="003309A0">
        <w:t>, odpowiednio wykwalifikowan</w:t>
      </w:r>
      <w:r>
        <w:t>ej</w:t>
      </w:r>
      <w:r w:rsidRPr="003309A0">
        <w:t xml:space="preserve"> kadr</w:t>
      </w:r>
      <w:r>
        <w:t>y,</w:t>
      </w:r>
      <w:r w:rsidRPr="003309A0">
        <w:t xml:space="preserve"> </w:t>
      </w:r>
      <w:r>
        <w:t>a także posiada</w:t>
      </w:r>
      <w:r w:rsidRPr="003309A0">
        <w:t xml:space="preserve"> doświadczenie i wiedzę niezbędną do budowy i eksploatacji takich obiektów</w:t>
      </w:r>
      <w:r>
        <w:t xml:space="preserve">. Operator elektrowni jądrowej będzie miał obowiązek </w:t>
      </w:r>
      <w:r w:rsidRPr="003309A0">
        <w:t>zapewnieni</w:t>
      </w:r>
      <w:r>
        <w:t>a</w:t>
      </w:r>
      <w:r w:rsidRPr="003309A0">
        <w:t xml:space="preserve"> </w:t>
      </w:r>
      <w:r>
        <w:t>możliwości postępowania z odpadami promieniotwórczymi oraz wypalonym paliwem jądrowym, w tym ich przechowywania, od momentu ich powstania aż po ich przekazanie do składowania łącznie z finansowaniem składowania. W celu zapewnienia środków na pokrycie kosztów końcowego postępowania z</w:t>
      </w:r>
      <w:r w:rsidRPr="00F456A1">
        <w:t xml:space="preserve"> </w:t>
      </w:r>
      <w:r>
        <w:t xml:space="preserve">odpadami promieniotwórczymi oraz wypalonym paliwem jądrowym operator utworzy fundusz likwidacyjny i będzie go zasilać wpłatami stosownie do ilości </w:t>
      </w:r>
      <w:r w:rsidRPr="003309A0">
        <w:t xml:space="preserve">energii </w:t>
      </w:r>
      <w:r>
        <w:t xml:space="preserve">elektrycznej, wyprodukowanej przez elektrownię. </w:t>
      </w:r>
    </w:p>
    <w:p w14:paraId="0CCBD93C" w14:textId="77777777" w:rsidR="00084F8B" w:rsidRPr="007A1FA8" w:rsidRDefault="00084F8B" w:rsidP="008D5796">
      <w:pPr>
        <w:pStyle w:val="Nagwek2"/>
      </w:pPr>
      <w:bookmarkStart w:id="164" w:name="_Toc397697050"/>
      <w:bookmarkStart w:id="165" w:name="_Toc424116746"/>
      <w:r>
        <w:t>7</w:t>
      </w:r>
      <w:r w:rsidRPr="007A1FA8">
        <w:t>.</w:t>
      </w:r>
      <w:r>
        <w:t>6.</w:t>
      </w:r>
      <w:r w:rsidRPr="007A1FA8">
        <w:t xml:space="preserve"> Instytuty badawcze</w:t>
      </w:r>
      <w:bookmarkEnd w:id="164"/>
      <w:bookmarkEnd w:id="165"/>
    </w:p>
    <w:p w14:paraId="035983CE" w14:textId="77777777" w:rsidR="00084F8B" w:rsidRPr="003309A0" w:rsidRDefault="00084F8B" w:rsidP="00C87B85">
      <w:pPr>
        <w:spacing w:before="120" w:after="120"/>
        <w:ind w:firstLine="567"/>
        <w:jc w:val="both"/>
      </w:pPr>
      <w:r w:rsidRPr="003309A0">
        <w:rPr>
          <w:rFonts w:eastAsia="MS Mincho"/>
          <w:lang w:eastAsia="ja-JP"/>
        </w:rPr>
        <w:t>Jednostki naukowo-badawcze posiadające odpowiedni</w:t>
      </w:r>
      <w:r>
        <w:rPr>
          <w:rFonts w:eastAsia="MS Mincho"/>
          <w:lang w:eastAsia="ja-JP"/>
        </w:rPr>
        <w:t>ą</w:t>
      </w:r>
      <w:r w:rsidRPr="003309A0">
        <w:rPr>
          <w:rFonts w:eastAsia="MS Mincho"/>
          <w:lang w:eastAsia="ja-JP"/>
        </w:rPr>
        <w:t xml:space="preserve"> w</w:t>
      </w:r>
      <w:r>
        <w:rPr>
          <w:rFonts w:eastAsia="MS Mincho"/>
          <w:lang w:eastAsia="ja-JP"/>
        </w:rPr>
        <w:t>iedzę i potencjał do prowadzenia</w:t>
      </w:r>
      <w:r w:rsidRPr="003309A0">
        <w:rPr>
          <w:rFonts w:eastAsia="MS Mincho"/>
          <w:lang w:eastAsia="ja-JP"/>
        </w:rPr>
        <w:t xml:space="preserve"> </w:t>
      </w:r>
      <w:r>
        <w:t>prac naukowo-badawczych</w:t>
      </w:r>
      <w:r w:rsidRPr="003309A0">
        <w:t xml:space="preserve"> w zakresie energetyki jądrowej, w tym w szczególności dotyczących </w:t>
      </w:r>
      <w:r>
        <w:t>postępowania z</w:t>
      </w:r>
      <w:r w:rsidRPr="003309A0">
        <w:t xml:space="preserve"> odpadami promieniotwórczymi i wypalonym paliwem jądrowym</w:t>
      </w:r>
      <w:r w:rsidR="003F7A86">
        <w:t>,</w:t>
      </w:r>
      <w:r w:rsidRPr="003309A0">
        <w:rPr>
          <w:rFonts w:eastAsia="MS Mincho"/>
          <w:lang w:eastAsia="ja-JP"/>
        </w:rPr>
        <w:t xml:space="preserve"> </w:t>
      </w:r>
      <w:r w:rsidR="00B70217">
        <w:rPr>
          <w:rFonts w:eastAsia="MS Mincho"/>
          <w:lang w:eastAsia="ja-JP"/>
        </w:rPr>
        <w:t>będą</w:t>
      </w:r>
      <w:r w:rsidR="003F7A86">
        <w:rPr>
          <w:rFonts w:eastAsia="MS Mincho"/>
          <w:lang w:eastAsia="ja-JP"/>
        </w:rPr>
        <w:t xml:space="preserve"> prowadziły</w:t>
      </w:r>
      <w:r w:rsidRPr="003309A0">
        <w:t xml:space="preserve"> w kraju prac</w:t>
      </w:r>
      <w:r w:rsidR="003F7A86">
        <w:t>e</w:t>
      </w:r>
      <w:r w:rsidRPr="003309A0">
        <w:t xml:space="preserve"> badawcz</w:t>
      </w:r>
      <w:r w:rsidR="003F7A86">
        <w:t>e</w:t>
      </w:r>
      <w:r w:rsidRPr="003309A0">
        <w:t xml:space="preserve">, </w:t>
      </w:r>
      <w:r w:rsidR="003F7A86">
        <w:t xml:space="preserve">mające </w:t>
      </w:r>
      <w:r>
        <w:t>na celu rozwój</w:t>
      </w:r>
      <w:r w:rsidRPr="003309A0">
        <w:t xml:space="preserve"> technologi</w:t>
      </w:r>
      <w:r>
        <w:t>i</w:t>
      </w:r>
      <w:r w:rsidRPr="003309A0">
        <w:t xml:space="preserve"> </w:t>
      </w:r>
      <w:r>
        <w:t>postępowania z odpadami promieniotwórczymi oraz</w:t>
      </w:r>
      <w:r w:rsidRPr="003309A0">
        <w:t xml:space="preserve"> pozwalających na podtrzymanie stałego kontaktu z nauk</w:t>
      </w:r>
      <w:r>
        <w:t>ą</w:t>
      </w:r>
      <w:r w:rsidRPr="003309A0">
        <w:t xml:space="preserve"> światową i </w:t>
      </w:r>
      <w:r>
        <w:t>monitorowanie</w:t>
      </w:r>
      <w:r w:rsidRPr="003309A0">
        <w:t xml:space="preserve"> tendencji w</w:t>
      </w:r>
      <w:r>
        <w:t> </w:t>
      </w:r>
      <w:r w:rsidRPr="003309A0">
        <w:t>rozwoju badań nakierowanych na końcowy etap cyklu paliwowego</w:t>
      </w:r>
      <w:r>
        <w:t>.</w:t>
      </w:r>
      <w:r w:rsidRPr="003309A0">
        <w:t xml:space="preserve"> </w:t>
      </w:r>
    </w:p>
    <w:p w14:paraId="1C22215F" w14:textId="77777777" w:rsidR="00084F8B" w:rsidRDefault="00084F8B" w:rsidP="008D5796">
      <w:pPr>
        <w:pStyle w:val="Nagwek2"/>
        <w:rPr>
          <w:rFonts w:eastAsia="MS Mincho"/>
          <w:lang w:eastAsia="ja-JP"/>
        </w:rPr>
      </w:pPr>
      <w:bookmarkStart w:id="166" w:name="_Toc397697051"/>
      <w:bookmarkStart w:id="167" w:name="_Toc424116747"/>
      <w:r>
        <w:t>7.7. W</w:t>
      </w:r>
      <w:r w:rsidRPr="0096398A">
        <w:t xml:space="preserve">skaźniki służące monitorowaniu </w:t>
      </w:r>
      <w:r>
        <w:t>r</w:t>
      </w:r>
      <w:r w:rsidRPr="0096398A">
        <w:t>ealizacji</w:t>
      </w:r>
      <w:r>
        <w:t xml:space="preserve"> Krajowego planu</w:t>
      </w:r>
      <w:bookmarkEnd w:id="166"/>
      <w:bookmarkEnd w:id="167"/>
    </w:p>
    <w:p w14:paraId="64670171" w14:textId="77777777" w:rsidR="00084F8B" w:rsidRDefault="00084F8B" w:rsidP="00C87B85">
      <w:pPr>
        <w:spacing w:before="120" w:after="120"/>
        <w:ind w:firstLine="567"/>
        <w:jc w:val="both"/>
      </w:pPr>
      <w:r w:rsidRPr="00FE3DDB">
        <w:t xml:space="preserve">W celu skwantyfikowania celów </w:t>
      </w:r>
      <w:r>
        <w:t xml:space="preserve">Krajowego </w:t>
      </w:r>
      <w:r w:rsidRPr="00422D7D">
        <w:t>planu</w:t>
      </w:r>
      <w:r>
        <w:t xml:space="preserve"> </w:t>
      </w:r>
      <w:r w:rsidRPr="00FE3DDB">
        <w:t>oraz umożliwieni</w:t>
      </w:r>
      <w:r>
        <w:t>a</w:t>
      </w:r>
      <w:r w:rsidRPr="00FE3DDB">
        <w:t xml:space="preserve"> monitorowania stopnia jego wdr</w:t>
      </w:r>
      <w:r>
        <w:t>o</w:t>
      </w:r>
      <w:r w:rsidRPr="00FE3DDB">
        <w:t>ż</w:t>
      </w:r>
      <w:r>
        <w:t>e</w:t>
      </w:r>
      <w:r w:rsidRPr="00FE3DDB">
        <w:t xml:space="preserve">nia, </w:t>
      </w:r>
      <w:r>
        <w:t xml:space="preserve">w odniesieniu do celów możliwych do skwantyfikowania, </w:t>
      </w:r>
      <w:r w:rsidRPr="00FE3DDB">
        <w:t>opracowany został zest</w:t>
      </w:r>
      <w:r>
        <w:t xml:space="preserve">aw wskaźników ich realizacji. </w:t>
      </w:r>
    </w:p>
    <w:p w14:paraId="5EAF3446" w14:textId="77777777" w:rsidR="00084F8B" w:rsidRPr="004E0E0D" w:rsidRDefault="00084F8B" w:rsidP="002E58C9">
      <w:pPr>
        <w:rPr>
          <w:b/>
        </w:rPr>
      </w:pPr>
      <w:r w:rsidRPr="002743BE">
        <w:rPr>
          <w:b/>
        </w:rPr>
        <w:t>Tabela</w:t>
      </w:r>
      <w:r w:rsidR="0036181F">
        <w:rPr>
          <w:b/>
        </w:rPr>
        <w:t xml:space="preserve"> nr 7</w:t>
      </w:r>
      <w:r>
        <w:rPr>
          <w:b/>
        </w:rPr>
        <w:t>.</w:t>
      </w:r>
      <w:r w:rsidR="0036181F">
        <w:rPr>
          <w:b/>
        </w:rPr>
        <w:t>1.</w:t>
      </w:r>
      <w:r>
        <w:rPr>
          <w:b/>
        </w:rPr>
        <w:t xml:space="preserve"> </w:t>
      </w:r>
      <w:r w:rsidRPr="002743BE">
        <w:rPr>
          <w:b/>
        </w:rPr>
        <w:t xml:space="preserve">Zestaw wskaźników realizacji celów </w:t>
      </w:r>
      <w:r w:rsidRPr="00422D7D">
        <w:rPr>
          <w:b/>
        </w:rPr>
        <w:t>Krajowego planu.</w:t>
      </w:r>
    </w:p>
    <w:tbl>
      <w:tblPr>
        <w:tblW w:w="9214" w:type="dxa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835"/>
        <w:gridCol w:w="1560"/>
        <w:gridCol w:w="1559"/>
        <w:gridCol w:w="1559"/>
        <w:gridCol w:w="1701"/>
      </w:tblGrid>
      <w:tr w:rsidR="00084F8B" w:rsidRPr="00800F6F" w14:paraId="5F249898" w14:textId="77777777" w:rsidTr="0012437C">
        <w:tc>
          <w:tcPr>
            <w:tcW w:w="2835" w:type="dxa"/>
            <w:tcBorders>
              <w:top w:val="single" w:sz="8" w:space="0" w:color="9BBB59"/>
            </w:tcBorders>
            <w:shd w:val="clear" w:color="auto" w:fill="92D050"/>
            <w:vAlign w:val="center"/>
          </w:tcPr>
          <w:p w14:paraId="027554AC" w14:textId="77777777" w:rsidR="00084F8B" w:rsidRPr="00800F6F" w:rsidRDefault="00084F8B" w:rsidP="00D647DE">
            <w:pPr>
              <w:rPr>
                <w:b/>
                <w:bCs/>
                <w:color w:val="FFFFFF"/>
              </w:rPr>
            </w:pPr>
            <w:r w:rsidRPr="00800F6F">
              <w:rPr>
                <w:b/>
                <w:bCs/>
                <w:color w:val="FFFFFF"/>
              </w:rPr>
              <w:t>Nazwa wskaźnika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92D050"/>
            <w:vAlign w:val="center"/>
          </w:tcPr>
          <w:p w14:paraId="6A3E0BE5" w14:textId="77777777" w:rsidR="00084F8B" w:rsidRPr="00800F6F" w:rsidRDefault="00084F8B" w:rsidP="00D647DE">
            <w:pPr>
              <w:jc w:val="center"/>
              <w:rPr>
                <w:b/>
                <w:bCs/>
                <w:color w:val="FFFFFF"/>
              </w:rPr>
            </w:pPr>
            <w:r w:rsidRPr="00800F6F">
              <w:rPr>
                <w:b/>
                <w:bCs/>
                <w:color w:val="FFFFFF"/>
              </w:rPr>
              <w:t>Wartość</w:t>
            </w:r>
          </w:p>
          <w:p w14:paraId="695B3FFC" w14:textId="77777777" w:rsidR="00084F8B" w:rsidRPr="00800F6F" w:rsidRDefault="00084F8B" w:rsidP="00D647DE">
            <w:pPr>
              <w:jc w:val="center"/>
              <w:rPr>
                <w:b/>
                <w:bCs/>
                <w:color w:val="FFFFFF"/>
              </w:rPr>
            </w:pPr>
            <w:r w:rsidRPr="00800F6F">
              <w:rPr>
                <w:b/>
                <w:bCs/>
                <w:color w:val="FFFFFF"/>
              </w:rPr>
              <w:t>bazowa</w:t>
            </w:r>
          </w:p>
          <w:p w14:paraId="6CB297B0" w14:textId="77777777" w:rsidR="00084F8B" w:rsidRPr="00800F6F" w:rsidRDefault="00C14E45" w:rsidP="00D647D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2019</w:t>
            </w:r>
            <w:r w:rsidR="00084F8B" w:rsidRPr="00800F6F">
              <w:rPr>
                <w:b/>
                <w:bCs/>
                <w:color w:val="FFFFFF"/>
              </w:rPr>
              <w:t xml:space="preserve"> r.</w:t>
            </w:r>
          </w:p>
        </w:tc>
        <w:tc>
          <w:tcPr>
            <w:tcW w:w="1559" w:type="dxa"/>
            <w:tcBorders>
              <w:top w:val="single" w:sz="8" w:space="0" w:color="9BBB59"/>
            </w:tcBorders>
            <w:shd w:val="clear" w:color="auto" w:fill="92D050"/>
            <w:vAlign w:val="center"/>
          </w:tcPr>
          <w:p w14:paraId="1A721F6B" w14:textId="77777777" w:rsidR="00084F8B" w:rsidRPr="00800F6F" w:rsidRDefault="00084F8B" w:rsidP="00D647DE">
            <w:pPr>
              <w:jc w:val="center"/>
              <w:rPr>
                <w:b/>
                <w:bCs/>
                <w:color w:val="FFFFFF"/>
              </w:rPr>
            </w:pPr>
            <w:r w:rsidRPr="00800F6F">
              <w:rPr>
                <w:b/>
                <w:bCs/>
                <w:color w:val="FFFFFF"/>
              </w:rPr>
              <w:t>Wartość</w:t>
            </w:r>
          </w:p>
          <w:p w14:paraId="272C15AD" w14:textId="77777777" w:rsidR="00084F8B" w:rsidRPr="00800F6F" w:rsidRDefault="00C14E45" w:rsidP="00D647D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2025</w:t>
            </w:r>
            <w:r w:rsidR="00084F8B" w:rsidRPr="00800F6F">
              <w:rPr>
                <w:b/>
                <w:bCs/>
                <w:color w:val="FFFFFF"/>
              </w:rPr>
              <w:t xml:space="preserve"> r.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92D050"/>
            <w:vAlign w:val="center"/>
          </w:tcPr>
          <w:p w14:paraId="61486477" w14:textId="77777777" w:rsidR="00084F8B" w:rsidRPr="00800F6F" w:rsidRDefault="00084F8B" w:rsidP="00D647DE">
            <w:pPr>
              <w:jc w:val="center"/>
              <w:rPr>
                <w:b/>
                <w:bCs/>
                <w:color w:val="FFFFFF"/>
              </w:rPr>
            </w:pPr>
            <w:r w:rsidRPr="00800F6F">
              <w:rPr>
                <w:b/>
                <w:bCs/>
                <w:color w:val="FFFFFF"/>
              </w:rPr>
              <w:t>Wartość</w:t>
            </w:r>
          </w:p>
          <w:p w14:paraId="3143022C" w14:textId="77777777" w:rsidR="00084F8B" w:rsidRPr="00800F6F" w:rsidRDefault="00C14E45" w:rsidP="00D647D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2030</w:t>
            </w:r>
            <w:r w:rsidR="00084F8B" w:rsidRPr="00800F6F">
              <w:rPr>
                <w:b/>
                <w:bCs/>
                <w:color w:val="FFFFFF"/>
              </w:rPr>
              <w:t xml:space="preserve"> r.</w:t>
            </w:r>
          </w:p>
        </w:tc>
        <w:tc>
          <w:tcPr>
            <w:tcW w:w="1701" w:type="dxa"/>
            <w:tcBorders>
              <w:top w:val="single" w:sz="8" w:space="0" w:color="9BBB59"/>
            </w:tcBorders>
            <w:shd w:val="clear" w:color="auto" w:fill="92D050"/>
            <w:vAlign w:val="center"/>
          </w:tcPr>
          <w:p w14:paraId="72B71CC3" w14:textId="77777777" w:rsidR="00084F8B" w:rsidRPr="00800F6F" w:rsidRDefault="00084F8B" w:rsidP="00D647DE">
            <w:pPr>
              <w:jc w:val="center"/>
              <w:rPr>
                <w:b/>
                <w:bCs/>
                <w:color w:val="FFFFFF"/>
              </w:rPr>
            </w:pPr>
            <w:r w:rsidRPr="00800F6F">
              <w:rPr>
                <w:b/>
                <w:bCs/>
                <w:color w:val="FFFFFF"/>
              </w:rPr>
              <w:t>Wartość</w:t>
            </w:r>
          </w:p>
          <w:p w14:paraId="75D74951" w14:textId="77777777" w:rsidR="00084F8B" w:rsidRPr="00800F6F" w:rsidRDefault="00C14E45" w:rsidP="00D647D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2035</w:t>
            </w:r>
            <w:r w:rsidR="00084F8B" w:rsidRPr="00800F6F">
              <w:rPr>
                <w:b/>
                <w:bCs/>
                <w:color w:val="FFFFFF"/>
              </w:rPr>
              <w:t xml:space="preserve"> r.</w:t>
            </w:r>
          </w:p>
        </w:tc>
      </w:tr>
      <w:tr w:rsidR="00084F8B" w:rsidRPr="00800F6F" w14:paraId="4D75FB3A" w14:textId="77777777" w:rsidTr="00D647DE">
        <w:tc>
          <w:tcPr>
            <w:tcW w:w="2835" w:type="dxa"/>
            <w:vAlign w:val="center"/>
          </w:tcPr>
          <w:p w14:paraId="19FED5EA" w14:textId="77777777" w:rsidR="00084F8B" w:rsidRPr="00800F6F" w:rsidRDefault="00084F8B" w:rsidP="002A6705">
            <w:pPr>
              <w:jc w:val="both"/>
              <w:rPr>
                <w:b/>
                <w:bCs/>
                <w:color w:val="000000"/>
              </w:rPr>
            </w:pPr>
            <w:r w:rsidRPr="00800F6F">
              <w:rPr>
                <w:b/>
                <w:bCs/>
                <w:color w:val="000000"/>
              </w:rPr>
              <w:t>Cel 1:</w:t>
            </w:r>
            <w:r w:rsidRPr="00800F6F">
              <w:rPr>
                <w:bCs/>
                <w:color w:val="000000"/>
              </w:rPr>
              <w:t xml:space="preserve"> </w:t>
            </w:r>
            <w:r w:rsidRPr="00800F6F">
              <w:t>Przygotowanie do zamknięcia, ostateczne zamknięcie i długotrwały monitoring KSOP w Różanie.</w:t>
            </w:r>
          </w:p>
        </w:tc>
        <w:tc>
          <w:tcPr>
            <w:tcW w:w="156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0612B8D" w14:textId="77777777" w:rsidR="00084F8B" w:rsidRPr="00800F6F" w:rsidRDefault="00084F8B" w:rsidP="00422D7D">
            <w:pPr>
              <w:tabs>
                <w:tab w:val="left" w:pos="8505"/>
              </w:tabs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0%</w:t>
            </w:r>
          </w:p>
        </w:tc>
        <w:tc>
          <w:tcPr>
            <w:tcW w:w="1559" w:type="dxa"/>
            <w:vAlign w:val="center"/>
          </w:tcPr>
          <w:p w14:paraId="0AD0AD3F" w14:textId="41C81EBE" w:rsidR="00084F8B" w:rsidRPr="00800F6F" w:rsidRDefault="008B61E1" w:rsidP="00422D7D">
            <w:pPr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4E45">
              <w:rPr>
                <w:color w:val="000000"/>
              </w:rPr>
              <w:t>0</w:t>
            </w:r>
            <w:r w:rsidR="00084F8B" w:rsidRPr="00800F6F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2930862" w14:textId="5F8E7FE1" w:rsidR="00084F8B" w:rsidRPr="00800F6F" w:rsidRDefault="008B61E1" w:rsidP="00422D7D">
            <w:pPr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84F8B" w:rsidRPr="00800F6F">
              <w:rPr>
                <w:color w:val="000000"/>
              </w:rPr>
              <w:t>0%</w:t>
            </w:r>
          </w:p>
        </w:tc>
        <w:tc>
          <w:tcPr>
            <w:tcW w:w="1701" w:type="dxa"/>
            <w:vAlign w:val="center"/>
          </w:tcPr>
          <w:p w14:paraId="5DB53772" w14:textId="74501523" w:rsidR="00084F8B" w:rsidRPr="00800F6F" w:rsidRDefault="008B61E1" w:rsidP="00422D7D">
            <w:pPr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84F8B" w:rsidRPr="00800F6F">
              <w:rPr>
                <w:color w:val="000000"/>
              </w:rPr>
              <w:t>%</w:t>
            </w:r>
          </w:p>
          <w:p w14:paraId="0C1CF1D4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(docelowo)</w:t>
            </w:r>
          </w:p>
        </w:tc>
      </w:tr>
      <w:tr w:rsidR="00084F8B" w:rsidRPr="00800F6F" w14:paraId="61ECF846" w14:textId="77777777" w:rsidTr="00D647DE">
        <w:tc>
          <w:tcPr>
            <w:tcW w:w="2835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233B62A" w14:textId="77777777" w:rsidR="00084F8B" w:rsidRPr="00800F6F" w:rsidRDefault="00084F8B" w:rsidP="002A6705">
            <w:pPr>
              <w:ind w:firstLine="18"/>
              <w:jc w:val="both"/>
              <w:rPr>
                <w:b/>
                <w:bCs/>
              </w:rPr>
            </w:pPr>
            <w:r w:rsidRPr="00800F6F">
              <w:rPr>
                <w:b/>
                <w:bCs/>
              </w:rPr>
              <w:t>Cel 2:</w:t>
            </w:r>
            <w:r w:rsidRPr="00800F6F">
              <w:rPr>
                <w:bCs/>
              </w:rPr>
              <w:t xml:space="preserve"> </w:t>
            </w:r>
            <w:r w:rsidRPr="00800F6F">
              <w:t>Wybór lokalizacji, budowa i rozpoczęcie eksploatacji NSPOP.</w:t>
            </w:r>
            <w:r w:rsidRPr="00800F6F">
              <w:rPr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4E037C8" w14:textId="77777777" w:rsidR="00084F8B" w:rsidRPr="00800F6F" w:rsidRDefault="00C14E45" w:rsidP="00422D7D">
            <w:pPr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84F8B" w:rsidRPr="00800F6F">
              <w:rPr>
                <w:color w:val="000000"/>
              </w:rPr>
              <w:t>0%</w:t>
            </w:r>
          </w:p>
        </w:tc>
        <w:tc>
          <w:tcPr>
            <w:tcW w:w="1559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38C8DB48" w14:textId="77777777" w:rsidR="00084F8B" w:rsidRPr="00800F6F" w:rsidRDefault="00C14E45" w:rsidP="00422D7D">
            <w:pPr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84F8B" w:rsidRPr="00800F6F">
              <w:rPr>
                <w:color w:val="000000"/>
              </w:rPr>
              <w:t>0%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C913B04" w14:textId="652C0A67" w:rsidR="00084F8B" w:rsidRPr="00800F6F" w:rsidRDefault="008B61E1" w:rsidP="00422D7D">
            <w:pPr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084F8B" w:rsidRPr="00800F6F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3A91C479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100%</w:t>
            </w:r>
          </w:p>
          <w:p w14:paraId="052B1C65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(docelowo)</w:t>
            </w:r>
          </w:p>
        </w:tc>
      </w:tr>
      <w:tr w:rsidR="00084F8B" w:rsidRPr="00800F6F" w14:paraId="05E57CEC" w14:textId="77777777" w:rsidTr="00D647DE">
        <w:tc>
          <w:tcPr>
            <w:tcW w:w="2835" w:type="dxa"/>
            <w:vAlign w:val="center"/>
          </w:tcPr>
          <w:p w14:paraId="5AFD8E5D" w14:textId="77777777" w:rsidR="00084F8B" w:rsidRPr="00800F6F" w:rsidRDefault="00084F8B" w:rsidP="00540B9A">
            <w:pPr>
              <w:jc w:val="both"/>
              <w:rPr>
                <w:b/>
                <w:bCs/>
              </w:rPr>
            </w:pPr>
            <w:r w:rsidRPr="00800F6F">
              <w:rPr>
                <w:b/>
                <w:bCs/>
                <w:color w:val="000000"/>
              </w:rPr>
              <w:t>Cel 3:</w:t>
            </w:r>
            <w:r w:rsidRPr="00800F6F">
              <w:t xml:space="preserve"> Przygotowanie do budowy SGOP w tym realizacja programu PURL. </w:t>
            </w:r>
          </w:p>
        </w:tc>
        <w:tc>
          <w:tcPr>
            <w:tcW w:w="156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4C4B6611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0%</w:t>
            </w:r>
          </w:p>
        </w:tc>
        <w:tc>
          <w:tcPr>
            <w:tcW w:w="1559" w:type="dxa"/>
            <w:vAlign w:val="center"/>
          </w:tcPr>
          <w:p w14:paraId="039783AE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5%</w:t>
            </w:r>
          </w:p>
        </w:tc>
        <w:tc>
          <w:tcPr>
            <w:tcW w:w="1559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6A35418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</w:p>
          <w:p w14:paraId="22DE0B2A" w14:textId="77777777" w:rsidR="00084F8B" w:rsidRPr="00800F6F" w:rsidRDefault="00C14E45" w:rsidP="00422D7D">
            <w:pPr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84F8B" w:rsidRPr="00800F6F">
              <w:rPr>
                <w:color w:val="000000"/>
              </w:rPr>
              <w:t>%</w:t>
            </w:r>
            <w:r w:rsidR="00084F8B" w:rsidRPr="00800F6F">
              <w:rPr>
                <w:color w:val="000000"/>
              </w:rPr>
              <w:br/>
            </w:r>
          </w:p>
        </w:tc>
        <w:tc>
          <w:tcPr>
            <w:tcW w:w="1701" w:type="dxa"/>
            <w:vAlign w:val="center"/>
          </w:tcPr>
          <w:p w14:paraId="3B5F1A0F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</w:p>
          <w:p w14:paraId="4A777615" w14:textId="2EE1DCD6" w:rsidR="00084F8B" w:rsidRPr="00800F6F" w:rsidRDefault="00081217" w:rsidP="00422D7D">
            <w:pPr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84F8B" w:rsidRPr="00800F6F">
              <w:rPr>
                <w:color w:val="000000"/>
              </w:rPr>
              <w:t>%</w:t>
            </w:r>
          </w:p>
          <w:p w14:paraId="63F9EC27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</w:p>
        </w:tc>
      </w:tr>
      <w:tr w:rsidR="00084F8B" w:rsidRPr="00800F6F" w14:paraId="14C7C52E" w14:textId="77777777" w:rsidTr="00D647DE">
        <w:tc>
          <w:tcPr>
            <w:tcW w:w="2835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FF61AA9" w14:textId="77777777" w:rsidR="00084F8B" w:rsidRPr="00800F6F" w:rsidRDefault="00084F8B" w:rsidP="002A6705">
            <w:pPr>
              <w:jc w:val="both"/>
              <w:rPr>
                <w:b/>
                <w:bCs/>
              </w:rPr>
            </w:pPr>
            <w:r w:rsidRPr="00800F6F">
              <w:rPr>
                <w:b/>
                <w:bCs/>
                <w:color w:val="000000"/>
              </w:rPr>
              <w:t>Cel 4:</w:t>
            </w:r>
            <w:r w:rsidRPr="00800F6F">
              <w:rPr>
                <w:bCs/>
                <w:color w:val="000000"/>
              </w:rPr>
              <w:t xml:space="preserve"> </w:t>
            </w:r>
            <w:r w:rsidRPr="00800F6F">
              <w:t xml:space="preserve">Modyfikacja zasad postępowania z odpadami promieniotwórczymi </w:t>
            </w:r>
            <w:r>
              <w:t xml:space="preserve">pod kątem </w:t>
            </w:r>
            <w:r w:rsidRPr="00800F6F">
              <w:t>uwzględni</w:t>
            </w:r>
            <w:r>
              <w:t>enia</w:t>
            </w:r>
            <w:r w:rsidRPr="00800F6F">
              <w:t xml:space="preserve"> odpad</w:t>
            </w:r>
            <w:r>
              <w:t>ów</w:t>
            </w:r>
            <w:r w:rsidRPr="00800F6F">
              <w:t xml:space="preserve"> promieniotwórcz</w:t>
            </w:r>
            <w:r>
              <w:t>ych</w:t>
            </w:r>
            <w:r w:rsidRPr="00800F6F">
              <w:t xml:space="preserve"> pochodząc</w:t>
            </w:r>
            <w:r>
              <w:t>ych</w:t>
            </w:r>
            <w:r w:rsidRPr="00800F6F">
              <w:t xml:space="preserve"> z energetyki jądrowej. 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F69B6B0" w14:textId="77777777" w:rsidR="00084F8B" w:rsidRPr="00800F6F" w:rsidRDefault="00084F8B" w:rsidP="00422D7D">
            <w:pPr>
              <w:tabs>
                <w:tab w:val="left" w:pos="8505"/>
              </w:tabs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0%</w:t>
            </w:r>
          </w:p>
        </w:tc>
        <w:tc>
          <w:tcPr>
            <w:tcW w:w="1559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059249FE" w14:textId="3BB7478B" w:rsidR="00084F8B" w:rsidRPr="00800F6F" w:rsidRDefault="00081217" w:rsidP="00081217">
            <w:pPr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84F8B" w:rsidRPr="00800F6F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82D56C2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100%</w:t>
            </w:r>
            <w:r w:rsidRPr="00800F6F">
              <w:rPr>
                <w:color w:val="000000"/>
              </w:rPr>
              <w:br/>
              <w:t>(docelowo)</w:t>
            </w:r>
          </w:p>
        </w:tc>
        <w:tc>
          <w:tcPr>
            <w:tcW w:w="1701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E66473D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100%</w:t>
            </w:r>
            <w:r w:rsidRPr="00800F6F">
              <w:rPr>
                <w:color w:val="000000"/>
              </w:rPr>
              <w:br/>
              <w:t>(docelowo)</w:t>
            </w:r>
          </w:p>
        </w:tc>
      </w:tr>
      <w:tr w:rsidR="00084F8B" w:rsidRPr="00800F6F" w14:paraId="313C9D4D" w14:textId="77777777" w:rsidTr="00D647DE">
        <w:tc>
          <w:tcPr>
            <w:tcW w:w="2835" w:type="dxa"/>
            <w:vAlign w:val="center"/>
          </w:tcPr>
          <w:p w14:paraId="4EE43D44" w14:textId="77777777" w:rsidR="00084F8B" w:rsidRPr="00800F6F" w:rsidRDefault="00084F8B" w:rsidP="002A6705">
            <w:r w:rsidRPr="00800F6F">
              <w:rPr>
                <w:b/>
                <w:bCs/>
                <w:color w:val="000000"/>
              </w:rPr>
              <w:lastRenderedPageBreak/>
              <w:t>Cel 5:</w:t>
            </w:r>
            <w:r w:rsidRPr="00800F6F">
              <w:rPr>
                <w:bCs/>
                <w:color w:val="000000"/>
              </w:rPr>
              <w:t xml:space="preserve"> </w:t>
            </w:r>
            <w:r w:rsidRPr="00800F6F">
              <w:t xml:space="preserve">Modyfikacja systemu finansowania postępowania z odpadami promieniotwórczymi </w:t>
            </w:r>
          </w:p>
          <w:p w14:paraId="250F4574" w14:textId="6CAE36EB" w:rsidR="00084F8B" w:rsidRPr="00800F6F" w:rsidRDefault="00084F8B" w:rsidP="00081217">
            <w:pPr>
              <w:rPr>
                <w:b/>
                <w:bCs/>
              </w:rPr>
            </w:pPr>
            <w:r w:rsidRPr="00800F6F">
              <w:t>.</w:t>
            </w:r>
          </w:p>
        </w:tc>
        <w:tc>
          <w:tcPr>
            <w:tcW w:w="156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55E82E42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0%</w:t>
            </w:r>
          </w:p>
        </w:tc>
        <w:tc>
          <w:tcPr>
            <w:tcW w:w="1559" w:type="dxa"/>
            <w:vAlign w:val="center"/>
          </w:tcPr>
          <w:p w14:paraId="47437FE1" w14:textId="77777777" w:rsidR="00084F8B" w:rsidRPr="00800F6F" w:rsidRDefault="00C14E45" w:rsidP="00422D7D">
            <w:pPr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84F8B" w:rsidRPr="00800F6F">
              <w:rPr>
                <w:color w:val="000000"/>
              </w:rPr>
              <w:t>0%</w:t>
            </w:r>
          </w:p>
        </w:tc>
        <w:tc>
          <w:tcPr>
            <w:tcW w:w="1559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38DB5C8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100%</w:t>
            </w:r>
          </w:p>
          <w:p w14:paraId="6E83615E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(docelowo)</w:t>
            </w:r>
          </w:p>
        </w:tc>
        <w:tc>
          <w:tcPr>
            <w:tcW w:w="1701" w:type="dxa"/>
            <w:vAlign w:val="center"/>
          </w:tcPr>
          <w:p w14:paraId="413B3754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100%</w:t>
            </w:r>
          </w:p>
          <w:p w14:paraId="17C665D0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(docelowo)</w:t>
            </w:r>
          </w:p>
        </w:tc>
      </w:tr>
      <w:tr w:rsidR="00084F8B" w:rsidRPr="00800F6F" w14:paraId="61467A03" w14:textId="77777777" w:rsidTr="00D647DE">
        <w:tc>
          <w:tcPr>
            <w:tcW w:w="2835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7D6B6A69" w14:textId="77777777" w:rsidR="00084F8B" w:rsidRPr="00800F6F" w:rsidRDefault="00084F8B" w:rsidP="002A6705">
            <w:pPr>
              <w:jc w:val="both"/>
              <w:rPr>
                <w:b/>
                <w:bCs/>
              </w:rPr>
            </w:pPr>
            <w:r w:rsidRPr="00800F6F">
              <w:rPr>
                <w:b/>
                <w:bCs/>
                <w:color w:val="000000"/>
              </w:rPr>
              <w:t>Cel 6:</w:t>
            </w:r>
            <w:r w:rsidRPr="00800F6F">
              <w:rPr>
                <w:bCs/>
                <w:color w:val="000000"/>
              </w:rPr>
              <w:t xml:space="preserve"> Stworzenie programu naukowo-badawczego dotyczącego postępowania z odpadami promieniotwórczymi </w:t>
            </w:r>
            <w:r w:rsidRPr="00800F6F">
              <w:t>i wypalonym paliwem jądrowym.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CDE3D60" w14:textId="77777777" w:rsidR="00084F8B" w:rsidRPr="00800F6F" w:rsidRDefault="00084F8B" w:rsidP="00422D7D">
            <w:pPr>
              <w:tabs>
                <w:tab w:val="left" w:pos="8505"/>
              </w:tabs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0%</w:t>
            </w:r>
          </w:p>
        </w:tc>
        <w:tc>
          <w:tcPr>
            <w:tcW w:w="1559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14E54FD7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100%</w:t>
            </w:r>
          </w:p>
          <w:p w14:paraId="3C3494EB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(docelowo)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841BC7C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100%</w:t>
            </w:r>
          </w:p>
          <w:p w14:paraId="1CE8B4F8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 xml:space="preserve">(docelowo) </w:t>
            </w:r>
          </w:p>
        </w:tc>
        <w:tc>
          <w:tcPr>
            <w:tcW w:w="1701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673525B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100%</w:t>
            </w:r>
          </w:p>
          <w:p w14:paraId="312B32BE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(docelowo)</w:t>
            </w:r>
          </w:p>
        </w:tc>
      </w:tr>
      <w:tr w:rsidR="00084F8B" w:rsidRPr="00800F6F" w14:paraId="5B919469" w14:textId="77777777" w:rsidTr="00D647DE">
        <w:tc>
          <w:tcPr>
            <w:tcW w:w="2835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7C3C0DF" w14:textId="77777777" w:rsidR="00084F8B" w:rsidRPr="00800F6F" w:rsidRDefault="00084F8B" w:rsidP="00B70217">
            <w:pPr>
              <w:ind w:hanging="10"/>
              <w:jc w:val="both"/>
              <w:rPr>
                <w:b/>
                <w:bCs/>
              </w:rPr>
            </w:pPr>
            <w:r w:rsidRPr="00800F6F">
              <w:rPr>
                <w:b/>
                <w:bCs/>
                <w:color w:val="000000"/>
              </w:rPr>
              <w:t>Cel 7:</w:t>
            </w:r>
            <w:r w:rsidRPr="00800F6F">
              <w:rPr>
                <w:bCs/>
                <w:color w:val="000000"/>
              </w:rPr>
              <w:t xml:space="preserve"> </w:t>
            </w:r>
            <w:r w:rsidRPr="00800F6F">
              <w:t xml:space="preserve">Przygotowanie kadr dla krajowych instytucji zaangażowanych w postępowanie z odpadami promieniotwórczymi </w:t>
            </w:r>
            <w:r>
              <w:t>oraz nadzór nad tym postępowaniem</w:t>
            </w:r>
            <w:r w:rsidRPr="00800F6F">
              <w:t>.</w:t>
            </w:r>
            <w:r w:rsidRPr="00800F6F">
              <w:rPr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BCB078C" w14:textId="77777777" w:rsidR="00084F8B" w:rsidRPr="00800F6F" w:rsidRDefault="00084F8B" w:rsidP="00422D7D">
            <w:pPr>
              <w:tabs>
                <w:tab w:val="left" w:pos="8505"/>
              </w:tabs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0%</w:t>
            </w:r>
          </w:p>
        </w:tc>
        <w:tc>
          <w:tcPr>
            <w:tcW w:w="1559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16ED6C37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50%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5D321A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</w:p>
          <w:p w14:paraId="6B57EB28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100%</w:t>
            </w:r>
            <w:r w:rsidRPr="00800F6F">
              <w:rPr>
                <w:color w:val="000000"/>
              </w:rPr>
              <w:br/>
              <w:t>(docelowo)</w:t>
            </w:r>
          </w:p>
        </w:tc>
        <w:tc>
          <w:tcPr>
            <w:tcW w:w="1701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6E543F6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</w:p>
          <w:p w14:paraId="446CF388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100%</w:t>
            </w:r>
          </w:p>
          <w:p w14:paraId="22C786F8" w14:textId="77777777" w:rsidR="00084F8B" w:rsidRPr="00800F6F" w:rsidRDefault="00084F8B" w:rsidP="00422D7D">
            <w:pPr>
              <w:ind w:firstLine="11"/>
              <w:jc w:val="center"/>
              <w:rPr>
                <w:color w:val="000000"/>
              </w:rPr>
            </w:pPr>
            <w:r w:rsidRPr="00800F6F">
              <w:rPr>
                <w:color w:val="000000"/>
              </w:rPr>
              <w:t>(docelowo)</w:t>
            </w:r>
          </w:p>
        </w:tc>
      </w:tr>
    </w:tbl>
    <w:p w14:paraId="7AF76272" w14:textId="77777777" w:rsidR="00084F8B" w:rsidRDefault="00084F8B" w:rsidP="00992E79">
      <w:pPr>
        <w:spacing w:before="120" w:after="120"/>
        <w:jc w:val="both"/>
        <w:rPr>
          <w:rFonts w:eastAsia="MS Mincho"/>
          <w:lang w:eastAsia="ja-JP"/>
        </w:rPr>
      </w:pPr>
    </w:p>
    <w:p w14:paraId="7F88BB9A" w14:textId="77777777" w:rsidR="00084F8B" w:rsidRPr="00992E79" w:rsidRDefault="00084F8B" w:rsidP="00F9792E">
      <w:pPr>
        <w:spacing w:before="120" w:after="12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br w:type="page"/>
      </w:r>
    </w:p>
    <w:p w14:paraId="3B91FD74" w14:textId="77777777" w:rsidR="00084F8B" w:rsidRPr="00800F6F" w:rsidRDefault="00084F8B" w:rsidP="002A6705">
      <w:pPr>
        <w:pStyle w:val="Nagwek1"/>
        <w:spacing w:before="240" w:after="240"/>
        <w:jc w:val="both"/>
        <w:rPr>
          <w:i/>
        </w:rPr>
      </w:pPr>
      <w:bookmarkStart w:id="168" w:name="_Toc397697052"/>
      <w:bookmarkStart w:id="169" w:name="_Toc424116748"/>
      <w:r w:rsidRPr="00800F6F">
        <w:lastRenderedPageBreak/>
        <w:t>Rozdział 8. Rozwiązania finansowe w zakresie postępowania z odpadami promieniotwórczymi i wypalonym paliwem jądrowym</w:t>
      </w:r>
      <w:bookmarkEnd w:id="168"/>
      <w:bookmarkEnd w:id="169"/>
      <w:r w:rsidRPr="00800F6F">
        <w:t xml:space="preserve"> </w:t>
      </w:r>
    </w:p>
    <w:p w14:paraId="6AB52461" w14:textId="77777777" w:rsidR="00084F8B" w:rsidRPr="003309A0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>
        <w:rPr>
          <w:color w:val="000000"/>
        </w:rPr>
        <w:t>W</w:t>
      </w:r>
      <w:r w:rsidRPr="003309A0">
        <w:rPr>
          <w:color w:val="000000"/>
        </w:rPr>
        <w:t xml:space="preserve"> </w:t>
      </w:r>
      <w:r>
        <w:rPr>
          <w:color w:val="000000"/>
        </w:rPr>
        <w:t>Polsce</w:t>
      </w:r>
      <w:r w:rsidRPr="003309A0">
        <w:rPr>
          <w:color w:val="000000"/>
        </w:rPr>
        <w:t xml:space="preserve"> </w:t>
      </w:r>
      <w:r>
        <w:rPr>
          <w:color w:val="000000"/>
        </w:rPr>
        <w:t>obowiązuje zasada</w:t>
      </w:r>
      <w:r w:rsidRPr="003309A0">
        <w:rPr>
          <w:color w:val="000000"/>
        </w:rPr>
        <w:t xml:space="preserve"> ,,zanieczyszczający płaci”, zgodnie z którą podmiot, w którym powsta</w:t>
      </w:r>
      <w:r>
        <w:rPr>
          <w:color w:val="000000"/>
        </w:rPr>
        <w:t>ły</w:t>
      </w:r>
      <w:r w:rsidRPr="003309A0">
        <w:rPr>
          <w:color w:val="000000"/>
        </w:rPr>
        <w:t xml:space="preserve"> odpad</w:t>
      </w:r>
      <w:r>
        <w:rPr>
          <w:color w:val="000000"/>
        </w:rPr>
        <w:t>y</w:t>
      </w:r>
      <w:r w:rsidRPr="003309A0">
        <w:rPr>
          <w:color w:val="000000"/>
        </w:rPr>
        <w:t xml:space="preserve"> promieniotwórcz</w:t>
      </w:r>
      <w:r>
        <w:rPr>
          <w:color w:val="000000"/>
        </w:rPr>
        <w:t>e</w:t>
      </w:r>
      <w:r w:rsidRPr="003309A0">
        <w:rPr>
          <w:color w:val="000000"/>
        </w:rPr>
        <w:t xml:space="preserve"> lub</w:t>
      </w:r>
      <w:r w:rsidRPr="003309A0">
        <w:t xml:space="preserve"> wypalone paliwo jądrowe</w:t>
      </w:r>
      <w:r w:rsidRPr="003309A0">
        <w:rPr>
          <w:color w:val="000000"/>
        </w:rPr>
        <w:t xml:space="preserve"> </w:t>
      </w:r>
      <w:r>
        <w:rPr>
          <w:color w:val="000000"/>
        </w:rPr>
        <w:t xml:space="preserve">jest zobowiązany </w:t>
      </w:r>
      <w:r w:rsidRPr="003309A0">
        <w:rPr>
          <w:color w:val="000000"/>
        </w:rPr>
        <w:t>zapewni</w:t>
      </w:r>
      <w:r>
        <w:rPr>
          <w:color w:val="000000"/>
        </w:rPr>
        <w:t>ć</w:t>
      </w:r>
      <w:r w:rsidRPr="003309A0">
        <w:rPr>
          <w:color w:val="000000"/>
        </w:rPr>
        <w:t xml:space="preserve"> finansowanie </w:t>
      </w:r>
      <w:r w:rsidRPr="003309A0">
        <w:t>postępowania z nim</w:t>
      </w:r>
      <w:r>
        <w:t>i</w:t>
      </w:r>
      <w:r w:rsidRPr="003309A0">
        <w:t xml:space="preserve">, od momentu </w:t>
      </w:r>
      <w:r>
        <w:t>ich</w:t>
      </w:r>
      <w:r w:rsidRPr="003309A0">
        <w:t xml:space="preserve"> powstania, aż po oddanie </w:t>
      </w:r>
      <w:r>
        <w:t>ich</w:t>
      </w:r>
      <w:r w:rsidRPr="003309A0">
        <w:t xml:space="preserve"> do składowania, łącznie z finansowaniem składowania</w:t>
      </w:r>
      <w:r>
        <w:rPr>
          <w:rStyle w:val="Odwoanieprzypisudolnego"/>
        </w:rPr>
        <w:footnoteReference w:id="54"/>
      </w:r>
      <w:r w:rsidRPr="003309A0">
        <w:t xml:space="preserve">. Odpowiedzialność ta nie może być </w:t>
      </w:r>
      <w:r>
        <w:t>przeniesiona na inny podmiot.</w:t>
      </w:r>
    </w:p>
    <w:p w14:paraId="424183E4" w14:textId="77777777" w:rsidR="00084F8B" w:rsidRPr="0032034B" w:rsidRDefault="00084F8B" w:rsidP="00141C2D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32034B">
        <w:rPr>
          <w:color w:val="000000"/>
        </w:rPr>
        <w:t xml:space="preserve">Obowiązują dwa </w:t>
      </w:r>
      <w:r>
        <w:rPr>
          <w:color w:val="000000"/>
        </w:rPr>
        <w:t>rozwiązania dotyczące</w:t>
      </w:r>
      <w:r w:rsidRPr="0032034B">
        <w:rPr>
          <w:color w:val="000000"/>
        </w:rPr>
        <w:t xml:space="preserve"> finansowania postępowania z odpadami promieniotwórczymi</w:t>
      </w:r>
      <w:r>
        <w:rPr>
          <w:color w:val="000000"/>
        </w:rPr>
        <w:t xml:space="preserve"> </w:t>
      </w:r>
      <w:r w:rsidRPr="0032034B">
        <w:rPr>
          <w:color w:val="000000"/>
        </w:rPr>
        <w:t>i</w:t>
      </w:r>
      <w:r>
        <w:rPr>
          <w:color w:val="000000"/>
        </w:rPr>
        <w:t> </w:t>
      </w:r>
      <w:r w:rsidRPr="0032034B">
        <w:rPr>
          <w:color w:val="000000"/>
        </w:rPr>
        <w:t>wypalonym paliwem jądrowym - jed</w:t>
      </w:r>
      <w:r>
        <w:rPr>
          <w:color w:val="000000"/>
        </w:rPr>
        <w:t>no</w:t>
      </w:r>
      <w:r w:rsidRPr="0032034B">
        <w:rPr>
          <w:color w:val="000000"/>
        </w:rPr>
        <w:t xml:space="preserve"> dla odpadów pochodzących z </w:t>
      </w:r>
      <w:r>
        <w:rPr>
          <w:color w:val="000000"/>
        </w:rPr>
        <w:t>energetyki jądrowej,</w:t>
      </w:r>
      <w:r w:rsidRPr="0032034B">
        <w:rPr>
          <w:color w:val="000000"/>
        </w:rPr>
        <w:t xml:space="preserve"> drugi</w:t>
      </w:r>
      <w:r>
        <w:rPr>
          <w:color w:val="000000"/>
        </w:rPr>
        <w:t>e</w:t>
      </w:r>
      <w:r w:rsidRPr="0032034B">
        <w:rPr>
          <w:color w:val="000000"/>
        </w:rPr>
        <w:t xml:space="preserve"> dla odpadów pochodzących od wytwórców </w:t>
      </w:r>
      <w:r>
        <w:rPr>
          <w:color w:val="000000"/>
        </w:rPr>
        <w:t>s</w:t>
      </w:r>
      <w:r w:rsidRPr="0032034B">
        <w:rPr>
          <w:color w:val="000000"/>
        </w:rPr>
        <w:t>poza energetyki jądrowej.</w:t>
      </w:r>
    </w:p>
    <w:p w14:paraId="666D95D2" w14:textId="77777777" w:rsidR="00084F8B" w:rsidRPr="007A1FA8" w:rsidRDefault="00084F8B" w:rsidP="008D5796">
      <w:pPr>
        <w:pStyle w:val="Nagwek2"/>
      </w:pPr>
      <w:bookmarkStart w:id="170" w:name="_Toc397697053"/>
      <w:bookmarkStart w:id="171" w:name="_Toc424116749"/>
      <w:r>
        <w:t>8</w:t>
      </w:r>
      <w:r w:rsidRPr="007A1FA8">
        <w:t xml:space="preserve">.1. Finansowanie </w:t>
      </w:r>
      <w:r>
        <w:t>postępowania</w:t>
      </w:r>
      <w:r w:rsidRPr="007A1FA8">
        <w:t xml:space="preserve"> wypalonym paliwem jądrowym i odpadami promieniotwórczymi pochodzący</w:t>
      </w:r>
      <w:r>
        <w:t>mi</w:t>
      </w:r>
      <w:r w:rsidRPr="007A1FA8">
        <w:t xml:space="preserve"> z energetyki jądrowej</w:t>
      </w:r>
      <w:bookmarkEnd w:id="170"/>
      <w:bookmarkEnd w:id="171"/>
    </w:p>
    <w:p w14:paraId="15198AE2" w14:textId="77777777" w:rsidR="00084F8B" w:rsidRPr="003D539A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cs="A"/>
        </w:rPr>
      </w:pPr>
      <w:r>
        <w:t xml:space="preserve">Koszty </w:t>
      </w:r>
      <w:r w:rsidRPr="003D539A">
        <w:rPr>
          <w:color w:val="000000"/>
        </w:rPr>
        <w:t>końcowego postępowania z odpadami promieniotwórczymi i wypalonym paliwem jądrowym, pochodzącymi z energetyki jądrowej będą pokrywane ze środków funduszu likwidacyjnego.</w:t>
      </w:r>
    </w:p>
    <w:p w14:paraId="0FF1C1AB" w14:textId="77777777" w:rsidR="00084F8B" w:rsidRPr="004D0DC8" w:rsidRDefault="00084F8B" w:rsidP="00C76CB6">
      <w:pPr>
        <w:widowControl w:val="0"/>
        <w:autoSpaceDE w:val="0"/>
        <w:autoSpaceDN w:val="0"/>
        <w:adjustRightInd w:val="0"/>
        <w:spacing w:before="120" w:after="120"/>
        <w:jc w:val="both"/>
      </w:pPr>
      <w:r>
        <w:t>Końcowe postępowanie</w:t>
      </w:r>
      <w:r w:rsidRPr="003309A0">
        <w:t xml:space="preserve"> z </w:t>
      </w:r>
      <w:r w:rsidRPr="003D539A">
        <w:rPr>
          <w:color w:val="000000"/>
        </w:rPr>
        <w:t xml:space="preserve">odpadami promieniotwórczymi oraz wypalonym paliwem jądrowym </w:t>
      </w:r>
      <w:r>
        <w:rPr>
          <w:color w:val="000000"/>
        </w:rPr>
        <w:t>obejmuje następujące</w:t>
      </w:r>
      <w:r w:rsidRPr="003D539A">
        <w:rPr>
          <w:rFonts w:eastAsia="MS Mincho"/>
          <w:bCs/>
          <w:lang w:eastAsia="ja-JP"/>
        </w:rPr>
        <w:t xml:space="preserve"> koszty:</w:t>
      </w:r>
    </w:p>
    <w:p w14:paraId="489F6E20" w14:textId="77777777" w:rsidR="00084F8B" w:rsidRPr="003D539A" w:rsidRDefault="00084F8B" w:rsidP="00B70217">
      <w:pPr>
        <w:pStyle w:val="Akapitzlist"/>
        <w:numPr>
          <w:ilvl w:val="0"/>
          <w:numId w:val="123"/>
        </w:numPr>
        <w:spacing w:before="120" w:after="120"/>
        <w:ind w:left="709" w:hanging="283"/>
        <w:jc w:val="both"/>
        <w:rPr>
          <w:color w:val="000000"/>
        </w:rPr>
      </w:pPr>
      <w:r w:rsidRPr="003D539A">
        <w:rPr>
          <w:color w:val="000000"/>
        </w:rPr>
        <w:t>składowani</w:t>
      </w:r>
      <w:r w:rsidR="00691AB8">
        <w:rPr>
          <w:color w:val="000000"/>
        </w:rPr>
        <w:t>e</w:t>
      </w:r>
      <w:r w:rsidRPr="003D539A">
        <w:rPr>
          <w:color w:val="000000"/>
        </w:rPr>
        <w:t xml:space="preserve"> wypalonego paliwa jądrowego z całego okresu eksploatacji elektrowni jądrowej;</w:t>
      </w:r>
    </w:p>
    <w:p w14:paraId="27509386" w14:textId="77777777" w:rsidR="00084F8B" w:rsidRPr="003D539A" w:rsidRDefault="00084F8B" w:rsidP="00B70217">
      <w:pPr>
        <w:pStyle w:val="Akapitzlist"/>
        <w:numPr>
          <w:ilvl w:val="0"/>
          <w:numId w:val="123"/>
        </w:numPr>
        <w:spacing w:before="120" w:after="120"/>
        <w:ind w:left="709" w:hanging="283"/>
        <w:jc w:val="both"/>
        <w:rPr>
          <w:color w:val="000000"/>
        </w:rPr>
      </w:pPr>
      <w:r w:rsidRPr="003D539A">
        <w:rPr>
          <w:color w:val="000000"/>
        </w:rPr>
        <w:t>składowani</w:t>
      </w:r>
      <w:r w:rsidR="00691AB8">
        <w:rPr>
          <w:color w:val="000000"/>
        </w:rPr>
        <w:t>e</w:t>
      </w:r>
      <w:r w:rsidRPr="003D539A">
        <w:rPr>
          <w:color w:val="000000"/>
        </w:rPr>
        <w:t xml:space="preserve"> nisko-, średnio- i wysokoaktywnych odpadów promieniotwórczych wytworzonych w elektrowni jądrowej z całego okresu jej eksploatacji, w tym powstałych w przechowalnikach wypalonego paliwa jądrowego </w:t>
      </w:r>
      <w:r w:rsidR="00B11435">
        <w:rPr>
          <w:color w:val="000000"/>
        </w:rPr>
        <w:t xml:space="preserve">działających na potrzeby </w:t>
      </w:r>
      <w:r w:rsidRPr="003D539A">
        <w:rPr>
          <w:color w:val="000000"/>
        </w:rPr>
        <w:t>elektrowni jądrowej;</w:t>
      </w:r>
    </w:p>
    <w:p w14:paraId="5938439C" w14:textId="77777777" w:rsidR="00084F8B" w:rsidRPr="003D539A" w:rsidRDefault="00084F8B" w:rsidP="00B70217">
      <w:pPr>
        <w:pStyle w:val="Akapitzlist"/>
        <w:numPr>
          <w:ilvl w:val="0"/>
          <w:numId w:val="123"/>
        </w:numPr>
        <w:spacing w:before="120" w:after="120"/>
        <w:ind w:left="709" w:hanging="283"/>
        <w:jc w:val="both"/>
        <w:rPr>
          <w:color w:val="000000"/>
        </w:rPr>
      </w:pPr>
      <w:r w:rsidRPr="003D539A">
        <w:rPr>
          <w:color w:val="000000"/>
        </w:rPr>
        <w:t>likwidacj</w:t>
      </w:r>
      <w:r w:rsidR="00691AB8">
        <w:rPr>
          <w:color w:val="000000"/>
        </w:rPr>
        <w:t>a</w:t>
      </w:r>
      <w:r w:rsidRPr="003D539A">
        <w:rPr>
          <w:color w:val="000000"/>
        </w:rPr>
        <w:t xml:space="preserve"> elektrowni jądrowej, magazynów odpadów promieniotwórczych oraz przechowalników wypalonego paliwa jądrowego </w:t>
      </w:r>
      <w:r w:rsidR="00B11435">
        <w:rPr>
          <w:color w:val="000000"/>
        </w:rPr>
        <w:t>działających na potrzeby</w:t>
      </w:r>
      <w:r w:rsidRPr="003D539A">
        <w:rPr>
          <w:color w:val="000000"/>
        </w:rPr>
        <w:t xml:space="preserve"> elektrowni jądrowej;</w:t>
      </w:r>
    </w:p>
    <w:p w14:paraId="5E869FE5" w14:textId="77777777" w:rsidR="00084F8B" w:rsidRPr="003D539A" w:rsidRDefault="00084F8B" w:rsidP="00B70217">
      <w:pPr>
        <w:pStyle w:val="Akapitzlist"/>
        <w:numPr>
          <w:ilvl w:val="0"/>
          <w:numId w:val="123"/>
        </w:numPr>
        <w:spacing w:before="120" w:after="120"/>
        <w:ind w:left="709" w:hanging="283"/>
        <w:jc w:val="both"/>
        <w:rPr>
          <w:color w:val="000000"/>
        </w:rPr>
      </w:pPr>
      <w:r w:rsidRPr="003D539A">
        <w:rPr>
          <w:color w:val="000000"/>
        </w:rPr>
        <w:t>postępowani</w:t>
      </w:r>
      <w:r w:rsidR="00691AB8">
        <w:rPr>
          <w:color w:val="000000"/>
        </w:rPr>
        <w:t>e</w:t>
      </w:r>
      <w:r w:rsidRPr="003D539A">
        <w:rPr>
          <w:color w:val="000000"/>
        </w:rPr>
        <w:t xml:space="preserve"> z odpadami promieniotwórczymi powstałymi w procesie likwidacji elektrowni jądrowej, magazynów odpadów promieniotwórczych oraz przechowalników wypalonego paliwa jądrowego </w:t>
      </w:r>
      <w:r w:rsidR="00EA5F49">
        <w:rPr>
          <w:color w:val="000000"/>
        </w:rPr>
        <w:t xml:space="preserve">działających </w:t>
      </w:r>
      <w:r w:rsidR="00EA5F49" w:rsidRPr="003D539A">
        <w:rPr>
          <w:color w:val="000000"/>
        </w:rPr>
        <w:t>na</w:t>
      </w:r>
      <w:r w:rsidRPr="003D539A">
        <w:rPr>
          <w:color w:val="000000"/>
        </w:rPr>
        <w:t xml:space="preserve"> </w:t>
      </w:r>
      <w:r w:rsidR="00EA5F49">
        <w:rPr>
          <w:color w:val="000000"/>
        </w:rPr>
        <w:t>potrzeby</w:t>
      </w:r>
      <w:r w:rsidR="00EA5F49" w:rsidRPr="003D539A">
        <w:rPr>
          <w:color w:val="000000"/>
        </w:rPr>
        <w:t xml:space="preserve"> </w:t>
      </w:r>
      <w:r w:rsidRPr="003D539A">
        <w:rPr>
          <w:color w:val="000000"/>
        </w:rPr>
        <w:t>elektrowni jądrowej.</w:t>
      </w:r>
    </w:p>
    <w:p w14:paraId="6DB1076E" w14:textId="77777777" w:rsidR="00084F8B" w:rsidRDefault="00084F8B" w:rsidP="00C76CB6">
      <w:pPr>
        <w:jc w:val="both"/>
      </w:pPr>
      <w:r>
        <w:t>Z funduszu likwidacyjnego nie będą pokrywane k</w:t>
      </w:r>
      <w:r w:rsidRPr="003309A0">
        <w:t>oszty postępowania z</w:t>
      </w:r>
      <w:r>
        <w:t> </w:t>
      </w:r>
      <w:r w:rsidRPr="003309A0">
        <w:t xml:space="preserve">odpadami promieniotwórczymi </w:t>
      </w:r>
      <w:r>
        <w:t>i </w:t>
      </w:r>
      <w:r w:rsidRPr="003309A0">
        <w:t>wypalonym paliwem jądrowym od</w:t>
      </w:r>
      <w:r>
        <w:t xml:space="preserve"> momentu</w:t>
      </w:r>
      <w:r w:rsidRPr="003309A0">
        <w:t xml:space="preserve"> ich wytworzenia w elektrowni jądrowej do czasu przekazania ich do końcowego postępowania </w:t>
      </w:r>
      <w:r>
        <w:t xml:space="preserve">do ZUOP. Koszt tej działalności pokrywany będzie ze środków bieżących operatora elektrowni </w:t>
      </w:r>
      <w:r w:rsidRPr="004D0DC8">
        <w:rPr>
          <w:rFonts w:cs="A"/>
        </w:rPr>
        <w:t>jądrowej.</w:t>
      </w:r>
      <w:r>
        <w:t xml:space="preserve"> </w:t>
      </w:r>
    </w:p>
    <w:p w14:paraId="3B76EEBD" w14:textId="77777777" w:rsidR="00084F8B" w:rsidRPr="003D539A" w:rsidRDefault="00084F8B" w:rsidP="00C76CB6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"/>
        </w:rPr>
      </w:pPr>
      <w:r w:rsidRPr="003D539A">
        <w:rPr>
          <w:rFonts w:cs="A"/>
        </w:rPr>
        <w:t xml:space="preserve">Fundusz likwidacyjny, </w:t>
      </w:r>
      <w:r w:rsidRPr="003D539A">
        <w:rPr>
          <w:color w:val="000000"/>
        </w:rPr>
        <w:t xml:space="preserve">utworzony przez </w:t>
      </w:r>
      <w:r w:rsidRPr="003D539A">
        <w:rPr>
          <w:rFonts w:cs="A"/>
        </w:rPr>
        <w:t xml:space="preserve">operatora elektrowni jądrowej, będzie wyodrębnionym funduszem specjalnym z przypisanym do niego wyodrębnionym rachunkiem bankowym. Będzie on zasilany poprzez kwartalne wpłaty dokonywane przez operatora elektrowni jądrowej, których </w:t>
      </w:r>
      <w:r>
        <w:t>w</w:t>
      </w:r>
      <w:r w:rsidRPr="003309A0">
        <w:t>ysokość uzależniona będzie od ilości wyprodukowan</w:t>
      </w:r>
      <w:r>
        <w:t>ych</w:t>
      </w:r>
      <w:r w:rsidRPr="003309A0">
        <w:t xml:space="preserve"> w elektrowni jądrowej </w:t>
      </w:r>
      <w:r>
        <w:t xml:space="preserve">MWh </w:t>
      </w:r>
      <w:r w:rsidRPr="003309A0">
        <w:t>energii elektrycznej</w:t>
      </w:r>
      <w:r>
        <w:rPr>
          <w:rStyle w:val="Odwoanieprzypisudolnego"/>
        </w:rPr>
        <w:footnoteReference w:id="55"/>
      </w:r>
      <w:r w:rsidRPr="003309A0">
        <w:t xml:space="preserve">. </w:t>
      </w:r>
    </w:p>
    <w:p w14:paraId="5CB1922A" w14:textId="590020D9" w:rsidR="00084F8B" w:rsidRPr="007309F8" w:rsidRDefault="00084F8B" w:rsidP="00C87B85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n-US"/>
        </w:rPr>
      </w:pPr>
      <w:r>
        <w:t xml:space="preserve">Rada Ministrów określa w drodze rozporządzenia wysokość wpłaty od każdej wyprodukowanej </w:t>
      </w:r>
      <w:r w:rsidRPr="007309F8">
        <w:rPr>
          <w:rFonts w:cs="Calibri"/>
          <w:lang w:eastAsia="en-US"/>
        </w:rPr>
        <w:t xml:space="preserve">w elektrowni jądrowej </w:t>
      </w:r>
      <w:r>
        <w:t xml:space="preserve">MWh energii elektrycznej, biorąc pod uwagę przewidywany okres eksploatacji elektrowni jądrowej, ilość wyprodukowanych przez nią odpadów promieniotwórczych, w tym wypalonego paliwa jądrowego, koszt końcowego postępowania z tymi odpadami, a także koszt likwidacji elektrowni jądrowej, który podlega aktualizacji nie rzadziej niż raz na </w:t>
      </w:r>
      <w:r w:rsidRPr="007309F8">
        <w:rPr>
          <w:rFonts w:cs="Calibri"/>
        </w:rPr>
        <w:t>pięć lat</w:t>
      </w:r>
      <w:r w:rsidRPr="007309F8">
        <w:rPr>
          <w:rStyle w:val="Odwoanieprzypisudolnego"/>
          <w:rFonts w:cs="Calibri"/>
        </w:rPr>
        <w:footnoteReference w:id="56"/>
      </w:r>
      <w:r w:rsidRPr="007309F8">
        <w:rPr>
          <w:rFonts w:cs="Calibri"/>
        </w:rPr>
        <w:t xml:space="preserve">. W wydanym </w:t>
      </w:r>
      <w:r w:rsidR="00AA1C89">
        <w:rPr>
          <w:rFonts w:cs="Calibri"/>
        </w:rPr>
        <w:t>Rozporządzeniu R</w:t>
      </w:r>
      <w:r w:rsidR="00B040C7">
        <w:rPr>
          <w:rFonts w:cs="Calibri"/>
        </w:rPr>
        <w:t xml:space="preserve">ady Ministrów z dnia 10 </w:t>
      </w:r>
      <w:r w:rsidR="00FA31C1">
        <w:rPr>
          <w:rFonts w:cs="Calibri"/>
        </w:rPr>
        <w:t xml:space="preserve">października </w:t>
      </w:r>
      <w:r w:rsidR="00FA31C1">
        <w:rPr>
          <w:rFonts w:cs="Calibri"/>
        </w:rPr>
        <w:lastRenderedPageBreak/>
        <w:t>2012 roku</w:t>
      </w:r>
      <w:r w:rsidRPr="007309F8">
        <w:rPr>
          <w:rFonts w:cs="Calibri"/>
        </w:rPr>
        <w:t xml:space="preserve"> Rada Ministrów ustaliła wysokość wpłaty na kwotę wynoszącą 17,16 zł </w:t>
      </w:r>
      <w:r w:rsidRPr="007309F8">
        <w:rPr>
          <w:rFonts w:cs="Calibri"/>
          <w:lang w:eastAsia="en-US"/>
        </w:rPr>
        <w:t>od każdej wyprodukowanej megawatogodziny (MWh) energii elektrycznej</w:t>
      </w:r>
      <w:r w:rsidRPr="007309F8">
        <w:rPr>
          <w:rFonts w:cs="Calibri"/>
        </w:rPr>
        <w:t xml:space="preserve"> </w:t>
      </w:r>
      <w:r w:rsidRPr="007309F8">
        <w:rPr>
          <w:rStyle w:val="Odwoanieprzypisudolnego"/>
          <w:rFonts w:eastAsia="MS Mincho" w:cs="Calibri"/>
          <w:bCs/>
          <w:i/>
          <w:lang w:eastAsia="ja-JP"/>
        </w:rPr>
        <w:footnoteReference w:id="57"/>
      </w:r>
      <w:r w:rsidRPr="007309F8">
        <w:rPr>
          <w:rFonts w:cs="Calibri"/>
        </w:rPr>
        <w:t>.</w:t>
      </w:r>
    </w:p>
    <w:p w14:paraId="2341365E" w14:textId="5BB3280C" w:rsidR="00084F8B" w:rsidRPr="003D539A" w:rsidRDefault="00084F8B" w:rsidP="00C76CB6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"/>
        </w:rPr>
      </w:pPr>
      <w:r w:rsidRPr="007309F8">
        <w:rPr>
          <w:rFonts w:cs="Calibri"/>
        </w:rPr>
        <w:t xml:space="preserve">Aktualizowana prognoza </w:t>
      </w:r>
      <w:r>
        <w:t>kosztów likwidacji elektrowni jądrowej podle</w:t>
      </w:r>
      <w:r w:rsidR="008B61E1">
        <w:t>ga weryfikacji przez ministra właściwego ds. energii</w:t>
      </w:r>
      <w:r>
        <w:t>.</w:t>
      </w:r>
    </w:p>
    <w:p w14:paraId="17CF7736" w14:textId="178ACC2D" w:rsidR="00084F8B" w:rsidRPr="003D539A" w:rsidRDefault="00081217" w:rsidP="00C76CB6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"/>
        </w:rPr>
      </w:pPr>
      <w:r w:rsidRPr="001A5810">
        <w:rPr>
          <w:rFonts w:cs="A"/>
        </w:rPr>
        <w:t xml:space="preserve">Minister właściwy ds. energii </w:t>
      </w:r>
      <w:r w:rsidR="00084F8B" w:rsidRPr="001A5810">
        <w:rPr>
          <w:rFonts w:cs="A"/>
        </w:rPr>
        <w:t>będzie otrzymywać raporty od operatora elektrowni jądrowej, dotyczące wysokości wpłat dokonywanych</w:t>
      </w:r>
      <w:r w:rsidR="00084F8B" w:rsidRPr="003D539A">
        <w:rPr>
          <w:rFonts w:cs="A"/>
        </w:rPr>
        <w:t xml:space="preserve"> na fundusz likwidacyjny oraz ilości wyprodukowanych MWh energii elektrycznej. W przypadku opóźnienia wpłaty, trwającego co najmniej 18 miesięcy będzie mógł wydać nakaz zawieszenia eksploatacji elektrowni jądrowej</w:t>
      </w:r>
      <w:r w:rsidR="00084F8B">
        <w:rPr>
          <w:rStyle w:val="Odwoanieprzypisudolnego"/>
          <w:rFonts w:cs="A"/>
        </w:rPr>
        <w:footnoteReference w:id="58"/>
      </w:r>
      <w:r w:rsidR="00084F8B" w:rsidRPr="003D539A">
        <w:rPr>
          <w:rFonts w:cs="A"/>
        </w:rPr>
        <w:t>.</w:t>
      </w:r>
    </w:p>
    <w:p w14:paraId="0D1D1BE7" w14:textId="77777777" w:rsidR="00084F8B" w:rsidRPr="003D539A" w:rsidRDefault="00084F8B" w:rsidP="00C76CB6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"/>
        </w:rPr>
      </w:pPr>
      <w:r w:rsidRPr="003D539A">
        <w:rPr>
          <w:rFonts w:cs="A"/>
        </w:rPr>
        <w:t>Zgromadzone środki finansowe w funduszu likwidacyjnym będą mogły być lokowane wyłącznie na lokatach terminowych lub przeznaczone na nabywanie za nie obligacji długoterminowych, emitowanych przez Ministra Finansów</w:t>
      </w:r>
      <w:r>
        <w:rPr>
          <w:rStyle w:val="Odwoanieprzypisudolnego"/>
          <w:rFonts w:cs="A"/>
        </w:rPr>
        <w:footnoteReference w:id="59"/>
      </w:r>
      <w:r w:rsidRPr="003D539A">
        <w:rPr>
          <w:rFonts w:cs="A"/>
        </w:rPr>
        <w:t>.</w:t>
      </w:r>
    </w:p>
    <w:p w14:paraId="30C412C2" w14:textId="1F7B2886" w:rsidR="00084F8B" w:rsidRPr="003D539A" w:rsidRDefault="00084F8B" w:rsidP="00C76CB6">
      <w:pPr>
        <w:spacing w:before="120" w:after="120"/>
        <w:jc w:val="both"/>
        <w:rPr>
          <w:rFonts w:cs="A"/>
        </w:rPr>
      </w:pPr>
      <w:r w:rsidRPr="008B61E1">
        <w:rPr>
          <w:rFonts w:cs="A"/>
        </w:rPr>
        <w:t xml:space="preserve">Każdorazowa wypłata z funduszu likwidacyjnego będzie wymagała pozytywnej opinii </w:t>
      </w:r>
      <w:r w:rsidR="00C77F8D">
        <w:rPr>
          <w:rFonts w:cs="A"/>
        </w:rPr>
        <w:t>ministra właściwego ds. energii</w:t>
      </w:r>
      <w:r w:rsidRPr="00081217">
        <w:rPr>
          <w:highlight w:val="lightGray"/>
        </w:rPr>
        <w:t>.</w:t>
      </w:r>
    </w:p>
    <w:p w14:paraId="6D106BE6" w14:textId="77777777" w:rsidR="00084F8B" w:rsidRPr="003309A0" w:rsidRDefault="00084F8B" w:rsidP="00C76CB6">
      <w:pPr>
        <w:spacing w:before="120" w:after="120"/>
        <w:jc w:val="both"/>
        <w:rPr>
          <w:rFonts w:eastAsia="MS Mincho"/>
          <w:bCs/>
          <w:lang w:eastAsia="ja-JP"/>
        </w:rPr>
      </w:pPr>
    </w:p>
    <w:p w14:paraId="2A084513" w14:textId="77777777" w:rsidR="00084F8B" w:rsidRPr="007A1FA8" w:rsidRDefault="00084F8B" w:rsidP="008D5796">
      <w:pPr>
        <w:pStyle w:val="Nagwek2"/>
      </w:pPr>
      <w:bookmarkStart w:id="172" w:name="_Toc397697054"/>
      <w:bookmarkStart w:id="173" w:name="_Toc424116750"/>
      <w:r>
        <w:t>8</w:t>
      </w:r>
      <w:r w:rsidRPr="007A1FA8">
        <w:t xml:space="preserve">.2. Finansowanie </w:t>
      </w:r>
      <w:r>
        <w:t>postępowania z</w:t>
      </w:r>
      <w:r w:rsidRPr="007A1FA8">
        <w:t xml:space="preserve"> wypalonym paliwem</w:t>
      </w:r>
      <w:r>
        <w:t xml:space="preserve"> jądrowym</w:t>
      </w:r>
      <w:r w:rsidRPr="007A1FA8">
        <w:t xml:space="preserve"> i odpadami promieniotwórczymi </w:t>
      </w:r>
      <w:r>
        <w:t>spoza</w:t>
      </w:r>
      <w:r w:rsidRPr="007A1FA8">
        <w:t xml:space="preserve"> energetyki jądrowej</w:t>
      </w:r>
      <w:bookmarkEnd w:id="172"/>
      <w:bookmarkEnd w:id="173"/>
    </w:p>
    <w:p w14:paraId="1A4EC0BF" w14:textId="77777777" w:rsidR="00084F8B" w:rsidRDefault="00084F8B" w:rsidP="00B70217">
      <w:pPr>
        <w:spacing w:before="120" w:after="120"/>
        <w:ind w:firstLine="567"/>
        <w:jc w:val="both"/>
      </w:pPr>
      <w:r>
        <w:t>Koszty postępowania z odpadami promieniotwórczymi i wypalonym paliwem jądrowym pochodzącymi od wytwórców</w:t>
      </w:r>
      <w:r w:rsidRPr="008915D0">
        <w:t xml:space="preserve"> </w:t>
      </w:r>
      <w:r w:rsidRPr="003309A0">
        <w:t xml:space="preserve">spoza energetyki jądrowej, </w:t>
      </w:r>
      <w:r>
        <w:t xml:space="preserve">tj. </w:t>
      </w:r>
      <w:r w:rsidRPr="003309A0">
        <w:t xml:space="preserve">z </w:t>
      </w:r>
      <w:r>
        <w:t xml:space="preserve">zastosowań </w:t>
      </w:r>
      <w:r w:rsidRPr="003309A0">
        <w:t>medyc</w:t>
      </w:r>
      <w:r>
        <w:t>znych</w:t>
      </w:r>
      <w:r w:rsidRPr="003309A0">
        <w:t>, nauk</w:t>
      </w:r>
      <w:r>
        <w:t>owych</w:t>
      </w:r>
      <w:r w:rsidRPr="003309A0">
        <w:t xml:space="preserve"> i przemysł</w:t>
      </w:r>
      <w:r>
        <w:t>owych są pokrywane przez wytwórców tych odpadów.</w:t>
      </w:r>
    </w:p>
    <w:p w14:paraId="5A4526DE" w14:textId="08F69D09" w:rsidR="00084F8B" w:rsidRDefault="00084F8B" w:rsidP="00B70217">
      <w:pPr>
        <w:jc w:val="both"/>
      </w:pPr>
      <w:r>
        <w:t xml:space="preserve">ZUOP pobiera od wytwórców odpadów promieniotwórczych opłaty z tytułu wykonywanych usług, zgodnie z cennikiem zatwierdzanym przez Ministra </w:t>
      </w:r>
      <w:r w:rsidR="00081217">
        <w:t>Energii</w:t>
      </w:r>
      <w:r w:rsidR="0023089E">
        <w:t>.</w:t>
      </w:r>
    </w:p>
    <w:p w14:paraId="29F0F76E" w14:textId="071A0C81" w:rsidR="00084F8B" w:rsidRPr="003D539A" w:rsidRDefault="00084F8B" w:rsidP="00C76CB6">
      <w:pPr>
        <w:spacing w:before="120" w:after="120"/>
        <w:jc w:val="both"/>
        <w:rPr>
          <w:color w:val="000000"/>
        </w:rPr>
      </w:pPr>
      <w:r w:rsidRPr="003309A0">
        <w:rPr>
          <w:color w:val="000000"/>
        </w:rPr>
        <w:t xml:space="preserve">Zakres usług </w:t>
      </w:r>
      <w:r>
        <w:rPr>
          <w:color w:val="000000"/>
        </w:rPr>
        <w:t xml:space="preserve">ZUOP </w:t>
      </w:r>
      <w:r w:rsidRPr="003309A0">
        <w:rPr>
          <w:color w:val="000000"/>
        </w:rPr>
        <w:t>obejmuje unieszkodliwianie i składowanie odpadów promieniotwórczych, unieszkodliwianie i</w:t>
      </w:r>
      <w:r>
        <w:rPr>
          <w:color w:val="000000"/>
        </w:rPr>
        <w:t> </w:t>
      </w:r>
      <w:r w:rsidRPr="003309A0">
        <w:rPr>
          <w:color w:val="000000"/>
        </w:rPr>
        <w:t>składowanie</w:t>
      </w:r>
      <w:r w:rsidR="00C77F8D">
        <w:rPr>
          <w:color w:val="000000"/>
        </w:rPr>
        <w:t xml:space="preserve"> zużytych zamkniętych</w:t>
      </w:r>
      <w:r w:rsidRPr="003309A0">
        <w:rPr>
          <w:color w:val="000000"/>
        </w:rPr>
        <w:t xml:space="preserve"> źródeł promieniotwórczych, usługi związane z wypalonym paliwem jądrowym, usługi w zakresie dekontaminacji</w:t>
      </w:r>
      <w:r>
        <w:rPr>
          <w:color w:val="000000"/>
        </w:rPr>
        <w:t xml:space="preserve"> oraz transportu i konwojowania.</w:t>
      </w:r>
    </w:p>
    <w:p w14:paraId="1C50F634" w14:textId="77777777" w:rsidR="00084F8B" w:rsidRDefault="00084F8B" w:rsidP="00C76CB6">
      <w:pPr>
        <w:spacing w:before="120" w:after="120"/>
        <w:jc w:val="both"/>
        <w:rPr>
          <w:color w:val="000000"/>
        </w:rPr>
      </w:pPr>
      <w:r>
        <w:rPr>
          <w:color w:val="000000"/>
        </w:rPr>
        <w:t>Koszty</w:t>
      </w:r>
      <w:r w:rsidRPr="003309A0">
        <w:rPr>
          <w:color w:val="000000"/>
        </w:rPr>
        <w:t xml:space="preserve"> związane z</w:t>
      </w:r>
      <w:r>
        <w:rPr>
          <w:color w:val="000000"/>
        </w:rPr>
        <w:t xml:space="preserve"> </w:t>
      </w:r>
      <w:r w:rsidRPr="003309A0">
        <w:rPr>
          <w:color w:val="000000"/>
        </w:rPr>
        <w:t xml:space="preserve">odbiorem, transportem, </w:t>
      </w:r>
      <w:r>
        <w:rPr>
          <w:color w:val="000000"/>
        </w:rPr>
        <w:t xml:space="preserve">przetwarzaniem, </w:t>
      </w:r>
      <w:r w:rsidRPr="003309A0">
        <w:rPr>
          <w:color w:val="000000"/>
        </w:rPr>
        <w:t>przechowywaniem i składowaniem odpadów promieniotwórczych lub innych substancji promieniotwórczych pochodzących z</w:t>
      </w:r>
      <w:r>
        <w:rPr>
          <w:color w:val="000000"/>
        </w:rPr>
        <w:t>:</w:t>
      </w:r>
      <w:r w:rsidRPr="003309A0">
        <w:rPr>
          <w:color w:val="000000"/>
        </w:rPr>
        <w:t xml:space="preserve"> </w:t>
      </w:r>
    </w:p>
    <w:p w14:paraId="6901E80E" w14:textId="77777777" w:rsidR="00084F8B" w:rsidRDefault="00084F8B" w:rsidP="00B70217">
      <w:pPr>
        <w:numPr>
          <w:ilvl w:val="0"/>
          <w:numId w:val="74"/>
        </w:numPr>
        <w:spacing w:before="120" w:after="120"/>
        <w:ind w:left="709" w:hanging="283"/>
        <w:jc w:val="both"/>
        <w:rPr>
          <w:color w:val="000000"/>
        </w:rPr>
      </w:pPr>
      <w:r w:rsidRPr="003309A0">
        <w:rPr>
          <w:color w:val="000000"/>
        </w:rPr>
        <w:t>nielegalnego obrotu niewiadomego pochodzenia</w:t>
      </w:r>
      <w:r>
        <w:rPr>
          <w:color w:val="000000"/>
        </w:rPr>
        <w:t>;</w:t>
      </w:r>
      <w:r w:rsidRPr="003309A0">
        <w:rPr>
          <w:color w:val="000000"/>
        </w:rPr>
        <w:t xml:space="preserve"> </w:t>
      </w:r>
    </w:p>
    <w:p w14:paraId="09303FA6" w14:textId="77777777" w:rsidR="00084F8B" w:rsidRDefault="00084F8B" w:rsidP="00B70217">
      <w:pPr>
        <w:numPr>
          <w:ilvl w:val="0"/>
          <w:numId w:val="74"/>
        </w:numPr>
        <w:spacing w:before="120" w:after="120"/>
        <w:ind w:left="709" w:hanging="283"/>
        <w:jc w:val="both"/>
        <w:rPr>
          <w:color w:val="000000"/>
        </w:rPr>
      </w:pPr>
      <w:r w:rsidRPr="003309A0">
        <w:rPr>
          <w:color w:val="000000"/>
        </w:rPr>
        <w:t>działalności jednostki organizacyjnej, która kończąc działalność stała się niewypłacalna</w:t>
      </w:r>
      <w:r>
        <w:rPr>
          <w:color w:val="000000"/>
        </w:rPr>
        <w:t>;</w:t>
      </w:r>
      <w:r w:rsidRPr="003309A0">
        <w:rPr>
          <w:color w:val="000000"/>
        </w:rPr>
        <w:t xml:space="preserve"> </w:t>
      </w:r>
    </w:p>
    <w:p w14:paraId="1B067FA0" w14:textId="77777777" w:rsidR="00084F8B" w:rsidRDefault="00084F8B" w:rsidP="00B70217">
      <w:pPr>
        <w:numPr>
          <w:ilvl w:val="0"/>
          <w:numId w:val="74"/>
        </w:numPr>
        <w:spacing w:before="120" w:after="120"/>
        <w:ind w:left="709" w:hanging="283"/>
        <w:jc w:val="both"/>
        <w:rPr>
          <w:color w:val="000000"/>
        </w:rPr>
      </w:pPr>
      <w:r w:rsidRPr="003309A0">
        <w:rPr>
          <w:color w:val="000000"/>
        </w:rPr>
        <w:t>powstałych w wyniku skażenia środowiska, którego sprawca nie jest znany</w:t>
      </w:r>
      <w:r>
        <w:rPr>
          <w:color w:val="000000"/>
        </w:rPr>
        <w:t>;</w:t>
      </w:r>
    </w:p>
    <w:p w14:paraId="635AD911" w14:textId="77777777" w:rsidR="00084F8B" w:rsidRPr="003D539A" w:rsidRDefault="00084F8B" w:rsidP="00C76CB6">
      <w:pPr>
        <w:spacing w:before="120" w:after="120"/>
        <w:jc w:val="both"/>
        <w:rPr>
          <w:color w:val="000000"/>
        </w:rPr>
      </w:pPr>
      <w:r w:rsidRPr="003309A0">
        <w:rPr>
          <w:color w:val="000000"/>
        </w:rPr>
        <w:t>pokrywane są z</w:t>
      </w:r>
      <w:r>
        <w:rPr>
          <w:color w:val="000000"/>
        </w:rPr>
        <w:t> </w:t>
      </w:r>
      <w:r w:rsidRPr="003309A0">
        <w:rPr>
          <w:color w:val="000000"/>
        </w:rPr>
        <w:t xml:space="preserve">budżetu państwa.  </w:t>
      </w:r>
    </w:p>
    <w:p w14:paraId="2F464701" w14:textId="77777777" w:rsidR="00084F8B" w:rsidRDefault="00084F8B" w:rsidP="00C76CB6">
      <w:pPr>
        <w:spacing w:before="120" w:after="120"/>
        <w:jc w:val="both"/>
      </w:pPr>
      <w:r w:rsidRPr="004048AE">
        <w:rPr>
          <w:color w:val="000000"/>
        </w:rPr>
        <w:t>ZUOP</w:t>
      </w:r>
      <w:r w:rsidRPr="004048AE">
        <w:t xml:space="preserve"> </w:t>
      </w:r>
      <w:r>
        <w:t>otrzymuje z budżetu państwa dotację podmiotową na realizację określonego przez ustawę</w:t>
      </w:r>
      <w:r>
        <w:rPr>
          <w:rStyle w:val="Odwoanieprzypisudolnego"/>
        </w:rPr>
        <w:footnoteReference w:id="60"/>
      </w:r>
      <w:r>
        <w:t xml:space="preserve"> zakresu czynności, obejmującą:</w:t>
      </w:r>
    </w:p>
    <w:p w14:paraId="361EC56F" w14:textId="77777777" w:rsidR="00084F8B" w:rsidRPr="00A9153A" w:rsidRDefault="00084F8B" w:rsidP="00E86D38">
      <w:pPr>
        <w:pStyle w:val="Tekstpodstawowy"/>
        <w:numPr>
          <w:ilvl w:val="0"/>
          <w:numId w:val="76"/>
        </w:numPr>
        <w:spacing w:after="0"/>
        <w:ind w:left="709" w:hanging="283"/>
        <w:jc w:val="both"/>
        <w:rPr>
          <w:sz w:val="20"/>
          <w:szCs w:val="20"/>
        </w:rPr>
      </w:pPr>
      <w:r w:rsidRPr="00A9153A">
        <w:rPr>
          <w:sz w:val="20"/>
          <w:szCs w:val="20"/>
        </w:rPr>
        <w:lastRenderedPageBreak/>
        <w:t>odbiór, transport i ewidencję źródeł, odpadów i innych substancji promieniotwórczych oraz materiałów jądrowych z terenu całego kraju w tym wypalonego paliwa jądrowego;</w:t>
      </w:r>
    </w:p>
    <w:p w14:paraId="55890585" w14:textId="77777777" w:rsidR="00084F8B" w:rsidRPr="00A9153A" w:rsidRDefault="00084F8B" w:rsidP="00E86D38">
      <w:pPr>
        <w:pStyle w:val="Tekstpodstawowy"/>
        <w:numPr>
          <w:ilvl w:val="0"/>
          <w:numId w:val="76"/>
        </w:numPr>
        <w:spacing w:after="0"/>
        <w:ind w:left="709" w:hanging="283"/>
        <w:jc w:val="both"/>
        <w:rPr>
          <w:sz w:val="20"/>
          <w:szCs w:val="20"/>
        </w:rPr>
      </w:pPr>
      <w:r w:rsidRPr="00A9153A">
        <w:rPr>
          <w:sz w:val="20"/>
          <w:szCs w:val="20"/>
        </w:rPr>
        <w:t>przechowywanie i składowanie źródeł, odpadów i innych substancji promieniotwórczych oraz materiałów jądrowych, a także ochronę fizyczn</w:t>
      </w:r>
      <w:r w:rsidRPr="003F6D50">
        <w:rPr>
          <w:sz w:val="20"/>
          <w:szCs w:val="20"/>
        </w:rPr>
        <w:t>ą KSOP w Różanie;</w:t>
      </w:r>
    </w:p>
    <w:p w14:paraId="04A5A320" w14:textId="77777777" w:rsidR="00084F8B" w:rsidRPr="00A9153A" w:rsidRDefault="00084F8B" w:rsidP="00E86D38">
      <w:pPr>
        <w:pStyle w:val="Tekstpodstawowy"/>
        <w:numPr>
          <w:ilvl w:val="0"/>
          <w:numId w:val="76"/>
        </w:numPr>
        <w:spacing w:after="0"/>
        <w:ind w:left="1134" w:hanging="708"/>
        <w:jc w:val="both"/>
        <w:rPr>
          <w:sz w:val="20"/>
          <w:szCs w:val="20"/>
        </w:rPr>
      </w:pPr>
      <w:r w:rsidRPr="00A9153A">
        <w:rPr>
          <w:sz w:val="20"/>
          <w:szCs w:val="20"/>
        </w:rPr>
        <w:t>przetwarzanie odpadów promieniotwórczych;</w:t>
      </w:r>
    </w:p>
    <w:p w14:paraId="616FB400" w14:textId="42D55592" w:rsidR="00084F8B" w:rsidRPr="00A9153A" w:rsidRDefault="00084F8B" w:rsidP="00E86D38">
      <w:pPr>
        <w:pStyle w:val="Tekstpodstawowy"/>
        <w:numPr>
          <w:ilvl w:val="0"/>
          <w:numId w:val="76"/>
        </w:numPr>
        <w:spacing w:after="0"/>
        <w:ind w:left="709" w:hanging="283"/>
        <w:jc w:val="both"/>
        <w:rPr>
          <w:sz w:val="20"/>
          <w:szCs w:val="20"/>
        </w:rPr>
      </w:pPr>
      <w:r w:rsidRPr="00A9153A">
        <w:rPr>
          <w:sz w:val="20"/>
          <w:szCs w:val="20"/>
        </w:rPr>
        <w:t xml:space="preserve">eksploatację przechowalników wypalonego paliwa jądrowego pochodzącego z badawczych reaktorów jądrowych i </w:t>
      </w:r>
      <w:r w:rsidR="00E86D38" w:rsidRPr="00A9153A">
        <w:rPr>
          <w:sz w:val="20"/>
          <w:szCs w:val="20"/>
        </w:rPr>
        <w:t>ochronę</w:t>
      </w:r>
      <w:r w:rsidRPr="00A9153A">
        <w:rPr>
          <w:sz w:val="20"/>
          <w:szCs w:val="20"/>
        </w:rPr>
        <w:t xml:space="preserve"> fizyczną obiektów jądrowych;</w:t>
      </w:r>
    </w:p>
    <w:p w14:paraId="155958BE" w14:textId="77777777" w:rsidR="00084F8B" w:rsidRPr="00A9153A" w:rsidRDefault="00084F8B" w:rsidP="00E86D38">
      <w:pPr>
        <w:pStyle w:val="Tekstpodstawowy"/>
        <w:numPr>
          <w:ilvl w:val="0"/>
          <w:numId w:val="76"/>
        </w:numPr>
        <w:spacing w:after="0"/>
        <w:ind w:left="709" w:hanging="283"/>
        <w:jc w:val="both"/>
        <w:rPr>
          <w:sz w:val="20"/>
          <w:szCs w:val="20"/>
        </w:rPr>
      </w:pPr>
      <w:r w:rsidRPr="00A9153A">
        <w:rPr>
          <w:sz w:val="20"/>
          <w:szCs w:val="20"/>
        </w:rPr>
        <w:t>zapewnienie bezpieczeństwa jądrowego i ochrony radiologicznej w zakresie postępowania ze źródłami, odpadami i innymi substancjami promieniotwórczymi oraz wypalonym paliwem jądrowym;</w:t>
      </w:r>
    </w:p>
    <w:p w14:paraId="6F1E1229" w14:textId="467C0FC2" w:rsidR="00E86D38" w:rsidRPr="00A9153A" w:rsidRDefault="00E86D38" w:rsidP="00E86D38">
      <w:pPr>
        <w:pStyle w:val="Tekstpodstawowy"/>
        <w:numPr>
          <w:ilvl w:val="0"/>
          <w:numId w:val="76"/>
        </w:numPr>
        <w:spacing w:after="0"/>
        <w:ind w:left="709" w:hanging="283"/>
        <w:jc w:val="both"/>
        <w:rPr>
          <w:sz w:val="20"/>
          <w:szCs w:val="20"/>
        </w:rPr>
      </w:pPr>
      <w:r w:rsidRPr="00A9153A">
        <w:rPr>
          <w:sz w:val="20"/>
          <w:szCs w:val="20"/>
        </w:rPr>
        <w:t>prowadzenie działalności informacyjnej, edukacyjnej i szkoleniowej dotyczącej postępowania z odpadami promieniotwórczymi i wypalonym paliwem jądrowym;</w:t>
      </w:r>
    </w:p>
    <w:p w14:paraId="1FAE245A" w14:textId="77777777" w:rsidR="00084F8B" w:rsidRPr="00A9153A" w:rsidRDefault="00084F8B" w:rsidP="00E86D38">
      <w:pPr>
        <w:pStyle w:val="Tekstpodstawowy"/>
        <w:numPr>
          <w:ilvl w:val="0"/>
          <w:numId w:val="76"/>
        </w:numPr>
        <w:spacing w:after="0"/>
        <w:ind w:left="709" w:hanging="283"/>
        <w:jc w:val="both"/>
        <w:rPr>
          <w:sz w:val="20"/>
          <w:szCs w:val="20"/>
        </w:rPr>
      </w:pPr>
      <w:r w:rsidRPr="00A9153A">
        <w:rPr>
          <w:sz w:val="20"/>
          <w:szCs w:val="20"/>
        </w:rPr>
        <w:t>obsługę techniczną i remonty zakładowych obiektów, urządzeń i instalacji własnych zakładu niezbędnych do postępowania z odpadami promieniotwórczymi i wypalonym paliwem jądrowym oraz transportu, przechowywania i składowania materiałów jądrowych i źródeł promieniotwórczych (wykonywane siłami własnymi przez ZUOP).</w:t>
      </w:r>
    </w:p>
    <w:p w14:paraId="76B5546D" w14:textId="71970B89" w:rsidR="00084F8B" w:rsidRPr="003F6D50" w:rsidRDefault="00084F8B" w:rsidP="00C76CB6">
      <w:pPr>
        <w:spacing w:before="120" w:after="120"/>
        <w:jc w:val="both"/>
      </w:pPr>
      <w:r w:rsidRPr="003F6D50">
        <w:t>Na realizację inwestycji związanych z wykonywaniem działalności w zakresie postępowania z odpadami promieniotwórczymi i wypalonym paliwem jądrowym, ZUOP może otrzymać z budżetu państwa dotację celową</w:t>
      </w:r>
      <w:r w:rsidR="00C53D83">
        <w:t xml:space="preserve"> </w:t>
      </w:r>
      <w:r w:rsidRPr="003F6D50">
        <w:footnoteReference w:id="61"/>
      </w:r>
      <w:r w:rsidRPr="003F6D50">
        <w:t xml:space="preserve">. </w:t>
      </w:r>
    </w:p>
    <w:p w14:paraId="2574E198" w14:textId="77777777" w:rsidR="00084F8B" w:rsidRDefault="00084F8B" w:rsidP="00C76CB6"/>
    <w:p w14:paraId="0FFF51C6" w14:textId="77777777" w:rsidR="00084F8B" w:rsidRDefault="00084F8B" w:rsidP="00C76CB6"/>
    <w:p w14:paraId="50F0CC54" w14:textId="77777777" w:rsidR="00084F8B" w:rsidRPr="00536F44" w:rsidRDefault="00084F8B" w:rsidP="00536F44">
      <w:pPr>
        <w:spacing w:before="120" w:after="120"/>
        <w:jc w:val="both"/>
        <w:rPr>
          <w:color w:val="000000"/>
        </w:rPr>
      </w:pPr>
      <w:r>
        <w:rPr>
          <w:color w:val="000000"/>
        </w:rPr>
        <w:br w:type="page"/>
      </w:r>
    </w:p>
    <w:p w14:paraId="40DBA395" w14:textId="77777777" w:rsidR="00084F8B" w:rsidRPr="00800F6F" w:rsidRDefault="00084F8B" w:rsidP="00A17F0C">
      <w:pPr>
        <w:pStyle w:val="Nagwek1"/>
        <w:spacing w:before="360" w:after="360"/>
        <w:jc w:val="both"/>
      </w:pPr>
      <w:bookmarkStart w:id="174" w:name="_Toc397697055"/>
      <w:bookmarkStart w:id="175" w:name="_Toc424116751"/>
      <w:r w:rsidRPr="00800F6F">
        <w:lastRenderedPageBreak/>
        <w:t>Rozdział 9. Zobowiązania międzynarodowe w zakresie postępowania z</w:t>
      </w:r>
      <w:r>
        <w:t> </w:t>
      </w:r>
      <w:r w:rsidRPr="00800F6F">
        <w:t>odpadami promieniotwórczymi i wypalonym paliwem jądrowym</w:t>
      </w:r>
      <w:bookmarkEnd w:id="174"/>
      <w:bookmarkEnd w:id="175"/>
      <w:r w:rsidRPr="00800F6F">
        <w:t xml:space="preserve"> </w:t>
      </w:r>
    </w:p>
    <w:p w14:paraId="451F68A4" w14:textId="77777777" w:rsidR="00084F8B" w:rsidRPr="00D1365C" w:rsidRDefault="00084F8B" w:rsidP="008D5796">
      <w:pPr>
        <w:pStyle w:val="Nagwek2"/>
        <w:rPr>
          <w:color w:val="0D0D0D"/>
        </w:rPr>
      </w:pPr>
      <w:bookmarkStart w:id="176" w:name="_Toc397697056"/>
      <w:bookmarkStart w:id="177" w:name="_Toc424116752"/>
      <w:r w:rsidRPr="002A6705">
        <w:rPr>
          <w:color w:val="0D0D0D"/>
        </w:rPr>
        <w:t xml:space="preserve">9.1. Wspólna konwencja </w:t>
      </w:r>
      <w:r w:rsidRPr="002A6705">
        <w:t>bezpieczeństwa w postępowaniu z wypalonym paliwem jądrowym i bezpieczeństwa w postępowaniu z odpadami promieniotwórczymi</w:t>
      </w:r>
      <w:bookmarkEnd w:id="176"/>
      <w:bookmarkEnd w:id="177"/>
    </w:p>
    <w:p w14:paraId="60FE296D" w14:textId="79C46380" w:rsidR="00084F8B" w:rsidRPr="00EF1964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color w:val="000000"/>
        </w:rPr>
      </w:pPr>
      <w:r w:rsidRPr="00EF1964">
        <w:rPr>
          <w:rFonts w:cs="Calibri"/>
          <w:color w:val="000000"/>
        </w:rPr>
        <w:t>Podstawowym aktem prawa międzynarodowego regulującym kwestię postępowania z odpadami promieniotwórczymi i wypalonym paliwem jądrowym jest Wspólna konwencja bezpieczeństwa w</w:t>
      </w:r>
      <w:r>
        <w:rPr>
          <w:rFonts w:cs="Calibri"/>
          <w:color w:val="000000"/>
        </w:rPr>
        <w:t> </w:t>
      </w:r>
      <w:r w:rsidRPr="00EF1964">
        <w:rPr>
          <w:rFonts w:cs="Calibri"/>
          <w:color w:val="000000"/>
        </w:rPr>
        <w:t>postępowaniu z wypalonym paliwem jądrowym i bezpieczeństwa w postępowaniu z odpadami promieniotwórczymi</w:t>
      </w:r>
      <w:r w:rsidR="00383BEC">
        <w:rPr>
          <w:rFonts w:cs="Calibri"/>
          <w:color w:val="000000"/>
        </w:rPr>
        <w:t xml:space="preserve"> (dalej Wspólna konwencja)</w:t>
      </w:r>
      <w:r w:rsidRPr="00EF1964">
        <w:rPr>
          <w:rFonts w:cs="Calibri"/>
          <w:color w:val="000000"/>
        </w:rPr>
        <w:t>, sporządzona w Wiedniu w dniu 5 września 1997 r.</w:t>
      </w:r>
      <w:r w:rsidR="008E4FB4">
        <w:rPr>
          <w:rStyle w:val="Odwoanieprzypisudolnego"/>
          <w:color w:val="000000"/>
        </w:rPr>
        <w:footnoteReference w:id="62"/>
      </w:r>
      <w:r w:rsidRPr="00EF1964">
        <w:rPr>
          <w:rFonts w:cs="Calibri"/>
          <w:color w:val="000000"/>
        </w:rPr>
        <w:t xml:space="preserve">, ratyfikowana przez Polskę </w:t>
      </w:r>
      <w:r w:rsidR="007E3754">
        <w:rPr>
          <w:rFonts w:cs="Calibri"/>
          <w:color w:val="000000"/>
        </w:rPr>
        <w:t xml:space="preserve">w dniu </w:t>
      </w:r>
      <w:r w:rsidRPr="00EF1964">
        <w:rPr>
          <w:rFonts w:cs="Calibri"/>
          <w:color w:val="000000"/>
        </w:rPr>
        <w:t>9</w:t>
      </w:r>
      <w:r>
        <w:rPr>
          <w:rFonts w:cs="Calibri"/>
          <w:color w:val="000000"/>
        </w:rPr>
        <w:t> </w:t>
      </w:r>
      <w:r w:rsidRPr="00EF1964">
        <w:rPr>
          <w:rFonts w:cs="Calibri"/>
          <w:color w:val="000000"/>
        </w:rPr>
        <w:t>marca 2000 r.</w:t>
      </w:r>
      <w:r w:rsidR="008E4FB4">
        <w:rPr>
          <w:rStyle w:val="Odwoanieprzypisudolnego"/>
          <w:color w:val="000000"/>
        </w:rPr>
        <w:footnoteReference w:id="63"/>
      </w:r>
    </w:p>
    <w:p w14:paraId="1188303D" w14:textId="77777777" w:rsidR="00084F8B" w:rsidRPr="00EF1964" w:rsidRDefault="00084F8B" w:rsidP="00EF1964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</w:rPr>
      </w:pPr>
      <w:r w:rsidRPr="00EF1964">
        <w:rPr>
          <w:rFonts w:cs="Calibri"/>
          <w:color w:val="000000"/>
        </w:rPr>
        <w:tab/>
        <w:t>Wspólna konwencja zobowiązuje Strony do podjęcia, na wszystkich etapach postępowania z wypalonym paliwem jądrowym i odpadami promieniotwórczymi, działań mających na celu ochronę jednostek, społeczeństwa i środowiska przed zagrożeniami radiologicznymi</w:t>
      </w:r>
      <w:r w:rsidRPr="00EF1964">
        <w:rPr>
          <w:rStyle w:val="Odwoanieprzypisudolnego"/>
          <w:rFonts w:cs="Calibri"/>
          <w:color w:val="000000"/>
        </w:rPr>
        <w:footnoteReference w:id="64"/>
      </w:r>
      <w:r w:rsidRPr="00EF1964">
        <w:rPr>
          <w:rFonts w:cs="Calibri"/>
          <w:color w:val="000000"/>
        </w:rPr>
        <w:t xml:space="preserve">. </w:t>
      </w:r>
    </w:p>
    <w:p w14:paraId="30AF4E61" w14:textId="77777777" w:rsidR="00084F8B" w:rsidRPr="00EF1964" w:rsidRDefault="00084F8B" w:rsidP="00EF1964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</w:rPr>
      </w:pPr>
      <w:r w:rsidRPr="00EF1964">
        <w:rPr>
          <w:rFonts w:cs="Calibri"/>
          <w:color w:val="000000"/>
        </w:rPr>
        <w:tab/>
        <w:t>W związku z tym, Wspólna konwencja nakłada na Strony szereg szczegółowych obowiązków dotyczących m.in.:</w:t>
      </w:r>
    </w:p>
    <w:p w14:paraId="505EBE3F" w14:textId="77777777" w:rsidR="00084F8B" w:rsidRDefault="00084F8B" w:rsidP="00B70217">
      <w:pPr>
        <w:pStyle w:val="Akapitzlist"/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09" w:hanging="303"/>
        <w:jc w:val="both"/>
        <w:rPr>
          <w:rFonts w:cs="Calibri"/>
          <w:color w:val="000000"/>
        </w:rPr>
      </w:pPr>
      <w:r w:rsidRPr="009A0B10">
        <w:rPr>
          <w:rFonts w:cs="Calibri"/>
          <w:color w:val="000000"/>
        </w:rPr>
        <w:t>przeglądów obiektów służących do post</w:t>
      </w:r>
      <w:r>
        <w:rPr>
          <w:rFonts w:cs="Calibri"/>
          <w:color w:val="000000"/>
        </w:rPr>
        <w:t>ę</w:t>
      </w:r>
      <w:r w:rsidRPr="009A0B10">
        <w:rPr>
          <w:rFonts w:cs="Calibri"/>
          <w:color w:val="000000"/>
        </w:rPr>
        <w:t>powania z odpadami promieniotwórczymi i wypalonym paliwem jądrowym istniejących w chwili jej wejścia w życie</w:t>
      </w:r>
      <w:r w:rsidRPr="0033503C">
        <w:rPr>
          <w:rFonts w:cs="Calibri"/>
          <w:color w:val="000000"/>
        </w:rPr>
        <w:t xml:space="preserve">; </w:t>
      </w:r>
    </w:p>
    <w:p w14:paraId="5DB55D03" w14:textId="47EB7C42" w:rsidR="00084F8B" w:rsidRPr="009A0B10" w:rsidRDefault="00084F8B" w:rsidP="00B70217">
      <w:pPr>
        <w:pStyle w:val="Akapitzlist"/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09" w:hanging="303"/>
        <w:jc w:val="both"/>
        <w:rPr>
          <w:rFonts w:cs="Calibri"/>
          <w:color w:val="000000"/>
        </w:rPr>
      </w:pPr>
      <w:r w:rsidRPr="009A0B10">
        <w:rPr>
          <w:rFonts w:cs="Calibri"/>
          <w:color w:val="000000"/>
        </w:rPr>
        <w:t xml:space="preserve">lokalizacji nowych obiektów </w:t>
      </w:r>
      <w:r w:rsidR="00383BEC" w:rsidRPr="009A0B10">
        <w:rPr>
          <w:rFonts w:cs="Calibri"/>
          <w:color w:val="000000"/>
        </w:rPr>
        <w:t>z</w:t>
      </w:r>
      <w:r w:rsidR="00383BEC">
        <w:rPr>
          <w:rFonts w:cs="Calibri"/>
          <w:color w:val="000000"/>
        </w:rPr>
        <w:t xml:space="preserve"> </w:t>
      </w:r>
      <w:r w:rsidRPr="009A0B10">
        <w:rPr>
          <w:rFonts w:cs="Calibri"/>
          <w:color w:val="000000"/>
        </w:rPr>
        <w:t>uwzględnieniem wszelkich czynników wpływających na bezpieczeństwo obiektu, po dokonaniu oceny jego oddziaływania na społeczeństwo i środowisko;</w:t>
      </w:r>
    </w:p>
    <w:p w14:paraId="11BE2C09" w14:textId="77777777" w:rsidR="00084F8B" w:rsidRPr="00EF1964" w:rsidRDefault="00084F8B" w:rsidP="00B70217">
      <w:pPr>
        <w:pStyle w:val="Akapitzlist"/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09" w:hanging="303"/>
        <w:jc w:val="both"/>
        <w:rPr>
          <w:rFonts w:cs="Calibri"/>
          <w:color w:val="000000"/>
        </w:rPr>
      </w:pPr>
      <w:r w:rsidRPr="00EF1964">
        <w:rPr>
          <w:rFonts w:cs="Calibri"/>
          <w:color w:val="000000"/>
        </w:rPr>
        <w:t>projektowania, budowy, eksploatacji i likwidacji obiektów służących do postępowania z wypalonym paliwem jądrowym i odpadami promieniotwórczymi;</w:t>
      </w:r>
    </w:p>
    <w:p w14:paraId="47AC16FB" w14:textId="77777777" w:rsidR="00084F8B" w:rsidRPr="00EF1964" w:rsidRDefault="00084F8B" w:rsidP="00B70217">
      <w:pPr>
        <w:pStyle w:val="Akapitzlist"/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09" w:hanging="303"/>
        <w:jc w:val="both"/>
        <w:rPr>
          <w:rFonts w:cs="Calibri"/>
          <w:color w:val="000000"/>
        </w:rPr>
      </w:pPr>
      <w:r w:rsidRPr="00EF1964">
        <w:rPr>
          <w:rFonts w:cs="Calibri"/>
          <w:color w:val="000000"/>
        </w:rPr>
        <w:t>przeprowadzania ocen bezpieczeństwa obiektów służących do postępowania z odpadami promieniotwórczymi i wypalonym paliwem jądrowym;</w:t>
      </w:r>
    </w:p>
    <w:p w14:paraId="2FFA807D" w14:textId="77777777" w:rsidR="00084F8B" w:rsidRPr="00EF1964" w:rsidRDefault="00084F8B" w:rsidP="00B70217">
      <w:pPr>
        <w:pStyle w:val="Akapitzlist"/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09" w:hanging="303"/>
        <w:jc w:val="both"/>
        <w:rPr>
          <w:rFonts w:cs="Calibri"/>
          <w:color w:val="000000"/>
        </w:rPr>
      </w:pPr>
      <w:r w:rsidRPr="00EF1964">
        <w:rPr>
          <w:rFonts w:cs="Calibri"/>
          <w:color w:val="000000"/>
        </w:rPr>
        <w:t>zastosowania odpowiednich środków bezpieczeństwa po zamknięciu składowiska odpadów promieniotwórczych;</w:t>
      </w:r>
    </w:p>
    <w:p w14:paraId="38200511" w14:textId="77777777" w:rsidR="00084F8B" w:rsidRPr="00EF1964" w:rsidRDefault="00084F8B" w:rsidP="00B70217">
      <w:pPr>
        <w:pStyle w:val="Akapitzlist"/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09" w:hanging="303"/>
        <w:jc w:val="both"/>
        <w:rPr>
          <w:rFonts w:cs="Calibri"/>
          <w:color w:val="000000"/>
        </w:rPr>
      </w:pPr>
      <w:r w:rsidRPr="00EF1964">
        <w:rPr>
          <w:rFonts w:cs="Calibri"/>
          <w:color w:val="000000"/>
        </w:rPr>
        <w:t>ochrony przed promieniowaniem w czasie eksploatacji składowiska odpadów promieniotwórczych oraz przygotowania na wypadek awarii;</w:t>
      </w:r>
    </w:p>
    <w:p w14:paraId="3F6F25DB" w14:textId="77777777" w:rsidR="00084F8B" w:rsidRPr="00EF1964" w:rsidRDefault="00084F8B" w:rsidP="00B70217">
      <w:pPr>
        <w:pStyle w:val="Akapitzlist"/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09" w:hanging="303"/>
        <w:jc w:val="both"/>
        <w:rPr>
          <w:rFonts w:cs="Calibri"/>
          <w:color w:val="000000"/>
        </w:rPr>
      </w:pPr>
      <w:r w:rsidRPr="00EF1964">
        <w:rPr>
          <w:rFonts w:cs="Calibri"/>
          <w:color w:val="000000"/>
        </w:rPr>
        <w:t>wywozu, przywozu oraz transportu przez terytorium Stron odpadów promieniotwórczych i</w:t>
      </w:r>
      <w:r>
        <w:rPr>
          <w:rFonts w:cs="Calibri"/>
          <w:color w:val="000000"/>
        </w:rPr>
        <w:t> </w:t>
      </w:r>
      <w:r w:rsidRPr="00EF1964">
        <w:rPr>
          <w:rFonts w:cs="Calibri"/>
          <w:color w:val="000000"/>
        </w:rPr>
        <w:t>wypalonego paliwa jądrowego.</w:t>
      </w:r>
    </w:p>
    <w:p w14:paraId="260C23BE" w14:textId="77777777" w:rsidR="00084F8B" w:rsidRPr="00EF1964" w:rsidRDefault="00084F8B" w:rsidP="00EF1964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</w:rPr>
      </w:pPr>
      <w:r w:rsidRPr="00EF1964">
        <w:rPr>
          <w:rFonts w:cs="Calibri"/>
          <w:color w:val="000000"/>
        </w:rPr>
        <w:tab/>
        <w:t>Instrumentem motywującym do wypełniania postanowień Wspólnej konwencji przez Strony jest obowiązek opracowywania i przedkładania na spotkaniach przeglądowych sprawozdań krajowych informujących o sposobie wprowadzenia w życie każdego z obowiązków nałożonych przez Wspólną konwencję</w:t>
      </w:r>
      <w:r w:rsidRPr="00EF1964">
        <w:rPr>
          <w:rStyle w:val="Odwoanieprzypisudolnego"/>
          <w:rFonts w:cs="Calibri"/>
          <w:color w:val="000000"/>
        </w:rPr>
        <w:footnoteReference w:id="65"/>
      </w:r>
      <w:r w:rsidRPr="00EF1964">
        <w:rPr>
          <w:rFonts w:cs="Calibri"/>
          <w:color w:val="000000"/>
        </w:rPr>
        <w:t>.</w:t>
      </w:r>
    </w:p>
    <w:p w14:paraId="3AC3FA0E" w14:textId="77777777" w:rsidR="00084F8B" w:rsidRDefault="00084F8B" w:rsidP="000A6934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</w:rPr>
      </w:pPr>
      <w:r w:rsidRPr="00EF1964">
        <w:rPr>
          <w:rFonts w:cs="Calibri"/>
          <w:color w:val="000000"/>
        </w:rPr>
        <w:tab/>
      </w:r>
      <w:r>
        <w:rPr>
          <w:rFonts w:cs="Calibri"/>
          <w:color w:val="000000"/>
        </w:rPr>
        <w:t>P</w:t>
      </w:r>
      <w:r w:rsidR="00662645">
        <w:rPr>
          <w:rFonts w:cs="Calibri"/>
          <w:color w:val="000000"/>
        </w:rPr>
        <w:t xml:space="preserve">rzepisy ustawy – Prawo atomowe są zgodne z </w:t>
      </w:r>
      <w:r w:rsidR="00467D5B">
        <w:rPr>
          <w:rFonts w:cs="Calibri"/>
          <w:color w:val="000000"/>
        </w:rPr>
        <w:t xml:space="preserve">postanowieniami </w:t>
      </w:r>
      <w:r w:rsidR="00467D5B" w:rsidRPr="00EF1964">
        <w:rPr>
          <w:rFonts w:cs="Calibri"/>
          <w:color w:val="000000"/>
        </w:rPr>
        <w:t>Wspólnej</w:t>
      </w:r>
      <w:r w:rsidRPr="00EF1964">
        <w:rPr>
          <w:rFonts w:cs="Calibri"/>
          <w:color w:val="000000"/>
        </w:rPr>
        <w:t xml:space="preserve"> konwencj</w:t>
      </w:r>
      <w:r>
        <w:rPr>
          <w:rFonts w:cs="Calibri"/>
          <w:color w:val="000000"/>
        </w:rPr>
        <w:t>i</w:t>
      </w:r>
      <w:r w:rsidR="00662645">
        <w:rPr>
          <w:rFonts w:cs="Calibri"/>
          <w:color w:val="000000"/>
        </w:rPr>
        <w:t>.</w:t>
      </w:r>
    </w:p>
    <w:p w14:paraId="0B5CB040" w14:textId="77777777" w:rsidR="00084F8B" w:rsidRPr="003309A0" w:rsidRDefault="00084F8B" w:rsidP="008D5796">
      <w:pPr>
        <w:pStyle w:val="Nagwek2"/>
        <w:rPr>
          <w:color w:val="000000"/>
        </w:rPr>
      </w:pPr>
      <w:bookmarkStart w:id="178" w:name="_Toc397697057"/>
      <w:bookmarkStart w:id="179" w:name="_Toc424116753"/>
      <w:r>
        <w:t>9.2 Traktat ustanawiający Europejską Wspólnotę Energii Atomowej</w:t>
      </w:r>
      <w:bookmarkEnd w:id="178"/>
      <w:bookmarkEnd w:id="179"/>
    </w:p>
    <w:p w14:paraId="7DE22D76" w14:textId="77777777" w:rsidR="00084F8B" w:rsidRPr="00A5271E" w:rsidRDefault="00084F8B" w:rsidP="008D5796">
      <w:pPr>
        <w:pStyle w:val="Nagwek3"/>
      </w:pPr>
      <w:bookmarkStart w:id="180" w:name="_Toc397697058"/>
      <w:bookmarkStart w:id="181" w:name="_Toc424116754"/>
      <w:r w:rsidRPr="00ED1E11">
        <w:lastRenderedPageBreak/>
        <w:t>9</w:t>
      </w:r>
      <w:r w:rsidRPr="00A5271E">
        <w:t>.2.1. Art. 37 Traktatu ustanawiającego Europejską Wspólnotę Energii Atomowej</w:t>
      </w:r>
      <w:r>
        <w:rPr>
          <w:rStyle w:val="Odwoanieprzypisudolnego"/>
        </w:rPr>
        <w:footnoteReference w:id="66"/>
      </w:r>
      <w:r w:rsidRPr="00A5271E">
        <w:t xml:space="preserve"> (Traktat Euratom)</w:t>
      </w:r>
      <w:bookmarkEnd w:id="180"/>
      <w:bookmarkEnd w:id="181"/>
    </w:p>
    <w:p w14:paraId="68F6FA21" w14:textId="77777777" w:rsidR="00084F8B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>
        <w:t xml:space="preserve">W Traktacie Euratom kwestii odpadów promieniotwórczych dotyczy art. 37, który nakłada na każde państwo członkowskie obowiązek </w:t>
      </w:r>
      <w:r w:rsidRPr="001B7E3E">
        <w:t>udostę</w:t>
      </w:r>
      <w:r>
        <w:t>pnienia</w:t>
      </w:r>
      <w:r w:rsidRPr="001B7E3E">
        <w:t xml:space="preserve"> Komisji</w:t>
      </w:r>
      <w:r>
        <w:t xml:space="preserve"> Europejskiej ogólnych danych</w:t>
      </w:r>
      <w:r w:rsidRPr="001B7E3E">
        <w:t xml:space="preserve"> dotyczą</w:t>
      </w:r>
      <w:r>
        <w:t>cych</w:t>
      </w:r>
      <w:r w:rsidRPr="001B7E3E">
        <w:t xml:space="preserve"> każdego planu składowania odpadów promieniotwórczych</w:t>
      </w:r>
      <w:r>
        <w:t>. Forma udostępnienia przedmiotowych danych jest dowolna, jednak konieczne jest, aby na ich podstawie możliwe było ustalenie, czy realizacja planu może spowodować promieniotwórcze skażenie wód, gleby lub powietrza w innym państwie członkowskim.</w:t>
      </w:r>
      <w:r w:rsidRPr="001B7E3E">
        <w:t xml:space="preserve"> </w:t>
      </w:r>
    </w:p>
    <w:p w14:paraId="65E6C457" w14:textId="77777777" w:rsidR="00084F8B" w:rsidRDefault="00084F8B" w:rsidP="00EF1964">
      <w:pPr>
        <w:widowControl w:val="0"/>
        <w:autoSpaceDE w:val="0"/>
        <w:autoSpaceDN w:val="0"/>
        <w:adjustRightInd w:val="0"/>
        <w:spacing w:before="120" w:after="120"/>
        <w:jc w:val="both"/>
      </w:pPr>
      <w:r>
        <w:t>Decydującą opinię w tym zakresie wydaje Komisja Europejska, po konsultacji z grupą ekspertów wyznaczoną przez Komitet Naukowo – Techniczny.</w:t>
      </w:r>
    </w:p>
    <w:p w14:paraId="61071D36" w14:textId="77777777" w:rsidR="00084F8B" w:rsidRDefault="00084F8B" w:rsidP="00EF1964">
      <w:pPr>
        <w:widowControl w:val="0"/>
        <w:autoSpaceDE w:val="0"/>
        <w:autoSpaceDN w:val="0"/>
        <w:adjustRightInd w:val="0"/>
        <w:spacing w:before="120" w:after="120"/>
        <w:jc w:val="both"/>
      </w:pPr>
      <w:r>
        <w:t>Celem niniejszego przepisu jest zatem wyeliminowanie jakiejkolwiek możliwości skażenia promieniotwórczego innego państwa członkowskiego.</w:t>
      </w:r>
    </w:p>
    <w:p w14:paraId="68F89820" w14:textId="77777777" w:rsidR="00084F8B" w:rsidRDefault="00084F8B" w:rsidP="00EF1964">
      <w:pPr>
        <w:widowControl w:val="0"/>
        <w:autoSpaceDE w:val="0"/>
        <w:autoSpaceDN w:val="0"/>
        <w:adjustRightInd w:val="0"/>
        <w:spacing w:before="120" w:after="120"/>
        <w:jc w:val="both"/>
      </w:pPr>
      <w:r>
        <w:t>Uszczegółowienie art. 37 stanowi zalecenie Komisji z dnia 11 października 2010 r. w sprawie stosowania art. 37 Traktatu Euratom (2010/635/Euratom)</w:t>
      </w:r>
      <w:r>
        <w:rPr>
          <w:rStyle w:val="Odwoanieprzypisudolnego"/>
        </w:rPr>
        <w:footnoteReference w:id="67"/>
      </w:r>
      <w:r>
        <w:t>. W zaleceniu obszernie wyjaśniono użyte w art. 37 Traktatu Euratom wyrażenia: „składowanie odpadów promieniotwórczych” oraz „ogólne dane”, jak również określono sposób i termin udostępniania ogólnych danych. Ponadto, wskazano, że państwo członkowskie powinno poinformować Komisję Europejską o działaniach podjętych w celu realizacji zaleceń zawartych w wydanej przez ten organ opinii.</w:t>
      </w:r>
    </w:p>
    <w:p w14:paraId="23F0F8F7" w14:textId="77777777" w:rsidR="00084F8B" w:rsidRPr="00A5271E" w:rsidRDefault="00084F8B" w:rsidP="008D5796">
      <w:pPr>
        <w:pStyle w:val="Nagwek3"/>
      </w:pPr>
      <w:bookmarkStart w:id="182" w:name="_Toc397697059"/>
      <w:bookmarkStart w:id="183" w:name="_Toc424116755"/>
      <w:r w:rsidRPr="00A5271E">
        <w:t>9.2.2. Dyrektywa Rady 2006/117/Euratom z dnia 20 listopada 2006 r. w sprawie nadzoru i kontroli nad przemieszczaniem odpadów promieniotwórczych oraz wypalonego paliwa jądrowego</w:t>
      </w:r>
      <w:r>
        <w:rPr>
          <w:rStyle w:val="Odwoanieprzypisudolnego"/>
        </w:rPr>
        <w:footnoteReference w:id="68"/>
      </w:r>
      <w:bookmarkEnd w:id="182"/>
      <w:bookmarkEnd w:id="183"/>
      <w:r w:rsidRPr="00A5271E">
        <w:t> </w:t>
      </w:r>
    </w:p>
    <w:p w14:paraId="6E8BE070" w14:textId="77777777" w:rsidR="00084F8B" w:rsidRDefault="00084F8B" w:rsidP="00E2740F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 w:rsidRPr="00F20386">
        <w:t>Przedmiotowa dyrektywa ustanawia system nadzoru i kontroli nad transgranicznym przemieszczaniem odpadów promieniotwórczych</w:t>
      </w:r>
      <w:r>
        <w:t xml:space="preserve"> i wypalonego paliwa jądrowego oraz </w:t>
      </w:r>
      <w:r w:rsidRPr="00F20386">
        <w:t xml:space="preserve">zasady przemieszczania </w:t>
      </w:r>
      <w:r>
        <w:t>tych materiałów</w:t>
      </w:r>
      <w:r w:rsidRPr="00F20386">
        <w:t xml:space="preserve"> pomiędzy państwami członkowskimi Unii Europejskiej, a także pomiędzy nimi oraz państwami nie</w:t>
      </w:r>
      <w:r>
        <w:t>będącymi</w:t>
      </w:r>
      <w:r w:rsidRPr="00F20386">
        <w:t xml:space="preserve"> członkami Unii Europejskiej.</w:t>
      </w:r>
    </w:p>
    <w:p w14:paraId="072E182F" w14:textId="77777777" w:rsidR="00084F8B" w:rsidRDefault="00084F8B" w:rsidP="00EF1964">
      <w:pPr>
        <w:widowControl w:val="0"/>
        <w:autoSpaceDE w:val="0"/>
        <w:autoSpaceDN w:val="0"/>
        <w:adjustRightInd w:val="0"/>
        <w:spacing w:before="120" w:after="120"/>
        <w:jc w:val="both"/>
      </w:pPr>
      <w:r>
        <w:t xml:space="preserve">Zgodnie z niniejszą dyrektywą, </w:t>
      </w:r>
      <w:r w:rsidRPr="00F20386">
        <w:t xml:space="preserve">transgraniczne przemieszczenie odpadów promieniotwórczych i wypalonego paliwa jądrowego oparte jest na systemie </w:t>
      </w:r>
      <w:r>
        <w:t xml:space="preserve">zgód i </w:t>
      </w:r>
      <w:r w:rsidRPr="00F20386">
        <w:t xml:space="preserve">zezwoleń wydawanych przez właściwe organy </w:t>
      </w:r>
      <w:r>
        <w:t>państw c</w:t>
      </w:r>
      <w:r w:rsidRPr="00F20386">
        <w:t xml:space="preserve">złonkowskich Unii Europejskiej </w:t>
      </w:r>
      <w:r>
        <w:t>oraz,</w:t>
      </w:r>
      <w:r w:rsidRPr="00F20386">
        <w:t xml:space="preserve"> w </w:t>
      </w:r>
      <w:r>
        <w:t>określonych przypadkach,</w:t>
      </w:r>
      <w:r w:rsidRPr="00F20386">
        <w:t xml:space="preserve"> </w:t>
      </w:r>
      <w:r>
        <w:t>przez organy</w:t>
      </w:r>
      <w:r w:rsidRPr="00F20386">
        <w:t xml:space="preserve"> państw niebędących członkami Unii Europejskiej.</w:t>
      </w:r>
    </w:p>
    <w:p w14:paraId="0E628158" w14:textId="77777777" w:rsidR="00084F8B" w:rsidRDefault="00084F8B" w:rsidP="00EF1964">
      <w:pPr>
        <w:widowControl w:val="0"/>
        <w:autoSpaceDE w:val="0"/>
        <w:autoSpaceDN w:val="0"/>
        <w:adjustRightInd w:val="0"/>
        <w:spacing w:before="120" w:after="120"/>
        <w:jc w:val="both"/>
      </w:pPr>
      <w:r>
        <w:t>Dyrektywa Rady 2006/117/Euratom została implementowana do krajowego systemu prawnego przepisami ustawy z dnia 11 kwietnia 2008 r. o zmianie ustawy – Prawo atomowe</w:t>
      </w:r>
      <w:r>
        <w:rPr>
          <w:rStyle w:val="Odwoanieprzypisudolnego"/>
        </w:rPr>
        <w:footnoteReference w:id="69"/>
      </w:r>
      <w:r>
        <w:t xml:space="preserve"> wraz z aktem wykonawczym</w:t>
      </w:r>
      <w:r>
        <w:rPr>
          <w:rStyle w:val="Odwoanieprzypisudolnego"/>
        </w:rPr>
        <w:footnoteReference w:id="70"/>
      </w:r>
      <w:r>
        <w:t>.</w:t>
      </w:r>
    </w:p>
    <w:p w14:paraId="7408BE45" w14:textId="77777777" w:rsidR="00084F8B" w:rsidRDefault="00084F8B" w:rsidP="008D5796">
      <w:pPr>
        <w:pStyle w:val="Nagwek3"/>
      </w:pPr>
      <w:bookmarkStart w:id="184" w:name="_Toc397697060"/>
      <w:bookmarkStart w:id="185" w:name="_Toc424116756"/>
      <w:r w:rsidRPr="00FB79BC">
        <w:t>9.2.</w:t>
      </w:r>
      <w:r>
        <w:t>3</w:t>
      </w:r>
      <w:r w:rsidRPr="00FB79BC">
        <w:t>. Dyrektywa Rady 2011/70/Euratom z dnia 19 lipca 2011 r. ustanawiająca ramy wspólnotowe w zakresie odpowiedzialnego i bezpiecznego gospodarowania wypalonym paliwem jądrowym i odpadami promieniotwórczymi</w:t>
      </w:r>
      <w:bookmarkEnd w:id="184"/>
      <w:bookmarkEnd w:id="185"/>
      <w:r w:rsidRPr="00FB79BC">
        <w:t> </w:t>
      </w:r>
    </w:p>
    <w:p w14:paraId="0E784AD7" w14:textId="003E46A7" w:rsidR="00084F8B" w:rsidRDefault="00084F8B" w:rsidP="00FB05C0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 w:rsidRPr="00FA1910">
        <w:lastRenderedPageBreak/>
        <w:t xml:space="preserve">Przedmiotowa dyrektywa nakłada na państwa członkowskie obowiązek wprowadzenia krajowych ram ustawodawczych, regulacyjnych i organizacyjnych zapewniających wysoki poziom bezpieczeństwa </w:t>
      </w:r>
      <w:r>
        <w:t>postępowania z</w:t>
      </w:r>
      <w:r w:rsidRPr="00FA1910">
        <w:t xml:space="preserve"> wypalonym paliwem jądrowym i odpadami promieniotwórczymi. Ponadto, </w:t>
      </w:r>
      <w:r w:rsidRPr="00991071">
        <w:t>gwarantuj</w:t>
      </w:r>
      <w:r>
        <w:t>e</w:t>
      </w:r>
      <w:r w:rsidRPr="00991071">
        <w:t xml:space="preserve"> dostęp społeczeństwa do informacji oraz jego uczestnictwo w zagadnieniach związanych z </w:t>
      </w:r>
      <w:r>
        <w:t>postępowaniem z</w:t>
      </w:r>
      <w:r w:rsidRPr="00991071">
        <w:t xml:space="preserve"> </w:t>
      </w:r>
      <w:r>
        <w:t xml:space="preserve">tymi </w:t>
      </w:r>
      <w:r w:rsidR="00FA068C">
        <w:t>materiałami</w:t>
      </w:r>
      <w:r>
        <w:t xml:space="preserve">. </w:t>
      </w:r>
      <w:r w:rsidRPr="00FA1910">
        <w:t>Dyrektywa</w:t>
      </w:r>
      <w:r w:rsidR="00D7122D">
        <w:t xml:space="preserve"> Rady</w:t>
      </w:r>
      <w:r w:rsidRPr="00FA1910">
        <w:t xml:space="preserve"> 2011/70/Euratom wprowadza również obowiązek opracowania i wdro</w:t>
      </w:r>
      <w:r>
        <w:t>ż</w:t>
      </w:r>
      <w:r w:rsidRPr="00FA1910">
        <w:t xml:space="preserve">enia przez każde </w:t>
      </w:r>
      <w:r>
        <w:t>p</w:t>
      </w:r>
      <w:r w:rsidRPr="00FA1910">
        <w:t xml:space="preserve">aństwo </w:t>
      </w:r>
      <w:r>
        <w:t>c</w:t>
      </w:r>
      <w:r w:rsidRPr="00FA1910">
        <w:t xml:space="preserve">złonkowskie </w:t>
      </w:r>
      <w:r w:rsidRPr="00E258C7">
        <w:t xml:space="preserve">Krajowego planu </w:t>
      </w:r>
      <w:r>
        <w:t>postępowania z</w:t>
      </w:r>
      <w:r w:rsidRPr="00E258C7">
        <w:t xml:space="preserve"> wypalonym paliwem jądrowym i odpadami promieniotwórczymi</w:t>
      </w:r>
      <w:r w:rsidRPr="00EF1964">
        <w:t>,</w:t>
      </w:r>
      <w:r w:rsidRPr="00FA1910">
        <w:t xml:space="preserve"> który ma być narzędziem do realizacji przez państwo obowiązków wynikających z faktu, że ponosi ono ostateczn</w:t>
      </w:r>
      <w:r>
        <w:t>ą</w:t>
      </w:r>
      <w:r w:rsidRPr="00FA1910">
        <w:t xml:space="preserve"> odpowiedzialność za wyprodukowane na jego terytorium odpady promieniotwórcze i</w:t>
      </w:r>
      <w:r>
        <w:t> </w:t>
      </w:r>
      <w:r w:rsidRPr="00FA1910">
        <w:t>wypalone paliwo jądrowe.</w:t>
      </w:r>
    </w:p>
    <w:p w14:paraId="37DBD1A1" w14:textId="77777777" w:rsidR="00084F8B" w:rsidRDefault="00084F8B" w:rsidP="00EF1964">
      <w:pPr>
        <w:widowControl w:val="0"/>
        <w:autoSpaceDE w:val="0"/>
        <w:autoSpaceDN w:val="0"/>
        <w:adjustRightInd w:val="0"/>
        <w:spacing w:before="120" w:after="120"/>
        <w:jc w:val="both"/>
      </w:pPr>
      <w:r>
        <w:t xml:space="preserve">Niniejsza dyrektywa została implementowana do polskiego systemu prawa przez przepisy ustawy </w:t>
      </w:r>
      <w:r w:rsidRPr="00FA1910">
        <w:t>z 4 kwietnia 2014 r. o zmianie ustawy – Prawo atomowe oraz niektórych innych ustaw</w:t>
      </w:r>
      <w:r>
        <w:t xml:space="preserve"> (zob. przypis nr 2).</w:t>
      </w:r>
    </w:p>
    <w:p w14:paraId="0705D7D2" w14:textId="77777777" w:rsidR="00084F8B" w:rsidRDefault="00084F8B" w:rsidP="008D5796">
      <w:pPr>
        <w:pStyle w:val="Nagwek3"/>
      </w:pPr>
      <w:bookmarkStart w:id="186" w:name="_Toc397697061"/>
      <w:bookmarkStart w:id="187" w:name="_Toc424116757"/>
      <w:r w:rsidRPr="00FA1910">
        <w:t>9.2.</w:t>
      </w:r>
      <w:r>
        <w:t>4</w:t>
      </w:r>
      <w:r w:rsidRPr="00FA1910">
        <w:t>. Zalecenie Komisji 2006/851/Euratom dotyczące zarządzania funduszami likwidacyjnymi, przeznaczonymi na likwidację instalacji jądrowych, zużytego paliwa jądrowego i odpadów promieniotwórczych</w:t>
      </w:r>
      <w:r w:rsidRPr="00FA1910">
        <w:rPr>
          <w:rStyle w:val="Odwoanieprzypisudolnego"/>
        </w:rPr>
        <w:footnoteReference w:id="71"/>
      </w:r>
      <w:bookmarkEnd w:id="186"/>
      <w:bookmarkEnd w:id="187"/>
    </w:p>
    <w:p w14:paraId="06354DF6" w14:textId="77777777" w:rsidR="00084F8B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bCs/>
        </w:rPr>
      </w:pPr>
      <w:r w:rsidRPr="0084248E">
        <w:rPr>
          <w:bCs/>
        </w:rPr>
        <w:t>Przedmiotowe zalecenie proponuje środki, które gwarantują dostępność w odpowiednim czasie zasobów finansowych</w:t>
      </w:r>
      <w:r>
        <w:rPr>
          <w:bCs/>
        </w:rPr>
        <w:t xml:space="preserve"> niezbędnych</w:t>
      </w:r>
      <w:r w:rsidRPr="0084248E">
        <w:rPr>
          <w:bCs/>
        </w:rPr>
        <w:t xml:space="preserve"> </w:t>
      </w:r>
      <w:r>
        <w:rPr>
          <w:bCs/>
        </w:rPr>
        <w:t>do</w:t>
      </w:r>
      <w:r w:rsidRPr="0084248E">
        <w:rPr>
          <w:bCs/>
        </w:rPr>
        <w:t xml:space="preserve"> likwidacj</w:t>
      </w:r>
      <w:r>
        <w:rPr>
          <w:bCs/>
        </w:rPr>
        <w:t>i</w:t>
      </w:r>
      <w:r w:rsidRPr="0084248E">
        <w:rPr>
          <w:bCs/>
        </w:rPr>
        <w:t xml:space="preserve"> instalacji jądrowych i zarządzani</w:t>
      </w:r>
      <w:r>
        <w:rPr>
          <w:bCs/>
        </w:rPr>
        <w:t>a</w:t>
      </w:r>
      <w:r w:rsidRPr="0084248E">
        <w:rPr>
          <w:bCs/>
        </w:rPr>
        <w:t xml:space="preserve"> wypalonym paliwem i odpadami promieniotwórczymi</w:t>
      </w:r>
      <w:r w:rsidRPr="0084248E">
        <w:rPr>
          <w:rStyle w:val="Odwoanieprzypisudolnego"/>
          <w:bCs/>
        </w:rPr>
        <w:footnoteReference w:id="72"/>
      </w:r>
      <w:r w:rsidRPr="0084248E">
        <w:rPr>
          <w:bCs/>
        </w:rPr>
        <w:t>.</w:t>
      </w:r>
    </w:p>
    <w:p w14:paraId="45FC9276" w14:textId="77777777" w:rsidR="00084F8B" w:rsidRDefault="00084F8B" w:rsidP="00EF1964">
      <w:pPr>
        <w:widowControl w:val="0"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Zgodnie z zaleceniem, i</w:t>
      </w:r>
      <w:r w:rsidRPr="0084248E">
        <w:rPr>
          <w:bCs/>
        </w:rPr>
        <w:t>nstalacje jądrowe powinny gromadzić</w:t>
      </w:r>
      <w:r>
        <w:rPr>
          <w:bCs/>
        </w:rPr>
        <w:t xml:space="preserve"> </w:t>
      </w:r>
      <w:r w:rsidRPr="0084248E">
        <w:rPr>
          <w:bCs/>
        </w:rPr>
        <w:t>adekwatne fundusze</w:t>
      </w:r>
      <w:r>
        <w:rPr>
          <w:bCs/>
        </w:rPr>
        <w:t xml:space="preserve"> </w:t>
      </w:r>
      <w:r w:rsidRPr="0084248E">
        <w:rPr>
          <w:bCs/>
        </w:rPr>
        <w:t>likwidacyjne z dochodów uzyskanych z działalności</w:t>
      </w:r>
      <w:r>
        <w:rPr>
          <w:bCs/>
        </w:rPr>
        <w:t xml:space="preserve"> </w:t>
      </w:r>
      <w:r w:rsidRPr="0084248E">
        <w:rPr>
          <w:bCs/>
        </w:rPr>
        <w:t>w okresie eksploatacji</w:t>
      </w:r>
      <w:r>
        <w:rPr>
          <w:bCs/>
        </w:rPr>
        <w:t>. Ponadto, zalecenie zawiera wytyczne w zakresie szacowania kosztów likwidacji oraz zasad wykorzystania funduszy likwidacyjnych, oraz stanowi, że ze względu na różnice w wykorzystaniu funduszy likwidacyjnych, likwidacja techniczna oraz zarządzanie odpadami powinny być traktowane oddzielnie, na podstawie odrębnych kalkulacji kosztów.</w:t>
      </w:r>
    </w:p>
    <w:p w14:paraId="058B8646" w14:textId="77777777" w:rsidR="00084F8B" w:rsidRDefault="00084F8B" w:rsidP="008D5796">
      <w:pPr>
        <w:pStyle w:val="Nagwek2"/>
      </w:pPr>
      <w:bookmarkStart w:id="188" w:name="_Toc397697062"/>
      <w:bookmarkStart w:id="189" w:name="_Toc424116758"/>
      <w:r>
        <w:t>9.3. Inicjatywa</w:t>
      </w:r>
      <w:r w:rsidRPr="00784F93">
        <w:t xml:space="preserve"> ograniczania globalnych zagrożeń </w:t>
      </w:r>
      <w:r>
        <w:t>proliferacyjnych (GTRI)</w:t>
      </w:r>
      <w:bookmarkEnd w:id="188"/>
      <w:bookmarkEnd w:id="189"/>
    </w:p>
    <w:p w14:paraId="54AAD0E5" w14:textId="795E57EC" w:rsidR="00084F8B" w:rsidRPr="00B3727D" w:rsidRDefault="00084F8B" w:rsidP="00C87B85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 w:rsidRPr="00B3727D">
        <w:rPr>
          <w:color w:val="000000"/>
        </w:rPr>
        <w:t>W 2006 r</w:t>
      </w:r>
      <w:r>
        <w:rPr>
          <w:color w:val="000000"/>
        </w:rPr>
        <w:t>.</w:t>
      </w:r>
      <w:r w:rsidRPr="00B3727D">
        <w:rPr>
          <w:color w:val="000000"/>
        </w:rPr>
        <w:t xml:space="preserve"> Polska przystąpiła do inicjatywy </w:t>
      </w:r>
      <w:r w:rsidRPr="00B3727D">
        <w:t>GTRI, której główną ideą jest wyeliminowanie wysokowzbogaconego uranu z użycia dla celów pokojowych i stopniowe zastąpienie go uranem niskowzbogaconym. W ramach tego programu, krajom wykorzystującym w reaktorach badawczych wysokowzbogacone paliwo jądrowe pochodzące ze Stanów Zjednoczonych Ameryki lub b</w:t>
      </w:r>
      <w:r>
        <w:t>yłego</w:t>
      </w:r>
      <w:r w:rsidRPr="00B3727D">
        <w:t xml:space="preserve"> Związku Socjalistycznych Republik Radzieckich (ZSRR) i Federacji Rosyjskiej zaoferowano pomoc finansową w jego wywozie do Stanów Zjednoczonych Ameryki lub Federacji Rosyjskiej</w:t>
      </w:r>
      <w:r>
        <w:t>.</w:t>
      </w:r>
      <w:r w:rsidRPr="00B3727D">
        <w:t xml:space="preserve"> </w:t>
      </w:r>
      <w:r w:rsidRPr="00B3727D">
        <w:rPr>
          <w:color w:val="000000"/>
        </w:rPr>
        <w:t xml:space="preserve">Do </w:t>
      </w:r>
      <w:r w:rsidR="00FA7B68">
        <w:rPr>
          <w:color w:val="000000"/>
        </w:rPr>
        <w:t xml:space="preserve">końca </w:t>
      </w:r>
      <w:r w:rsidR="00383BEC">
        <w:rPr>
          <w:color w:val="000000"/>
        </w:rPr>
        <w:t>2016</w:t>
      </w:r>
      <w:r w:rsidR="00383BEC" w:rsidRPr="00B3727D">
        <w:rPr>
          <w:color w:val="000000"/>
        </w:rPr>
        <w:t xml:space="preserve"> </w:t>
      </w:r>
      <w:r w:rsidRPr="00B3727D">
        <w:rPr>
          <w:color w:val="000000"/>
        </w:rPr>
        <w:t>r</w:t>
      </w:r>
      <w:r>
        <w:rPr>
          <w:color w:val="000000"/>
        </w:rPr>
        <w:t>.</w:t>
      </w:r>
      <w:r w:rsidRPr="00B3727D">
        <w:rPr>
          <w:color w:val="000000"/>
        </w:rPr>
        <w:t xml:space="preserve"> zrealizowanych zostało </w:t>
      </w:r>
      <w:r w:rsidR="00383BEC">
        <w:rPr>
          <w:color w:val="000000"/>
        </w:rPr>
        <w:t>osiem</w:t>
      </w:r>
      <w:r w:rsidR="00383BEC" w:rsidRPr="00B3727D">
        <w:rPr>
          <w:color w:val="000000"/>
        </w:rPr>
        <w:t xml:space="preserve"> </w:t>
      </w:r>
      <w:r w:rsidRPr="00B3727D">
        <w:rPr>
          <w:color w:val="000000"/>
        </w:rPr>
        <w:t>wywozów do Federacji Rosyjskiej wypalonego paliwa jądrowego</w:t>
      </w:r>
      <w:r>
        <w:rPr>
          <w:color w:val="000000"/>
        </w:rPr>
        <w:t>,</w:t>
      </w:r>
      <w:r w:rsidRPr="001A173A">
        <w:t xml:space="preserve"> </w:t>
      </w:r>
      <w:r>
        <w:t>wykorzystywanego</w:t>
      </w:r>
      <w:r w:rsidRPr="003309A0">
        <w:t xml:space="preserve"> w reaktorach </w:t>
      </w:r>
      <w:r>
        <w:t>badawczych</w:t>
      </w:r>
      <w:r w:rsidRPr="003309A0">
        <w:t xml:space="preserve"> E</w:t>
      </w:r>
      <w:r>
        <w:t>WA i MARIA,</w:t>
      </w:r>
      <w:r w:rsidRPr="00B3727D">
        <w:rPr>
          <w:color w:val="000000"/>
        </w:rPr>
        <w:t xml:space="preserve"> zarówno wysokowzbogaconego, jak i niskowzbogaconego. Dzięki tym wywozom przechowalniki wypalonego paliwa jądrowego ZUOP w Otwock</w:t>
      </w:r>
      <w:r>
        <w:rPr>
          <w:color w:val="000000"/>
        </w:rPr>
        <w:t>u-Świerku</w:t>
      </w:r>
      <w:r w:rsidRPr="00B3727D">
        <w:rPr>
          <w:color w:val="000000"/>
        </w:rPr>
        <w:t xml:space="preserve"> zostały całkowicie opróżnione. </w:t>
      </w:r>
    </w:p>
    <w:p w14:paraId="381CB423" w14:textId="77777777" w:rsidR="00084F8B" w:rsidRPr="003309A0" w:rsidRDefault="00084F8B" w:rsidP="00C57194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B3727D">
        <w:rPr>
          <w:color w:val="000000"/>
        </w:rPr>
        <w:t xml:space="preserve">Podstawą prawną realizacji celów inicjatywy GTRI przez Polskę są umowy ze Stanami Zjednoczonymi Ameryki oraz Federacją Rosyjską. </w:t>
      </w:r>
    </w:p>
    <w:p w14:paraId="40377F7A" w14:textId="77777777" w:rsidR="00084F8B" w:rsidRPr="00407663" w:rsidRDefault="00084F8B" w:rsidP="008D5796">
      <w:pPr>
        <w:pStyle w:val="Nagwek3"/>
      </w:pPr>
      <w:bookmarkStart w:id="190" w:name="_Toc397697063"/>
      <w:bookmarkStart w:id="191" w:name="_Toc424116759"/>
      <w:r>
        <w:t xml:space="preserve">9.3.1 </w:t>
      </w:r>
      <w:r w:rsidRPr="00407663">
        <w:t xml:space="preserve">Umowy ze Stanami Zjednoczonymi </w:t>
      </w:r>
      <w:r>
        <w:t>Ameryki</w:t>
      </w:r>
      <w:bookmarkEnd w:id="190"/>
      <w:bookmarkEnd w:id="191"/>
    </w:p>
    <w:p w14:paraId="2C224037" w14:textId="77777777" w:rsidR="00084F8B" w:rsidRPr="000743AD" w:rsidRDefault="00084F8B" w:rsidP="00EF1964">
      <w:pPr>
        <w:numPr>
          <w:ilvl w:val="1"/>
          <w:numId w:val="67"/>
        </w:numPr>
        <w:ind w:left="378"/>
        <w:jc w:val="both"/>
      </w:pPr>
      <w:r w:rsidRPr="003309A0">
        <w:lastRenderedPageBreak/>
        <w:t>Umowa z dnia 8 września 2009 r</w:t>
      </w:r>
      <w:r>
        <w:t>.</w:t>
      </w:r>
      <w:r w:rsidRPr="003309A0">
        <w:t xml:space="preserve"> między Rządem Rzeczypospolitej Polskiej a Rządem Stanów Zjednoczonych Ameryki dotycząca współpracy przy przekazywaniu na terytorium Federacji Rosyjskiej paliwa jądrowego, które zostało dostarczone przez Związek Socjalistycznych Republik Radzieckich lub Federację Rosyjską i jest przechowywane na terytorium Rzeczypospolitej Polskiej (porozumienie ramowe)</w:t>
      </w:r>
      <w:r>
        <w:rPr>
          <w:rStyle w:val="Odwoanieprzypisudolnego"/>
        </w:rPr>
        <w:footnoteReference w:id="73"/>
      </w:r>
      <w:r w:rsidRPr="003309A0">
        <w:t>. Umowa weszła w życie z dniem 8 września 2009 r.</w:t>
      </w:r>
      <w:r w:rsidR="00737303">
        <w:t>;</w:t>
      </w:r>
    </w:p>
    <w:p w14:paraId="3906501A" w14:textId="77777777" w:rsidR="00084F8B" w:rsidRPr="003309A0" w:rsidRDefault="00084F8B" w:rsidP="00EF1964">
      <w:pPr>
        <w:numPr>
          <w:ilvl w:val="1"/>
          <w:numId w:val="67"/>
        </w:numPr>
        <w:spacing w:before="120" w:after="120"/>
        <w:ind w:left="378"/>
        <w:jc w:val="both"/>
      </w:pPr>
      <w:r w:rsidRPr="003309A0">
        <w:t>Umowa z dnia 11 września 2009 r</w:t>
      </w:r>
      <w:r>
        <w:t>.</w:t>
      </w:r>
      <w:r w:rsidRPr="003309A0">
        <w:t xml:space="preserve"> między Ministrem Gospodarki Rzeczypospolitej Polskiej a</w:t>
      </w:r>
      <w:r>
        <w:t> </w:t>
      </w:r>
      <w:r w:rsidRPr="003309A0">
        <w:t>Departamentem Energii Stanów Zjednoczonych Ameryki dotycząca Współpracy w dziedzinie przeciwdziałania rozprzestrzenianiu materiałów i technologii jądrowych (umowa wykonawcza)</w:t>
      </w:r>
      <w:r>
        <w:rPr>
          <w:rStyle w:val="Odwoanieprzypisudolnego"/>
        </w:rPr>
        <w:footnoteReference w:id="74"/>
      </w:r>
      <w:r w:rsidRPr="003309A0">
        <w:t>. Umowa weszła w życie z dniem 11 września 2009 r.</w:t>
      </w:r>
    </w:p>
    <w:p w14:paraId="423BD248" w14:textId="300ADC19" w:rsidR="00084F8B" w:rsidRPr="0001028A" w:rsidRDefault="00084F8B" w:rsidP="00EF1964">
      <w:pPr>
        <w:spacing w:before="120" w:after="120"/>
        <w:ind w:left="18"/>
        <w:jc w:val="both"/>
      </w:pPr>
      <w:r w:rsidRPr="003309A0">
        <w:t>Powyższe umowy przewid</w:t>
      </w:r>
      <w:r w:rsidR="003E372A">
        <w:t xml:space="preserve">ywały </w:t>
      </w:r>
      <w:r w:rsidRPr="003309A0">
        <w:rPr>
          <w:color w:val="000000"/>
        </w:rPr>
        <w:t>m.in.</w:t>
      </w:r>
      <w:r w:rsidRPr="003309A0">
        <w:t xml:space="preserve"> bezpłatną pomoc Stanów Zjednoczonych w wywozie</w:t>
      </w:r>
      <w:r>
        <w:t xml:space="preserve"> </w:t>
      </w:r>
      <w:r w:rsidRPr="003309A0">
        <w:t>do Federacji Rosyjskiej paliwa jądrowego i wypalonego paliwa jądrowego, dostarczonego przez</w:t>
      </w:r>
      <w:r>
        <w:t xml:space="preserve"> </w:t>
      </w:r>
      <w:r w:rsidRPr="003309A0">
        <w:t>b</w:t>
      </w:r>
      <w:r>
        <w:t>yły</w:t>
      </w:r>
      <w:r w:rsidRPr="003309A0">
        <w:t xml:space="preserve"> </w:t>
      </w:r>
      <w:r>
        <w:t>ZSRR</w:t>
      </w:r>
      <w:r w:rsidRPr="003309A0">
        <w:t xml:space="preserve"> lub Federację Rosyjską. </w:t>
      </w:r>
      <w:r w:rsidR="003E372A">
        <w:t>W</w:t>
      </w:r>
      <w:r w:rsidRPr="003309A0">
        <w:t xml:space="preserve"> ramach realizacji umów wy</w:t>
      </w:r>
      <w:r>
        <w:t>wieziono</w:t>
      </w:r>
      <w:r w:rsidRPr="003309A0">
        <w:t xml:space="preserve"> </w:t>
      </w:r>
      <w:r w:rsidR="00E86D38">
        <w:t>1204</w:t>
      </w:r>
      <w:r>
        <w:t xml:space="preserve"> elementów paliwowych</w:t>
      </w:r>
      <w:r w:rsidRPr="003309A0">
        <w:t xml:space="preserve"> WWR o wzbogaceniu początkowym 36% oraz </w:t>
      </w:r>
      <w:r w:rsidR="003E372A">
        <w:t>475</w:t>
      </w:r>
      <w:r w:rsidR="00356846" w:rsidRPr="003309A0">
        <w:t xml:space="preserve"> </w:t>
      </w:r>
      <w:r>
        <w:t xml:space="preserve">elementów paliwowych </w:t>
      </w:r>
      <w:r w:rsidRPr="003309A0">
        <w:t xml:space="preserve">MR o wzbogaceniu początkowym 80% </w:t>
      </w:r>
      <w:r>
        <w:t>lub 36%. Ponadto, wysłane zostały</w:t>
      </w:r>
      <w:r w:rsidRPr="003309A0">
        <w:t xml:space="preserve"> </w:t>
      </w:r>
      <w:r>
        <w:t>23</w:t>
      </w:r>
      <w:r w:rsidRPr="003309A0">
        <w:t xml:space="preserve"> </w:t>
      </w:r>
      <w:r>
        <w:t>elementy</w:t>
      </w:r>
      <w:r w:rsidRPr="003309A0">
        <w:t xml:space="preserve"> wysokowzbogaconego paliwa jądrowego, które nie </w:t>
      </w:r>
      <w:r>
        <w:t>zostały</w:t>
      </w:r>
      <w:r w:rsidRPr="003309A0">
        <w:t xml:space="preserve"> wykorzystane w </w:t>
      </w:r>
      <w:r w:rsidRPr="0001028A">
        <w:t>reaktorze MARIA, ze względu na proces konwersji rdzenia na paliwo niskowzbogacone.</w:t>
      </w:r>
      <w:r w:rsidR="00E86D38">
        <w:t xml:space="preserve"> Wywieziono także 2595 elementów paliwowych EK-10. </w:t>
      </w:r>
      <w:r w:rsidRPr="0001028A">
        <w:t xml:space="preserve"> </w:t>
      </w:r>
      <w:r w:rsidR="003E372A">
        <w:t xml:space="preserve">Wywóz zakończono w roku </w:t>
      </w:r>
      <w:r w:rsidR="00356846" w:rsidRPr="0001028A">
        <w:rPr>
          <w:rFonts w:cs="Calibri"/>
        </w:rPr>
        <w:t xml:space="preserve">2016 </w:t>
      </w:r>
      <w:r w:rsidR="00BF1348" w:rsidRPr="0001028A">
        <w:rPr>
          <w:rFonts w:cs="Calibri"/>
        </w:rPr>
        <w:t>r.</w:t>
      </w:r>
    </w:p>
    <w:p w14:paraId="0BFEF006" w14:textId="77777777" w:rsidR="00084F8B" w:rsidRPr="00407663" w:rsidRDefault="00084F8B" w:rsidP="008D5796">
      <w:pPr>
        <w:pStyle w:val="Nagwek3"/>
      </w:pPr>
      <w:bookmarkStart w:id="192" w:name="_Toc397697064"/>
      <w:bookmarkStart w:id="193" w:name="_Toc424116760"/>
      <w:r>
        <w:t xml:space="preserve">9.3.2 </w:t>
      </w:r>
      <w:r w:rsidRPr="00407663">
        <w:t>Umowa z Federacją Rosyjską</w:t>
      </w:r>
      <w:bookmarkEnd w:id="192"/>
      <w:bookmarkEnd w:id="193"/>
      <w:r w:rsidRPr="00407663">
        <w:t xml:space="preserve"> </w:t>
      </w:r>
    </w:p>
    <w:p w14:paraId="4E4ABDD1" w14:textId="77777777" w:rsidR="00084F8B" w:rsidRPr="00EF1964" w:rsidRDefault="00084F8B" w:rsidP="00EF1964">
      <w:pPr>
        <w:numPr>
          <w:ilvl w:val="0"/>
          <w:numId w:val="118"/>
        </w:numPr>
        <w:spacing w:before="120" w:after="120"/>
        <w:ind w:left="426"/>
        <w:contextualSpacing/>
        <w:jc w:val="both"/>
      </w:pPr>
      <w:r w:rsidRPr="00EF1964">
        <w:t>Umowa z dnia 1 września 2009 r. między Rządem Rzeczypospolitej Polskiej a Rządem Federacji Rosyjskiej dotycząca współpracy przy wwozie do Federacji Rosyjskiej napromieniowanego paliwa jądrowego z</w:t>
      </w:r>
      <w:r>
        <w:t> </w:t>
      </w:r>
      <w:r w:rsidRPr="00EF1964">
        <w:t>reaktora doświadczalnego</w:t>
      </w:r>
      <w:r w:rsidRPr="00EF1964">
        <w:rPr>
          <w:vertAlign w:val="superscript"/>
        </w:rPr>
        <w:footnoteReference w:id="75"/>
      </w:r>
      <w:r w:rsidRPr="00EF1964">
        <w:t>.</w:t>
      </w:r>
    </w:p>
    <w:p w14:paraId="2460D823" w14:textId="77777777" w:rsidR="00084F8B" w:rsidRPr="00EF1964" w:rsidRDefault="00084F8B" w:rsidP="00EF1964">
      <w:pPr>
        <w:spacing w:before="120" w:after="120"/>
        <w:jc w:val="both"/>
      </w:pPr>
      <w:r w:rsidRPr="00EF1964">
        <w:t>Umowa została zawarta na okres 20 lat, który będzie automatycznie wydłużany na kolejne dwuletnie okresy do czasu jej rozwiązania przez jedną ze stron.</w:t>
      </w:r>
    </w:p>
    <w:p w14:paraId="32508F0E" w14:textId="77777777" w:rsidR="00084F8B" w:rsidRPr="00EF1964" w:rsidRDefault="00084F8B" w:rsidP="00EF1964">
      <w:pPr>
        <w:spacing w:before="120" w:after="120"/>
        <w:jc w:val="both"/>
      </w:pPr>
      <w:r w:rsidRPr="00EF1964">
        <w:t xml:space="preserve">Umowa określa warunki wwozu do Federacji Rosyjskiej wypalonego paliwa jądrowego w celu jego przechowywania, a następnie przerobu i pozostawienia na terytorium Federacji Rosyjskiej odpadów promieniotwórczych powstałych w wyniku tego przerobu. </w:t>
      </w:r>
    </w:p>
    <w:p w14:paraId="578CEBD8" w14:textId="77777777" w:rsidR="00084F8B" w:rsidRPr="00EF1964" w:rsidRDefault="00084F8B" w:rsidP="00EF1964">
      <w:pPr>
        <w:spacing w:before="120" w:after="120"/>
        <w:jc w:val="both"/>
      </w:pPr>
      <w:r w:rsidRPr="00EF1964">
        <w:t xml:space="preserve">Na podstawie umowy: </w:t>
      </w:r>
    </w:p>
    <w:p w14:paraId="54409C8D" w14:textId="77777777" w:rsidR="00084F8B" w:rsidRPr="00EF1964" w:rsidRDefault="00084F8B" w:rsidP="00F30FD5">
      <w:pPr>
        <w:numPr>
          <w:ilvl w:val="0"/>
          <w:numId w:val="98"/>
        </w:numPr>
        <w:spacing w:before="120" w:after="120"/>
        <w:ind w:left="426" w:hanging="284"/>
        <w:contextualSpacing/>
        <w:jc w:val="both"/>
      </w:pPr>
      <w:r w:rsidRPr="00EF1964">
        <w:t xml:space="preserve">do Federacji Rosyjskiej zostało wywiezione niskowzbogacone wypalone paliwo jądrowe. </w:t>
      </w:r>
      <w:r w:rsidR="00CC54DA">
        <w:t>W</w:t>
      </w:r>
      <w:r w:rsidRPr="00EF1964">
        <w:t>ywozem zostało objęte 2595 elementów paliwowych o wzbogaceniu początkowym 10 %;</w:t>
      </w:r>
    </w:p>
    <w:p w14:paraId="4DC2BA51" w14:textId="77777777" w:rsidR="00084F8B" w:rsidRDefault="00084F8B" w:rsidP="00F30FD5">
      <w:pPr>
        <w:numPr>
          <w:ilvl w:val="0"/>
          <w:numId w:val="98"/>
        </w:numPr>
        <w:spacing w:before="120" w:after="120"/>
        <w:ind w:left="426" w:hanging="284"/>
        <w:contextualSpacing/>
        <w:jc w:val="both"/>
      </w:pPr>
      <w:r w:rsidRPr="00EF1964">
        <w:t>w Federacji Rosyjskiej pozostaną odpady promieniotwórcze powstałe w wyniku przerobu przywiezionego z Polski wysokowzbogaconego i niskowzbogaconego wypalonego paliwa jądrowego.</w:t>
      </w:r>
    </w:p>
    <w:p w14:paraId="5067E790" w14:textId="77777777" w:rsidR="001F0EA6" w:rsidRDefault="001F0EA6" w:rsidP="001F0EA6">
      <w:pPr>
        <w:spacing w:before="120" w:after="120"/>
        <w:contextualSpacing/>
        <w:jc w:val="both"/>
      </w:pPr>
    </w:p>
    <w:p w14:paraId="468E6A62" w14:textId="3D3087BC" w:rsidR="001F0EA6" w:rsidRPr="001F0EA6" w:rsidRDefault="001F0EA6" w:rsidP="001F0EA6">
      <w:pPr>
        <w:pStyle w:val="Nagwek2"/>
      </w:pPr>
      <w:r w:rsidRPr="001F0EA6">
        <w:t>9.</w:t>
      </w:r>
      <w:r w:rsidR="00A11BC6">
        <w:t>4</w:t>
      </w:r>
      <w:r w:rsidRPr="001F0EA6">
        <w:t xml:space="preserve">. </w:t>
      </w:r>
      <w:r>
        <w:t xml:space="preserve">MISJA ATREMIS </w:t>
      </w:r>
    </w:p>
    <w:p w14:paraId="76136A9F" w14:textId="2F270AA7" w:rsidR="001D5112" w:rsidRPr="001D5112" w:rsidRDefault="001D5112" w:rsidP="001D5112">
      <w:pPr>
        <w:spacing w:before="120" w:after="120"/>
        <w:contextualSpacing/>
        <w:jc w:val="both"/>
      </w:pPr>
      <w:r w:rsidRPr="001D5112">
        <w:t xml:space="preserve">Zgodnie z zapisami Dyrektywy i ustawy Prawo atomowe, Polska jest zobowiązana do poddania swojego systemu postępowania z odpadami promieniotwórczymi przeglądowi międzynarodowemu. </w:t>
      </w:r>
      <w:r w:rsidR="0046214A" w:rsidRPr="0046214A">
        <w:t>Na zaproszenie Ministra Energii eksperci Międzynarodowej Agencji Energii Atomowej (MAEA) w ramach misji ARTEMIS dokonali przeglądu polskiego systemu zarządzania odpadami promieniotwórczymi</w:t>
      </w:r>
      <w:r w:rsidR="0046214A">
        <w:t>.</w:t>
      </w:r>
      <w:r w:rsidRPr="00A9153A">
        <w:t xml:space="preserve">.  </w:t>
      </w:r>
      <w:r w:rsidRPr="001D5112">
        <w:t xml:space="preserve">Misja ARTEMIS oparta jest na standardach bezpieczeństwa i wytycznych Agencji oraz dobrych praktykach z całego świata. Misja w Polsce była </w:t>
      </w:r>
      <w:r w:rsidRPr="001D5112">
        <w:lastRenderedPageBreak/>
        <w:t xml:space="preserve">pierwszą, która odbyła się na prośbę państwa członkowskiego Unii Europejskiej. Jej celem była </w:t>
      </w:r>
      <w:r w:rsidR="00FA31C1" w:rsidRPr="001D5112">
        <w:t>ocena wypełnienia</w:t>
      </w:r>
      <w:r w:rsidRPr="001D5112">
        <w:t xml:space="preserve"> wymagań unijnych w zakresie przeprowadzenia niezależnego przeglądu krajowego systemu zarządzania odpadami promieniotwórczymi. Zespół ARTEMIS składał się z 5 ekspertów z Belgii, Finlandii, Francji, RPA i Wielkiej Brytanii oraz z 3 przedstawicieli MAEA. Zespół odbył szereg spotkań w Warszawie z przedstawicielami Ministerstwa Energii, ZUOP i PAA oraz odwiedził obiekty w </w:t>
      </w:r>
      <w:r w:rsidR="005761A3">
        <w:t>Otwocku-</w:t>
      </w:r>
      <w:r w:rsidRPr="001D5112">
        <w:t xml:space="preserve">Świerku związane z procesem postępowania z odpadami promieniotwórczymi. Gospodarzem misji, która odbyła się na zaproszenie polskiego Rządu, było Ministerstwo Energii. Misja MAEA przebywała w Polsce w dniach 1-10 października 2017 r. </w:t>
      </w:r>
    </w:p>
    <w:p w14:paraId="61EE5BBB" w14:textId="77777777" w:rsidR="001D5112" w:rsidRPr="001D5112" w:rsidRDefault="001D5112" w:rsidP="001D5112">
      <w:pPr>
        <w:spacing w:before="120" w:after="120"/>
        <w:contextualSpacing/>
        <w:jc w:val="both"/>
      </w:pPr>
      <w:r w:rsidRPr="001D5112">
        <w:t xml:space="preserve">Zespół ekspertów Międzynarodowej Agencji Energii Atomowej (MAEA) stwierdził, że Polska podchodzi kompleksowo do bezpiecznego postępowania z odpadami promieniotwórczymi oraz wskazał pola możliwych ulepszeń w związku z wdrażaniem programu polskiej energetyki jądrowej. </w:t>
      </w:r>
    </w:p>
    <w:p w14:paraId="10420C73" w14:textId="2457161D" w:rsidR="001D5112" w:rsidRPr="001D5112" w:rsidRDefault="001D5112" w:rsidP="001D5112">
      <w:pPr>
        <w:spacing w:before="120" w:after="120"/>
        <w:contextualSpacing/>
        <w:jc w:val="both"/>
      </w:pPr>
      <w:r w:rsidRPr="001D5112">
        <w:t xml:space="preserve">Misja potwierdziła, że Polska realizuje większość elementów wymaganych w Krajowym planie postępowania z odpadami promieniotwórczymi i wypalonym paliwem jądrowym, w szczególności w zakresie przechowywania. Przegląd </w:t>
      </w:r>
      <w:r w:rsidR="00FA31C1" w:rsidRPr="001D5112">
        <w:t>wskazał silne</w:t>
      </w:r>
      <w:r w:rsidRPr="001D5112">
        <w:t xml:space="preserve"> strony Polski w zakresie postępowania z odpadami oraz wskazuje obszary do dalszych ulepszeń. Zespół ARTEMIS stwierdził ponadto, że Polska stworzyła dobrą bazę dla bezpiecznego i odpowiedzialnego zarządzania odpadami promieniotwórczymi i wypalonym paliwem jądrowym i podkreślił duże zaangażowanie wszystkich zainteresowanych stron, zwłaszcza w kontekście planowanego rozwoju energetyki jądrowej. </w:t>
      </w:r>
    </w:p>
    <w:p w14:paraId="50E44063" w14:textId="77777777" w:rsidR="001D5112" w:rsidRPr="001D5112" w:rsidRDefault="001D5112" w:rsidP="001D5112">
      <w:pPr>
        <w:spacing w:before="120" w:after="120"/>
        <w:contextualSpacing/>
        <w:jc w:val="both"/>
      </w:pPr>
      <w:r w:rsidRPr="001D5112">
        <w:t xml:space="preserve">Przedstawiciele MAEA pochwalili rząd za rozwój i utrzymanie krajowej ewidencji odpadów promieniotwórczych oraz dostrzegli, że tymczasowe składowanie odpadów promieniotwórczych jest eksploatowane z sukcesem przez dziesiątki lat. Zespół stwierdził, że Polska jest świadoma, jakie działania należy wprowadzić, aby rozwijać i wdrażać krajowy plan bezpiecznego postępowania z odpadami promieniotwórczymi. </w:t>
      </w:r>
    </w:p>
    <w:p w14:paraId="5F870109" w14:textId="77777777" w:rsidR="001D5112" w:rsidRPr="001D5112" w:rsidRDefault="001D5112" w:rsidP="001D5112">
      <w:pPr>
        <w:spacing w:before="120" w:after="120"/>
        <w:contextualSpacing/>
        <w:jc w:val="both"/>
      </w:pPr>
      <w:r w:rsidRPr="001D5112">
        <w:t>Zespół zakończył pracę Rekomendacjami i sugestiami w zakresie postępowania z odpadami promieniotwórczymi:</w:t>
      </w:r>
    </w:p>
    <w:p w14:paraId="593FA5C3" w14:textId="77777777" w:rsidR="001D5112" w:rsidRPr="001D5112" w:rsidRDefault="001D5112" w:rsidP="001D5112">
      <w:pPr>
        <w:numPr>
          <w:ilvl w:val="0"/>
          <w:numId w:val="135"/>
        </w:numPr>
        <w:spacing w:before="120" w:after="120"/>
        <w:contextualSpacing/>
        <w:jc w:val="both"/>
      </w:pPr>
      <w:r w:rsidRPr="001D5112">
        <w:t>Rząd powinien zapewnić, aby prowadzone były działania o charakterze naukowo-badawczym wspierające krajowy system postępowania z odpadami, określając priorytety z jasno określonymi ramami czasowymi oraz niezbędnymi zasobami.</w:t>
      </w:r>
    </w:p>
    <w:p w14:paraId="79C70E77" w14:textId="77777777" w:rsidR="001D5112" w:rsidRPr="001D5112" w:rsidRDefault="001D5112" w:rsidP="001D5112">
      <w:pPr>
        <w:numPr>
          <w:ilvl w:val="0"/>
          <w:numId w:val="135"/>
        </w:numPr>
        <w:spacing w:before="120" w:after="120"/>
        <w:contextualSpacing/>
        <w:jc w:val="both"/>
      </w:pPr>
      <w:r w:rsidRPr="001D5112">
        <w:t>ZUOP powinien przygotować aktualną analizę bezpieczeństwa dla składowiska w Różanie, wraz z kryteriami, i przedstawić ją do oceny regulatorowi.</w:t>
      </w:r>
    </w:p>
    <w:p w14:paraId="6482E942" w14:textId="77777777" w:rsidR="001D5112" w:rsidRPr="001D5112" w:rsidRDefault="001D5112" w:rsidP="001D5112">
      <w:pPr>
        <w:numPr>
          <w:ilvl w:val="0"/>
          <w:numId w:val="135"/>
        </w:numPr>
        <w:spacing w:before="120" w:after="120"/>
        <w:contextualSpacing/>
        <w:jc w:val="both"/>
      </w:pPr>
      <w:r w:rsidRPr="001D5112">
        <w:t>Rząd powinien rozważyć dostarczanie mierzalnych wskaźników, w jasno określonych ramach czasowych, aby postęp we wdrażaniu krajowego planu mógł być monitorowany w sposób efektywny.</w:t>
      </w:r>
    </w:p>
    <w:p w14:paraId="47A3301C" w14:textId="6FCA2B56" w:rsidR="001F0EA6" w:rsidRDefault="001D5112" w:rsidP="001D5112">
      <w:pPr>
        <w:spacing w:before="120" w:after="120"/>
        <w:contextualSpacing/>
        <w:jc w:val="both"/>
      </w:pPr>
      <w:r w:rsidRPr="001D5112">
        <w:t>Raport końcowy z misji ARTEMIS został opublikowany na stronach MAEA</w:t>
      </w:r>
      <w:r w:rsidR="005C6C77">
        <w:rPr>
          <w:rStyle w:val="Odwoanieprzypisudolnego"/>
        </w:rPr>
        <w:footnoteReference w:id="76"/>
      </w:r>
      <w:r w:rsidRPr="001D5112">
        <w:t>.</w:t>
      </w:r>
    </w:p>
    <w:p w14:paraId="5F6A688C" w14:textId="2E4AFCB6" w:rsidR="0007533C" w:rsidRPr="00EF1964" w:rsidRDefault="0007533C" w:rsidP="001D5112">
      <w:pPr>
        <w:spacing w:before="120" w:after="120"/>
        <w:contextualSpacing/>
        <w:jc w:val="both"/>
      </w:pPr>
      <w:r>
        <w:t>Zalecenia Misji zostały uwzględnione w działaniach przewidywanych przez Krajowy plan.</w:t>
      </w:r>
    </w:p>
    <w:p w14:paraId="4272A13F" w14:textId="77777777" w:rsidR="00084F8B" w:rsidRDefault="00084F8B" w:rsidP="00992E79">
      <w:pPr>
        <w:spacing w:before="120" w:after="120"/>
        <w:jc w:val="both"/>
      </w:pPr>
      <w:r>
        <w:br w:type="page"/>
      </w:r>
    </w:p>
    <w:p w14:paraId="42A0D656" w14:textId="77777777" w:rsidR="00084F8B" w:rsidRPr="00422D7D" w:rsidRDefault="00084F8B" w:rsidP="00A17F0C">
      <w:pPr>
        <w:pStyle w:val="Nagwek1"/>
        <w:spacing w:before="360" w:after="360"/>
        <w:jc w:val="both"/>
        <w:rPr>
          <w:rFonts w:eastAsia="MS Mincho"/>
          <w:lang w:eastAsia="ja-JP"/>
        </w:rPr>
      </w:pPr>
      <w:bookmarkStart w:id="194" w:name="_Toc397697065"/>
      <w:bookmarkStart w:id="195" w:name="_Toc424116761"/>
      <w:r>
        <w:rPr>
          <w:rFonts w:eastAsia="MS Mincho"/>
          <w:lang w:eastAsia="ja-JP"/>
        </w:rPr>
        <w:lastRenderedPageBreak/>
        <w:t>10.</w:t>
      </w:r>
      <w:r w:rsidRPr="00422D7D">
        <w:rPr>
          <w:rFonts w:eastAsia="MS Mincho"/>
          <w:lang w:eastAsia="ja-JP"/>
        </w:rPr>
        <w:t xml:space="preserve"> Przejrzystość, informowanie i zaangażowanie społeczeństwa w procesy decyzyjne w zakresie </w:t>
      </w:r>
      <w:r>
        <w:rPr>
          <w:rFonts w:eastAsia="MS Mincho"/>
          <w:lang w:eastAsia="ja-JP"/>
        </w:rPr>
        <w:t>postępowania z</w:t>
      </w:r>
      <w:r w:rsidRPr="00422D7D">
        <w:rPr>
          <w:rFonts w:eastAsia="MS Mincho"/>
          <w:lang w:eastAsia="ja-JP"/>
        </w:rPr>
        <w:t xml:space="preserve"> odpadami promieniotwórczymi i wypalonym paliwem jądrowym</w:t>
      </w:r>
      <w:r>
        <w:rPr>
          <w:rFonts w:eastAsia="MS Mincho"/>
          <w:lang w:eastAsia="ja-JP"/>
        </w:rPr>
        <w:t xml:space="preserve"> oraz</w:t>
      </w:r>
      <w:r w:rsidRPr="00E773B2">
        <w:rPr>
          <w:rFonts w:eastAsia="MS Mincho"/>
          <w:lang w:eastAsia="ja-JP"/>
        </w:rPr>
        <w:t xml:space="preserve"> </w:t>
      </w:r>
      <w:r w:rsidR="00454BBB">
        <w:rPr>
          <w:rFonts w:eastAsia="MS Mincho"/>
          <w:lang w:eastAsia="ja-JP"/>
        </w:rPr>
        <w:t>o</w:t>
      </w:r>
      <w:r w:rsidRPr="00422D7D">
        <w:rPr>
          <w:rFonts w:eastAsia="MS Mincho"/>
          <w:lang w:eastAsia="ja-JP"/>
        </w:rPr>
        <w:t xml:space="preserve">chrona </w:t>
      </w:r>
      <w:r w:rsidR="00454BBB">
        <w:rPr>
          <w:rFonts w:eastAsia="MS Mincho"/>
          <w:lang w:eastAsia="ja-JP"/>
        </w:rPr>
        <w:t>ś</w:t>
      </w:r>
      <w:r w:rsidRPr="00422D7D">
        <w:rPr>
          <w:rFonts w:eastAsia="MS Mincho"/>
          <w:lang w:eastAsia="ja-JP"/>
        </w:rPr>
        <w:t>rodowiska</w:t>
      </w:r>
      <w:bookmarkEnd w:id="194"/>
      <w:bookmarkEnd w:id="195"/>
      <w:r w:rsidRPr="00422D7D">
        <w:rPr>
          <w:rFonts w:eastAsia="MS Mincho"/>
          <w:lang w:eastAsia="ja-JP"/>
        </w:rPr>
        <w:t xml:space="preserve"> </w:t>
      </w:r>
    </w:p>
    <w:p w14:paraId="2F4B8306" w14:textId="77777777" w:rsidR="00084F8B" w:rsidRDefault="00084F8B" w:rsidP="008D5796">
      <w:pPr>
        <w:pStyle w:val="Nagwek2"/>
      </w:pPr>
      <w:bookmarkStart w:id="196" w:name="_Toc397697066"/>
      <w:bookmarkStart w:id="197" w:name="_Toc424116762"/>
      <w:r w:rsidRPr="00045E60">
        <w:t>10.1. Podstawy prawne informowania i udziału społeczeństwa w procesie decyzyjnym</w:t>
      </w:r>
      <w:bookmarkEnd w:id="196"/>
      <w:bookmarkEnd w:id="197"/>
    </w:p>
    <w:p w14:paraId="7EEE5897" w14:textId="77777777" w:rsidR="00084F8B" w:rsidRDefault="00084F8B" w:rsidP="00C87B85">
      <w:pPr>
        <w:spacing w:before="120"/>
        <w:ind w:firstLine="567"/>
        <w:jc w:val="both"/>
      </w:pPr>
      <w:r>
        <w:t>Zasady informowania społeczeństwa oraz jego udziału w procesie decyzyjnym w zakresie postępowania z odpadami promieniotwórczymi i wypalonym paliwem jądrowym regulują następujące akty normatywne:</w:t>
      </w:r>
    </w:p>
    <w:p w14:paraId="18C989C6" w14:textId="406822FF" w:rsidR="00084F8B" w:rsidRPr="006030A8" w:rsidRDefault="00084F8B" w:rsidP="00E258C7">
      <w:pPr>
        <w:pStyle w:val="Akapitzlist"/>
        <w:numPr>
          <w:ilvl w:val="0"/>
          <w:numId w:val="70"/>
        </w:numPr>
        <w:ind w:left="714" w:hanging="357"/>
      </w:pPr>
      <w:r w:rsidRPr="006030A8">
        <w:t>Ustawa z dnia 3 października 2008</w:t>
      </w:r>
      <w:r>
        <w:t xml:space="preserve"> </w:t>
      </w:r>
      <w:r w:rsidRPr="006030A8">
        <w:t>r. o udostępnianiu informacji o środowisku i</w:t>
      </w:r>
      <w:r w:rsidR="00412D21">
        <w:t xml:space="preserve"> </w:t>
      </w:r>
      <w:r w:rsidRPr="006030A8">
        <w:t xml:space="preserve">jego ochronie, udziale społeczeństwa w ochronie środowiska oraz </w:t>
      </w:r>
      <w:r w:rsidR="00412D21" w:rsidRPr="006030A8">
        <w:t>o</w:t>
      </w:r>
      <w:r w:rsidR="00412D21">
        <w:t xml:space="preserve"> </w:t>
      </w:r>
      <w:r w:rsidRPr="006030A8">
        <w:t>ocenach oddziaływania na środowisko</w:t>
      </w:r>
      <w:r w:rsidRPr="006030A8">
        <w:rPr>
          <w:vertAlign w:val="superscript"/>
        </w:rPr>
        <w:footnoteReference w:id="77"/>
      </w:r>
      <w:r>
        <w:t xml:space="preserve"> (ustawa OOŚ);</w:t>
      </w:r>
    </w:p>
    <w:p w14:paraId="06B74095" w14:textId="77777777" w:rsidR="00084F8B" w:rsidRDefault="00084F8B" w:rsidP="00E258C7">
      <w:pPr>
        <w:pStyle w:val="Akapitzlist"/>
        <w:numPr>
          <w:ilvl w:val="0"/>
          <w:numId w:val="70"/>
        </w:numPr>
        <w:ind w:left="714" w:hanging="357"/>
        <w:jc w:val="both"/>
      </w:pPr>
      <w:r>
        <w:t>Ustawa – Prawo atomowe.</w:t>
      </w:r>
    </w:p>
    <w:p w14:paraId="3F354AD4" w14:textId="77777777" w:rsidR="00084F8B" w:rsidRDefault="00084F8B" w:rsidP="00CF794D">
      <w:pPr>
        <w:jc w:val="both"/>
      </w:pPr>
      <w:r>
        <w:t>Przepisy ww. aktów normatywnych są zgodne z następującymi, obowiązującymi aktami prawa międzynarodowego i europejskiego:</w:t>
      </w:r>
    </w:p>
    <w:p w14:paraId="7A84716B" w14:textId="77777777" w:rsidR="00084F8B" w:rsidRDefault="00084F8B" w:rsidP="00C57194">
      <w:pPr>
        <w:pStyle w:val="Akapitzlist"/>
        <w:numPr>
          <w:ilvl w:val="0"/>
          <w:numId w:val="71"/>
        </w:numPr>
        <w:ind w:left="714" w:hanging="357"/>
        <w:jc w:val="both"/>
      </w:pPr>
      <w:r w:rsidRPr="00045E60">
        <w:t xml:space="preserve">Konwencja o </w:t>
      </w:r>
      <w:r>
        <w:t>d</w:t>
      </w:r>
      <w:r w:rsidRPr="00045E60">
        <w:t xml:space="preserve">ostępie do </w:t>
      </w:r>
      <w:r>
        <w:t>i</w:t>
      </w:r>
      <w:r w:rsidRPr="00045E60">
        <w:t xml:space="preserve">nformacji, </w:t>
      </w:r>
      <w:r>
        <w:t>u</w:t>
      </w:r>
      <w:r w:rsidRPr="00045E60">
        <w:t xml:space="preserve">dziale </w:t>
      </w:r>
      <w:r>
        <w:t>s</w:t>
      </w:r>
      <w:r w:rsidRPr="00045E60">
        <w:t xml:space="preserve">połeczeństwa w </w:t>
      </w:r>
      <w:r>
        <w:t>p</w:t>
      </w:r>
      <w:r w:rsidRPr="00045E60">
        <w:t xml:space="preserve">odejmowaniu </w:t>
      </w:r>
      <w:r>
        <w:t>d</w:t>
      </w:r>
      <w:r w:rsidRPr="00045E60">
        <w:t xml:space="preserve">ecyzji oraz </w:t>
      </w:r>
      <w:r>
        <w:t>d</w:t>
      </w:r>
      <w:r w:rsidRPr="00045E60">
        <w:t xml:space="preserve">ostępie do </w:t>
      </w:r>
      <w:r>
        <w:t>s</w:t>
      </w:r>
      <w:r w:rsidRPr="00045E60">
        <w:t xml:space="preserve">prawiedliwości w </w:t>
      </w:r>
      <w:r>
        <w:t>s</w:t>
      </w:r>
      <w:r w:rsidRPr="00045E60">
        <w:t xml:space="preserve">prawach </w:t>
      </w:r>
      <w:r>
        <w:t>d</w:t>
      </w:r>
      <w:r w:rsidRPr="00045E60">
        <w:t xml:space="preserve">otyczących </w:t>
      </w:r>
      <w:r>
        <w:t>ś</w:t>
      </w:r>
      <w:r w:rsidRPr="00045E60">
        <w:t>rodowiska, podpisana 25 czerwca 1998</w:t>
      </w:r>
      <w:r>
        <w:t xml:space="preserve"> r.</w:t>
      </w:r>
      <w:r w:rsidRPr="00045E60">
        <w:t xml:space="preserve"> w </w:t>
      </w:r>
      <w:r>
        <w:t>Aarhus</w:t>
      </w:r>
      <w:r w:rsidRPr="00045E60">
        <w:t>, w Danii (Dz. U. z 2003 r. Nr 78, poz. 706)</w:t>
      </w:r>
      <w:r>
        <w:t>;</w:t>
      </w:r>
    </w:p>
    <w:p w14:paraId="45FFFDDF" w14:textId="123A3CA4" w:rsidR="00084F8B" w:rsidRDefault="00084F8B" w:rsidP="00C57194">
      <w:pPr>
        <w:pStyle w:val="Akapitzlist"/>
        <w:numPr>
          <w:ilvl w:val="0"/>
          <w:numId w:val="71"/>
        </w:numPr>
        <w:ind w:left="714" w:hanging="357"/>
        <w:jc w:val="both"/>
      </w:pPr>
      <w:r w:rsidRPr="00045E60">
        <w:t xml:space="preserve">Konwencja </w:t>
      </w:r>
      <w:r w:rsidR="00412D21" w:rsidRPr="00045E60">
        <w:t>o</w:t>
      </w:r>
      <w:r w:rsidR="00412D21">
        <w:t xml:space="preserve"> </w:t>
      </w:r>
      <w:r w:rsidRPr="00045E60">
        <w:t xml:space="preserve">ocenach oddziaływania na środowisko w kontekście transgranicznym, podpisana w Espoo dnia </w:t>
      </w:r>
      <w:r w:rsidR="00412D21" w:rsidRPr="00045E60">
        <w:t>25</w:t>
      </w:r>
      <w:r w:rsidR="00412D21">
        <w:t xml:space="preserve"> </w:t>
      </w:r>
      <w:r w:rsidRPr="00045E60">
        <w:t>lutego 1991 r. (Dz. U. z 1999</w:t>
      </w:r>
      <w:r>
        <w:t xml:space="preserve"> </w:t>
      </w:r>
      <w:r w:rsidRPr="00045E60">
        <w:t>r. Nr 96, poz.1110)</w:t>
      </w:r>
      <w:r>
        <w:t>;</w:t>
      </w:r>
    </w:p>
    <w:p w14:paraId="08BB325A" w14:textId="77777777" w:rsidR="00084F8B" w:rsidRDefault="00084F8B" w:rsidP="00C57194">
      <w:pPr>
        <w:pStyle w:val="Akapitzlist"/>
        <w:numPr>
          <w:ilvl w:val="0"/>
          <w:numId w:val="71"/>
        </w:numPr>
        <w:ind w:left="714" w:hanging="357"/>
        <w:jc w:val="both"/>
      </w:pPr>
      <w:r>
        <w:t>Dyrektywa</w:t>
      </w:r>
      <w:r w:rsidRPr="00045E60">
        <w:t xml:space="preserve"> 2001/42/WE Parlamentu Europejskiego i Rady z dnia 27 czerwca 2001 r. w sprawie oceny wpływu niektórych planów i programów na środowisko (dyrektywa 2001/42/WE)</w:t>
      </w:r>
      <w:r>
        <w:t xml:space="preserve"> (wdrożona przepisami ustawy OOŚ);</w:t>
      </w:r>
    </w:p>
    <w:p w14:paraId="10874E1C" w14:textId="77777777" w:rsidR="00084F8B" w:rsidRDefault="00084F8B" w:rsidP="00C57194">
      <w:pPr>
        <w:pStyle w:val="Akapitzlist"/>
        <w:numPr>
          <w:ilvl w:val="0"/>
          <w:numId w:val="71"/>
        </w:numPr>
        <w:ind w:left="714" w:hanging="357"/>
        <w:jc w:val="both"/>
      </w:pPr>
      <w:r>
        <w:t>Dyrektywa 2011/70/EURATOM (wdrożona przepisami ustawy – Prawo atomowe).</w:t>
      </w:r>
    </w:p>
    <w:p w14:paraId="31CC507B" w14:textId="77777777" w:rsidR="00084F8B" w:rsidRDefault="00084F8B" w:rsidP="008D5796">
      <w:pPr>
        <w:pStyle w:val="Nagwek2"/>
      </w:pPr>
      <w:bookmarkStart w:id="198" w:name="_Toc397697067"/>
      <w:bookmarkStart w:id="199" w:name="_Toc424116763"/>
      <w:r w:rsidRPr="001809AF">
        <w:t xml:space="preserve">10.2. </w:t>
      </w:r>
      <w:r>
        <w:t>Informowanie społeczeństwa</w:t>
      </w:r>
      <w:bookmarkEnd w:id="198"/>
      <w:bookmarkEnd w:id="199"/>
      <w:r>
        <w:t xml:space="preserve"> </w:t>
      </w:r>
    </w:p>
    <w:p w14:paraId="06383D07" w14:textId="77777777" w:rsidR="00084F8B" w:rsidRDefault="00084F8B" w:rsidP="00C87B85">
      <w:pPr>
        <w:ind w:firstLine="567"/>
        <w:jc w:val="both"/>
      </w:pPr>
      <w:r>
        <w:t xml:space="preserve">Przepisy ustawy – Prawo atomowe zapewniają społeczeństwu możliwość pozyskania informacji dotyczących: </w:t>
      </w:r>
    </w:p>
    <w:p w14:paraId="3689EDD1" w14:textId="77777777" w:rsidR="00084F8B" w:rsidRPr="000E5541" w:rsidRDefault="00084F8B" w:rsidP="00E258C7">
      <w:pPr>
        <w:numPr>
          <w:ilvl w:val="0"/>
          <w:numId w:val="119"/>
        </w:numPr>
        <w:ind w:left="709" w:hanging="283"/>
        <w:jc w:val="both"/>
      </w:pPr>
      <w:r w:rsidRPr="000E5541">
        <w:t>stanu ochrony radiologicznej składowiska odpadów promieniotwórczych</w:t>
      </w:r>
      <w:r w:rsidR="007B6B5D">
        <w:t>;</w:t>
      </w:r>
      <w:r w:rsidRPr="000E5541">
        <w:t xml:space="preserve"> </w:t>
      </w:r>
    </w:p>
    <w:p w14:paraId="64752E36" w14:textId="77777777" w:rsidR="00084F8B" w:rsidRPr="000E5541" w:rsidRDefault="00084F8B" w:rsidP="00E258C7">
      <w:pPr>
        <w:numPr>
          <w:ilvl w:val="0"/>
          <w:numId w:val="119"/>
        </w:numPr>
        <w:ind w:left="709" w:hanging="283"/>
        <w:jc w:val="both"/>
      </w:pPr>
      <w:r w:rsidRPr="000E5541">
        <w:t>jego wpływu na zdrowie ludzi i na środowisko</w:t>
      </w:r>
      <w:r w:rsidR="007B6B5D">
        <w:t>;</w:t>
      </w:r>
    </w:p>
    <w:p w14:paraId="7E7AABCC" w14:textId="77777777" w:rsidR="00084F8B" w:rsidRDefault="00084F8B" w:rsidP="00E258C7">
      <w:pPr>
        <w:numPr>
          <w:ilvl w:val="0"/>
          <w:numId w:val="119"/>
        </w:numPr>
        <w:ind w:left="709" w:hanging="283"/>
        <w:jc w:val="both"/>
      </w:pPr>
      <w:r w:rsidRPr="000E5541">
        <w:t>wielkości i składu izotopowego uwolnień substancji promieniotwórczych ze składowiska do środowiska</w:t>
      </w:r>
      <w:r>
        <w:t>.</w:t>
      </w:r>
    </w:p>
    <w:p w14:paraId="431DBDAD" w14:textId="77777777" w:rsidR="00084F8B" w:rsidRDefault="00084F8B" w:rsidP="00CF794D">
      <w:pPr>
        <w:jc w:val="both"/>
      </w:pPr>
      <w:r>
        <w:t>K</w:t>
      </w:r>
      <w:r w:rsidRPr="008F37C0">
        <w:t>ażdy</w:t>
      </w:r>
      <w:r>
        <w:t xml:space="preserve"> może uzyskać taką informację w formie pisemnej od kierownika jednostki organizacyjnej </w:t>
      </w:r>
      <w:r w:rsidRPr="000E5541">
        <w:t xml:space="preserve">wykonującej działalność związaną z narażeniem </w:t>
      </w:r>
      <w:r w:rsidRPr="00354D40">
        <w:t>po</w:t>
      </w:r>
      <w:r>
        <w:t>legającą na eksploatacji lub za</w:t>
      </w:r>
      <w:r w:rsidRPr="00354D40">
        <w:t xml:space="preserve">mknięciu składowiska odpadów promieniotwórczych </w:t>
      </w:r>
      <w:r w:rsidRPr="000E5541">
        <w:t>(kierownik jednostki)</w:t>
      </w:r>
      <w:r>
        <w:t>. Ponadto, nie rzadziej niż raz na 12 miesięcy, kierownik jednostki ma obowiązek zamieścić ww. informacje na stronie internetowej jednostki organizacyjnej. Należy podkreślić, że przepisy nie przewidują żadnych sytuacji, w których kierownik jednostki może odmówić udzielenia przedmiotowych informacji. Również sformułowanie „</w:t>
      </w:r>
      <w:r w:rsidRPr="008F37C0">
        <w:t>każdy</w:t>
      </w:r>
      <w:r>
        <w:t xml:space="preserve">” zapewnia, że jakikolwiek podmiot (zarówno osoba fizyczna jak i jednostka organizacyjna) </w:t>
      </w:r>
      <w:r w:rsidR="003F7A86">
        <w:t xml:space="preserve">będzie mogła </w:t>
      </w:r>
      <w:r>
        <w:t xml:space="preserve">otrzymać żądane informacje. </w:t>
      </w:r>
    </w:p>
    <w:p w14:paraId="67026665" w14:textId="77777777" w:rsidR="00084F8B" w:rsidRPr="00B07858" w:rsidRDefault="00084F8B" w:rsidP="00CF794D">
      <w:pPr>
        <w:jc w:val="both"/>
      </w:pPr>
      <w:r>
        <w:t>Do udzielania informacji, w trybie ustawy OOŚ</w:t>
      </w:r>
      <w:r w:rsidR="007B6B5D">
        <w:t>,</w:t>
      </w:r>
      <w:r>
        <w:t xml:space="preserve"> zobowiązany jest również prezes PAA, który udostępnia informacje o</w:t>
      </w:r>
      <w:r w:rsidR="007B6B5D">
        <w:t>:</w:t>
      </w:r>
    </w:p>
    <w:p w14:paraId="621F14A5" w14:textId="77777777" w:rsidR="00084F8B" w:rsidRPr="00B07858" w:rsidRDefault="00084F8B" w:rsidP="00CF794D">
      <w:pPr>
        <w:pStyle w:val="Akapitzlist"/>
        <w:numPr>
          <w:ilvl w:val="0"/>
          <w:numId w:val="72"/>
        </w:numPr>
        <w:jc w:val="both"/>
      </w:pPr>
      <w:r w:rsidRPr="00B07858">
        <w:t>stanie ochrony radiologicznej składowisk odpadów promieniotwórczych, ich wpływie na zdrowie ludzi i</w:t>
      </w:r>
      <w:r>
        <w:t> </w:t>
      </w:r>
      <w:r w:rsidRPr="00B07858">
        <w:t>środowisko;</w:t>
      </w:r>
    </w:p>
    <w:p w14:paraId="5D67E39E" w14:textId="77777777" w:rsidR="00084F8B" w:rsidRPr="00B07858" w:rsidRDefault="00084F8B" w:rsidP="00CF794D">
      <w:pPr>
        <w:pStyle w:val="Akapitzlist"/>
        <w:numPr>
          <w:ilvl w:val="0"/>
          <w:numId w:val="72"/>
        </w:numPr>
        <w:jc w:val="both"/>
      </w:pPr>
      <w:r w:rsidRPr="00B07858">
        <w:t>wielkości i składzie izotopowym uwolnień substancji promieniotwórczych ze składowisk odpadów promieniotwórczych</w:t>
      </w:r>
      <w:r>
        <w:t xml:space="preserve"> </w:t>
      </w:r>
      <w:r w:rsidRPr="00B07858">
        <w:t>do środowiska;</w:t>
      </w:r>
    </w:p>
    <w:p w14:paraId="759410E4" w14:textId="77777777" w:rsidR="00084F8B" w:rsidRPr="00B07858" w:rsidRDefault="00084F8B" w:rsidP="00CF794D">
      <w:pPr>
        <w:pStyle w:val="Akapitzlist"/>
        <w:numPr>
          <w:ilvl w:val="0"/>
          <w:numId w:val="72"/>
        </w:numPr>
        <w:jc w:val="both"/>
      </w:pPr>
      <w:r w:rsidRPr="00B07858">
        <w:t>zdarzeniach w składowiskach odpadów promieniotwórczych powodujących powstawanie zagrożenia;</w:t>
      </w:r>
    </w:p>
    <w:p w14:paraId="4C58FBA1" w14:textId="77777777" w:rsidR="00084F8B" w:rsidRDefault="00084F8B" w:rsidP="00CF794D">
      <w:pPr>
        <w:pStyle w:val="Akapitzlist"/>
        <w:numPr>
          <w:ilvl w:val="0"/>
          <w:numId w:val="72"/>
        </w:numPr>
        <w:jc w:val="both"/>
      </w:pPr>
      <w:r w:rsidRPr="00B07858">
        <w:lastRenderedPageBreak/>
        <w:t>wydanych zezwoleniach dotyczących składowisk odpadów promieniotwórczych.</w:t>
      </w:r>
    </w:p>
    <w:p w14:paraId="0CBA329F" w14:textId="77777777" w:rsidR="00084F8B" w:rsidRDefault="00084F8B" w:rsidP="00CF794D">
      <w:pPr>
        <w:jc w:val="both"/>
      </w:pPr>
      <w:r>
        <w:t>Udostępnieniu nie podlegają jedynie i</w:t>
      </w:r>
      <w:r w:rsidRPr="00B07858">
        <w:t xml:space="preserve">nformacje dotyczące ochrony fizycznej, zabezpieczeń materiałów jądrowych oraz informacje </w:t>
      </w:r>
      <w:r>
        <w:t xml:space="preserve">stanowiące tajemnicę </w:t>
      </w:r>
      <w:r w:rsidRPr="00B07858">
        <w:t>przedsiębiorstwa w rozumieniu przepisów o zwalczaniu nieuczciwej konkurencji</w:t>
      </w:r>
      <w:r>
        <w:t>.</w:t>
      </w:r>
    </w:p>
    <w:p w14:paraId="5E34BD26" w14:textId="77777777" w:rsidR="00084F8B" w:rsidRDefault="00084F8B" w:rsidP="00CF794D">
      <w:pPr>
        <w:jc w:val="both"/>
      </w:pPr>
      <w:r>
        <w:t xml:space="preserve">Również w tym przypadku, zgodnie z art. 4 ustawy OOŚ, </w:t>
      </w:r>
      <w:r w:rsidRPr="008F37C0">
        <w:t>każdy</w:t>
      </w:r>
      <w:r w:rsidRPr="00B07858">
        <w:t xml:space="preserve"> ma prawo do informacji o środowisku i jeg</w:t>
      </w:r>
      <w:r>
        <w:t>o ochronie na warunkach określo</w:t>
      </w:r>
      <w:r w:rsidRPr="00B07858">
        <w:t>nych ustawą.</w:t>
      </w:r>
    </w:p>
    <w:p w14:paraId="28494E45" w14:textId="77777777" w:rsidR="00084F8B" w:rsidRDefault="00084F8B" w:rsidP="00CF794D">
      <w:pPr>
        <w:jc w:val="both"/>
      </w:pPr>
    </w:p>
    <w:p w14:paraId="1F4C8363" w14:textId="77777777" w:rsidR="00084F8B" w:rsidRDefault="00084F8B" w:rsidP="00CF794D">
      <w:pPr>
        <w:jc w:val="both"/>
      </w:pPr>
      <w:r>
        <w:t>Dodatkowo, zgodnie z art. 55c ust. 3 i 4 ustawy – Prawo atomowe, w przypadku zaistnienia w składowisku odpadów promieniotwórczych zdarzeń mogących powodować lub powodujących zagrożenia, na kierowniku jednostki spoczywają również dodatkowe obowiązki informacyjne, mianowicie:</w:t>
      </w:r>
    </w:p>
    <w:p w14:paraId="55592A08" w14:textId="77777777" w:rsidR="00084F8B" w:rsidRDefault="00084F8B" w:rsidP="00CF794D">
      <w:pPr>
        <w:pStyle w:val="Akapitzlist"/>
        <w:numPr>
          <w:ilvl w:val="0"/>
          <w:numId w:val="73"/>
        </w:numPr>
        <w:jc w:val="both"/>
      </w:pPr>
      <w:r>
        <w:t xml:space="preserve">informuje on niezwłocznie Prezesa PAA, wojewodę, starostę oraz wójta (burmistrza, prezydenta miasta) gminy, na której terenie jest zlokalizowane składowisko, oraz wójta (burmistrza, prezydenta miasta) gmin sąsiadujących z tą gminą o zdarzeniach w składowisku </w:t>
      </w:r>
      <w:r w:rsidRPr="008F37C0">
        <w:t>mogących spowodować lub powodujących</w:t>
      </w:r>
      <w:r>
        <w:t xml:space="preserve"> powstanie zagrożenia,</w:t>
      </w:r>
    </w:p>
    <w:p w14:paraId="58AE502B" w14:textId="77777777" w:rsidR="00084F8B" w:rsidRDefault="00084F8B" w:rsidP="00CF794D">
      <w:pPr>
        <w:pStyle w:val="Akapitzlist"/>
        <w:numPr>
          <w:ilvl w:val="0"/>
          <w:numId w:val="73"/>
        </w:numPr>
        <w:jc w:val="both"/>
      </w:pPr>
      <w:r>
        <w:t>zamieszcza na stronie internetowej tej jednostki oraz przekazuje Prezesowi PAA informację o zaistniałych, w okresie poprzednich 12 miesięcy, zdarzeniach powodujących powstanie zagrożenia.</w:t>
      </w:r>
    </w:p>
    <w:p w14:paraId="3246649A" w14:textId="77777777" w:rsidR="00084F8B" w:rsidRDefault="00084F8B" w:rsidP="00CF794D">
      <w:pPr>
        <w:jc w:val="both"/>
      </w:pPr>
    </w:p>
    <w:p w14:paraId="518E3FC3" w14:textId="77777777" w:rsidR="00084F8B" w:rsidRDefault="00084F8B" w:rsidP="00CF794D">
      <w:pPr>
        <w:jc w:val="both"/>
      </w:pPr>
      <w:r>
        <w:t>W analogiczny jak wskazano powyżej sposób ustawa – Prawo atomowe reguluje informowanie społeczeństwa w zakresie obiektów jądrowych</w:t>
      </w:r>
      <w:r>
        <w:rPr>
          <w:rStyle w:val="Odwoanieprzypisudolnego"/>
        </w:rPr>
        <w:footnoteReference w:id="78"/>
      </w:r>
      <w:r>
        <w:t>.</w:t>
      </w:r>
    </w:p>
    <w:p w14:paraId="5930F12F" w14:textId="77777777" w:rsidR="00084F8B" w:rsidRDefault="00084F8B" w:rsidP="00CF794D">
      <w:pPr>
        <w:jc w:val="both"/>
      </w:pPr>
    </w:p>
    <w:p w14:paraId="45A16DA4" w14:textId="77777777" w:rsidR="00084F8B" w:rsidRDefault="00084F8B" w:rsidP="008D5796">
      <w:pPr>
        <w:pStyle w:val="Nagwek2"/>
      </w:pPr>
      <w:bookmarkStart w:id="200" w:name="_Toc397697068"/>
      <w:bookmarkStart w:id="201" w:name="_Toc424116764"/>
      <w:r>
        <w:t>10.3.</w:t>
      </w:r>
      <w:r w:rsidRPr="00F61D98">
        <w:t xml:space="preserve"> Udział społeczeństwa w procesie decyzyjnym</w:t>
      </w:r>
      <w:bookmarkEnd w:id="200"/>
      <w:bookmarkEnd w:id="201"/>
    </w:p>
    <w:p w14:paraId="5CF8170D" w14:textId="77777777" w:rsidR="00084F8B" w:rsidRPr="00CD2838" w:rsidRDefault="00084F8B" w:rsidP="00E818E2">
      <w:pPr>
        <w:pStyle w:val="Nagwek3"/>
      </w:pPr>
      <w:bookmarkStart w:id="202" w:name="_Toc424116765"/>
      <w:bookmarkStart w:id="203" w:name="_Toc397697069"/>
      <w:r w:rsidRPr="00CD2838">
        <w:t>10.3.</w:t>
      </w:r>
      <w:r>
        <w:t>1. Ocena oddziaływania na środowisko</w:t>
      </w:r>
      <w:bookmarkEnd w:id="202"/>
    </w:p>
    <w:p w14:paraId="34992BD5" w14:textId="34873779" w:rsidR="00084F8B" w:rsidRDefault="00084F8B" w:rsidP="00C87B85">
      <w:pPr>
        <w:spacing w:before="120" w:after="120"/>
        <w:ind w:firstLine="567"/>
        <w:jc w:val="both"/>
      </w:pPr>
      <w:r w:rsidRPr="00962E4A">
        <w:t xml:space="preserve">Dla wyboru najkorzystniejszych pod względem ewentualnych skutków dla środowiska rozwiązań w zakresie </w:t>
      </w:r>
      <w:r>
        <w:t xml:space="preserve">postępowania z </w:t>
      </w:r>
      <w:r w:rsidRPr="00962E4A">
        <w:t xml:space="preserve">odpadami promieniotwórczymi oraz dla zapewnienia udziału społeczeństwa w planowanych działaniach związanych z </w:t>
      </w:r>
      <w:r>
        <w:t>postępowaniem z</w:t>
      </w:r>
      <w:r w:rsidRPr="00962E4A">
        <w:t xml:space="preserve"> odpadami promieniotwórczymi i wypalonym paliwem </w:t>
      </w:r>
      <w:r w:rsidR="00FA31C1" w:rsidRPr="00962E4A">
        <w:t xml:space="preserve">jądrowym, </w:t>
      </w:r>
      <w:r w:rsidR="00FA31C1">
        <w:t>przeprowadzona</w:t>
      </w:r>
      <w:r w:rsidRPr="00962E4A">
        <w:t xml:space="preserve"> zosta</w:t>
      </w:r>
      <w:r>
        <w:t xml:space="preserve">ła </w:t>
      </w:r>
      <w:r w:rsidRPr="00962E4A">
        <w:t xml:space="preserve">procedura Strategicznej Oceny Oddziaływania na Środowisko (procedura </w:t>
      </w:r>
      <w:r>
        <w:t>S</w:t>
      </w:r>
      <w:r w:rsidRPr="00962E4A">
        <w:t xml:space="preserve">OOŚ) Krajowego planu. </w:t>
      </w:r>
    </w:p>
    <w:p w14:paraId="7333699C" w14:textId="77777777" w:rsidR="00084F8B" w:rsidRDefault="00084F8B" w:rsidP="007D677E">
      <w:pPr>
        <w:spacing w:before="120"/>
        <w:jc w:val="both"/>
      </w:pPr>
      <w:r>
        <w:t>W ramach strategicznej oceny oddziaływania na środowisko dla projektu Krajowego planu została sporządzona prognoza oddziaływania na środowisko. Następnie projekt wraz z prognozą został poddany konsultacjom społecznym oraz opiniowaniu przez Generalnego Dyrektora Ochrony Środowiska i Głównego Inspektora Sanitarnego, zgodnie z zapisami ustawy OOŚ. Ponieważ Prognoza nie wykazała możliwości oddziaływań transgranicznych, nie przeprowadzono konsultacji transgranicznych. Po zakończeniu procedury SOOŚ zostało sporządzone, zgodnie z art. 55 ust. 3 ustawy OOŚ, pisemne podsumowanie zawierające m.in. informacje, w jaki sposób zostały wzięte pod uwagę i w jakim zakresie zostały uwzględnione ustalenia zawarte w prognozie oddziaływania na środowisko, opinie właściwych organów oraz zgłoszone uwagi i wnioski. Wnioski z tego pods</w:t>
      </w:r>
      <w:r w:rsidR="009C22A6">
        <w:t>umowania stanowią załącznik nr 4</w:t>
      </w:r>
      <w:r>
        <w:t xml:space="preserve"> do Krajowego planu. </w:t>
      </w:r>
    </w:p>
    <w:p w14:paraId="166780B5" w14:textId="099D0057" w:rsidR="00084F8B" w:rsidRDefault="00084F8B" w:rsidP="007D677E">
      <w:pPr>
        <w:spacing w:before="120"/>
        <w:jc w:val="both"/>
      </w:pPr>
      <w:r>
        <w:t xml:space="preserve">Zgodnie z przepisami rozporządzenia </w:t>
      </w:r>
      <w:r w:rsidRPr="006030A8">
        <w:t xml:space="preserve">Rady Ministrów </w:t>
      </w:r>
      <w:r w:rsidRPr="003F7A86">
        <w:t>z</w:t>
      </w:r>
      <w:r w:rsidR="00891DAB">
        <w:t xml:space="preserve"> dnia 10 września 2019</w:t>
      </w:r>
      <w:r w:rsidRPr="003F7A86">
        <w:t xml:space="preserve"> r. </w:t>
      </w:r>
      <w:r w:rsidR="00412D21" w:rsidRPr="003F7A86">
        <w:t>w</w:t>
      </w:r>
      <w:r w:rsidR="00412D21">
        <w:rPr>
          <w:i/>
        </w:rPr>
        <w:t xml:space="preserve"> </w:t>
      </w:r>
      <w:r w:rsidRPr="003F7A86">
        <w:t>sprawie przedsięwzięć mogących znacząco oddziaływać na środowisko</w:t>
      </w:r>
      <w:r>
        <w:rPr>
          <w:rStyle w:val="Odwoanieprzypisudolnego"/>
        </w:rPr>
        <w:footnoteReference w:id="79"/>
      </w:r>
      <w:r w:rsidR="0007245A">
        <w:t xml:space="preserve"> </w:t>
      </w:r>
      <w:r>
        <w:t xml:space="preserve">instalacje związane z postępowaniem z wypalonym paliwem jądrowym lub odpadami promieniotwórczymi wymienione w projekcie Krajowego planu stanowią przedsięwzięcia, mogące zawsze znacząco oddziaływać na środowisko. W związku z powyższym realizacja tego </w:t>
      </w:r>
      <w:r>
        <w:lastRenderedPageBreak/>
        <w:t xml:space="preserve">rodzaju inwestycji będzie wymagała przeprowadzenia oceny oddziaływania przedsięwzięcia na środowisko zgodnie z przepisami ustawy OOŚ. W trakcie tej procedury będzie wymagane przeprowadzenie postępowania z udziałem społeczeństwa.    </w:t>
      </w:r>
    </w:p>
    <w:p w14:paraId="1BC15D1F" w14:textId="36A21F50" w:rsidR="00AD2DBC" w:rsidRDefault="00AD2DBC" w:rsidP="007D677E">
      <w:pPr>
        <w:spacing w:before="120"/>
        <w:jc w:val="both"/>
      </w:pPr>
      <w:r>
        <w:tab/>
      </w:r>
      <w:r w:rsidRPr="00AD2DBC">
        <w:t xml:space="preserve">Aktualizacja </w:t>
      </w:r>
      <w:r w:rsidR="009D21F3" w:rsidRPr="009D21F3">
        <w:rPr>
          <w:i/>
        </w:rPr>
        <w:t xml:space="preserve">Krajowego </w:t>
      </w:r>
      <w:r w:rsidR="00FA31C1" w:rsidRPr="009D21F3">
        <w:rPr>
          <w:i/>
        </w:rPr>
        <w:t>planu</w:t>
      </w:r>
      <w:r w:rsidR="00FA31C1">
        <w:t xml:space="preserve"> </w:t>
      </w:r>
      <w:r w:rsidR="00FA31C1" w:rsidRPr="00AD2DBC">
        <w:t>spełnia</w:t>
      </w:r>
      <w:r w:rsidRPr="00AD2DBC">
        <w:t xml:space="preserve"> przesłanki określone w art. 48 ustawy OOŚ, dlatego też odstąpiono od przeprowadzenia procedury strategicznej oceny oddziaływania na środowisko</w:t>
      </w:r>
      <w:r w:rsidR="0096291B">
        <w:t>.</w:t>
      </w:r>
    </w:p>
    <w:p w14:paraId="641E3F08" w14:textId="77777777" w:rsidR="00084F8B" w:rsidRPr="00962E4A" w:rsidRDefault="00084F8B" w:rsidP="00C87B85">
      <w:pPr>
        <w:spacing w:before="120" w:after="120"/>
        <w:ind w:firstLine="567"/>
        <w:jc w:val="both"/>
      </w:pPr>
    </w:p>
    <w:p w14:paraId="77650EC3" w14:textId="77777777" w:rsidR="00084F8B" w:rsidRDefault="00084F8B" w:rsidP="008D5796">
      <w:pPr>
        <w:pStyle w:val="Nagwek3"/>
      </w:pPr>
      <w:bookmarkStart w:id="204" w:name="_Toc424116766"/>
      <w:r>
        <w:t>10.3.2. Decyzje wydawane przez Prezesa PAA</w:t>
      </w:r>
      <w:bookmarkEnd w:id="203"/>
      <w:bookmarkEnd w:id="204"/>
    </w:p>
    <w:p w14:paraId="7AF44E84" w14:textId="77777777" w:rsidR="00084F8B" w:rsidRDefault="00084F8B" w:rsidP="00C87B85">
      <w:pPr>
        <w:ind w:firstLine="567"/>
        <w:jc w:val="both"/>
      </w:pPr>
      <w:r>
        <w:t>Zgodnie z ustawą – Prawo atomowe, Prezes PAA wydaje zezwolenie na budowę, eksploatację i</w:t>
      </w:r>
      <w:r w:rsidRPr="00354D40">
        <w:t xml:space="preserve"> zamknięcie składowisk odpadów promieniotwórczych</w:t>
      </w:r>
      <w:r>
        <w:t xml:space="preserve"> oraz na budowę, rozruch, eksploatację i likwidację obiektów jądrowych (art. 4 ust. 1). </w:t>
      </w:r>
    </w:p>
    <w:p w14:paraId="09750B94" w14:textId="77777777" w:rsidR="00084F8B" w:rsidRDefault="00084F8B" w:rsidP="00CF794D">
      <w:pPr>
        <w:jc w:val="both"/>
      </w:pPr>
      <w:r>
        <w:t>W obu przypadkach ustawa przewiduje analogiczne regulacje dotyczące udziału społeczeństwa w procesie decyzyjnym</w:t>
      </w:r>
      <w:r>
        <w:rPr>
          <w:rStyle w:val="Odwoanieprzypisudolnego"/>
        </w:rPr>
        <w:footnoteReference w:id="80"/>
      </w:r>
      <w:r>
        <w:t>.</w:t>
      </w:r>
    </w:p>
    <w:p w14:paraId="6A49D659" w14:textId="77777777" w:rsidR="00084F8B" w:rsidRPr="007F185B" w:rsidRDefault="00084F8B" w:rsidP="00CF794D">
      <w:pPr>
        <w:jc w:val="both"/>
      </w:pPr>
      <w:r>
        <w:t xml:space="preserve">Zgodnie z art. 55n ust. 1, Prezes PAA, </w:t>
      </w:r>
      <w:r w:rsidRPr="007F185B">
        <w:t>po otrzymaniu wniosku o wydanie zezwolenia na wykonywanie dz</w:t>
      </w:r>
      <w:r>
        <w:t xml:space="preserve">iałalności związanej </w:t>
      </w:r>
      <w:r w:rsidRPr="007F185B">
        <w:t>z narażeniem polegającej na budowie składowiska odpadów promieniotwórczych, niezwłocznie ogłasza na swoich</w:t>
      </w:r>
      <w:r>
        <w:t xml:space="preserve"> </w:t>
      </w:r>
      <w:r w:rsidRPr="007F185B">
        <w:t>stronach podmiotowych w Biuletynie Informacji Publicznej treść wniosku wraz ze skróconym raportem bezpieczeństwa</w:t>
      </w:r>
      <w:r>
        <w:t xml:space="preserve"> </w:t>
      </w:r>
      <w:r w:rsidRPr="007F185B">
        <w:t>oraz informacje o:</w:t>
      </w:r>
    </w:p>
    <w:p w14:paraId="2DB10D45" w14:textId="77777777" w:rsidR="00084F8B" w:rsidRPr="007F185B" w:rsidRDefault="00084F8B" w:rsidP="008530B2">
      <w:pPr>
        <w:numPr>
          <w:ilvl w:val="1"/>
          <w:numId w:val="121"/>
        </w:numPr>
        <w:ind w:left="728"/>
        <w:jc w:val="both"/>
      </w:pPr>
      <w:r w:rsidRPr="007F185B">
        <w:t>wszczęciu postępowania w sprawie wydania zezwolenia na budowę składowiska;</w:t>
      </w:r>
    </w:p>
    <w:p w14:paraId="7C56C9FC" w14:textId="77777777" w:rsidR="00084F8B" w:rsidRPr="00D40CB6" w:rsidRDefault="00084F8B" w:rsidP="008530B2">
      <w:pPr>
        <w:numPr>
          <w:ilvl w:val="1"/>
          <w:numId w:val="121"/>
        </w:numPr>
        <w:ind w:left="728"/>
        <w:jc w:val="both"/>
      </w:pPr>
      <w:r w:rsidRPr="00D40CB6">
        <w:t>możliwości składania uwag i wniosków;</w:t>
      </w:r>
    </w:p>
    <w:p w14:paraId="288FB20C" w14:textId="77777777" w:rsidR="00084F8B" w:rsidRPr="007F185B" w:rsidRDefault="00084F8B" w:rsidP="008530B2">
      <w:pPr>
        <w:numPr>
          <w:ilvl w:val="1"/>
          <w:numId w:val="121"/>
        </w:numPr>
        <w:ind w:left="728"/>
        <w:jc w:val="both"/>
      </w:pPr>
      <w:r w:rsidRPr="007F185B">
        <w:t>sposobie i miejscu składania uwag i wniosków, wskazując jednocześnie 21-dniowy termin ich składania;</w:t>
      </w:r>
    </w:p>
    <w:p w14:paraId="2BAE469C" w14:textId="77777777" w:rsidR="00084F8B" w:rsidRPr="00F61D98" w:rsidRDefault="00084F8B" w:rsidP="008530B2">
      <w:pPr>
        <w:numPr>
          <w:ilvl w:val="1"/>
          <w:numId w:val="121"/>
        </w:numPr>
        <w:ind w:left="728"/>
        <w:jc w:val="both"/>
      </w:pPr>
      <w:r w:rsidRPr="007F185B">
        <w:t>terminie i miejscu rozprawy administracyjnej.</w:t>
      </w:r>
    </w:p>
    <w:p w14:paraId="57D796C0" w14:textId="77777777" w:rsidR="00084F8B" w:rsidRDefault="00084F8B" w:rsidP="00C57194">
      <w:pPr>
        <w:jc w:val="both"/>
      </w:pPr>
      <w:r>
        <w:t xml:space="preserve"> Szczególnymi regulacjami ustawy – Prawo atomowe gwarantującymi udział społeczeństwa są</w:t>
      </w:r>
      <w:r w:rsidR="007B6B5D">
        <w:t>:</w:t>
      </w:r>
      <w:r>
        <w:t xml:space="preserve"> </w:t>
      </w:r>
    </w:p>
    <w:p w14:paraId="04BF39EA" w14:textId="77777777" w:rsidR="00084F8B" w:rsidRDefault="00084F8B" w:rsidP="00816871">
      <w:pPr>
        <w:numPr>
          <w:ilvl w:val="0"/>
          <w:numId w:val="127"/>
        </w:numPr>
        <w:jc w:val="both"/>
      </w:pPr>
      <w:r>
        <w:t>art. 55n ust. 3, który stanowi, że r</w:t>
      </w:r>
      <w:r w:rsidRPr="00EC3CA6">
        <w:t>ozprawa, o której mowa w art. 89 ustawy z dnia 14 czerwca 1960 r. – Kodeks postęp</w:t>
      </w:r>
      <w:r>
        <w:t>owania administracyjnego, jest otwarta dla społeczeństwa</w:t>
      </w:r>
      <w:r w:rsidR="007B6B5D">
        <w:t>;</w:t>
      </w:r>
      <w:r>
        <w:t xml:space="preserve"> </w:t>
      </w:r>
    </w:p>
    <w:p w14:paraId="371D8AA5" w14:textId="21F2013A" w:rsidR="00084F8B" w:rsidRDefault="00084F8B" w:rsidP="00816871">
      <w:pPr>
        <w:numPr>
          <w:ilvl w:val="0"/>
          <w:numId w:val="127"/>
        </w:numPr>
        <w:jc w:val="both"/>
      </w:pPr>
      <w:r>
        <w:t xml:space="preserve">art. 55n ust. 4, </w:t>
      </w:r>
      <w:r w:rsidR="00412D21">
        <w:t xml:space="preserve">zgodnie </w:t>
      </w:r>
      <w:r>
        <w:t xml:space="preserve">z którym </w:t>
      </w:r>
      <w:r w:rsidRPr="00EC3CA6">
        <w:t xml:space="preserve">Prezes </w:t>
      </w:r>
      <w:r>
        <w:t>PAA</w:t>
      </w:r>
      <w:r w:rsidRPr="00EC3CA6">
        <w:t xml:space="preserve"> </w:t>
      </w:r>
      <w:r w:rsidR="00412D21" w:rsidRPr="00EC3CA6">
        <w:t>w</w:t>
      </w:r>
      <w:r w:rsidR="00412D21">
        <w:t xml:space="preserve"> </w:t>
      </w:r>
      <w:r w:rsidRPr="00EC3CA6">
        <w:t>uzasadnieniu decyzji podaje informacje o udziale społeczeń</w:t>
      </w:r>
      <w:r>
        <w:t xml:space="preserve">stwa w postępowaniu oraz o tym, </w:t>
      </w:r>
      <w:r w:rsidRPr="00EC3CA6">
        <w:t xml:space="preserve">w jaki sposób zostały uwzględnione </w:t>
      </w:r>
      <w:r>
        <w:t xml:space="preserve">zgłoszone uwagi i wnioski. </w:t>
      </w:r>
    </w:p>
    <w:p w14:paraId="793CFD53" w14:textId="77777777" w:rsidR="009D21F3" w:rsidRPr="009D21F3" w:rsidRDefault="009D21F3" w:rsidP="009D21F3">
      <w:pPr>
        <w:jc w:val="both"/>
        <w:rPr>
          <w:rFonts w:ascii="Times New Roman" w:hAnsi="Times New Roman"/>
          <w:sz w:val="24"/>
          <w:szCs w:val="24"/>
        </w:rPr>
      </w:pPr>
    </w:p>
    <w:p w14:paraId="132A3433" w14:textId="77777777" w:rsidR="00084F8B" w:rsidRDefault="00084F8B" w:rsidP="00C87B85">
      <w:pPr>
        <w:pStyle w:val="Nagwek2"/>
      </w:pPr>
      <w:bookmarkStart w:id="205" w:name="_Toc424116767"/>
      <w:r>
        <w:t>10.4.</w:t>
      </w:r>
      <w:r w:rsidRPr="00F61D98">
        <w:t xml:space="preserve"> </w:t>
      </w:r>
      <w:r>
        <w:t>Opłata za lokalizację KSOP na terenie gminy</w:t>
      </w:r>
      <w:bookmarkEnd w:id="205"/>
      <w:r w:rsidRPr="00F61D98">
        <w:t xml:space="preserve"> </w:t>
      </w:r>
    </w:p>
    <w:p w14:paraId="55213974" w14:textId="73E0C66D" w:rsidR="00084F8B" w:rsidRDefault="00084F8B" w:rsidP="00C87B8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 xml:space="preserve">Gminie, na terenie, której zlokalizowane jest KSOP, w okresie eksploatacji składowiska przysługuje coroczna opłata z budżetu państwa w wysokości 400% dochodu gminy z tytułu podatku od nieruchomości uzyskanych w roku poprzednim, jednak nie większa niż 10 500 tys. zł. </w:t>
      </w:r>
      <w:r w:rsidR="00412D21">
        <w:rPr>
          <w:color w:val="000000"/>
        </w:rPr>
        <w:t xml:space="preserve">Po </w:t>
      </w:r>
      <w:r>
        <w:rPr>
          <w:color w:val="000000"/>
        </w:rPr>
        <w:t>podjęciu decyzji o zamknięciu składowiska gminie przysługuje opłata w wysokości 50% dochodu gminy z tytułu podatku od nieruchomości uzyskanych w roku zamknięcia, przez okres równy okresowi eksploatacji składowiska.</w:t>
      </w:r>
      <w:r>
        <w:rPr>
          <w:rStyle w:val="Odwoanieprzypisudolnego"/>
          <w:color w:val="000000"/>
        </w:rPr>
        <w:footnoteReference w:id="81"/>
      </w:r>
      <w:r>
        <w:rPr>
          <w:color w:val="000000"/>
        </w:rPr>
        <w:t xml:space="preserve"> </w:t>
      </w:r>
    </w:p>
    <w:p w14:paraId="7C27AD69" w14:textId="193483AB" w:rsidR="009D21F3" w:rsidRDefault="009D21F3" w:rsidP="00980222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9D21F3">
        <w:rPr>
          <w:color w:val="000000"/>
        </w:rPr>
        <w:t>Gmina, która otrzymała opłatę, o której mowa w art. 57, upowszechnia na swoim terenie informację o wykorzystaniu tej opłaty. W informacji wskazuje się w szczególności podstawę otrzymywania opłaty przez gminę, kwotę opłaty otrzymaną w roku poprzednim oraz jej procentowy udział w dochodach i wydatkach gminy</w:t>
      </w:r>
    </w:p>
    <w:p w14:paraId="076488CE" w14:textId="1D4D0DFF" w:rsidR="00084F8B" w:rsidRPr="009A02AF" w:rsidRDefault="00084F8B" w:rsidP="009D21F3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color w:val="000000"/>
        </w:rPr>
        <w:t xml:space="preserve">Opłata z budżetu państwa przysługuje gminie niezależnie od rodzaju odpadów promieniotwórczych składowanych na składowisku. Warunkiem jest uznanie składowiska za KSOP, stosownie do art. 53 ust. 2 ustawy – Prawo atomowe. </w:t>
      </w:r>
      <w:r>
        <w:br w:type="page"/>
      </w:r>
    </w:p>
    <w:p w14:paraId="36E0F7D7" w14:textId="2B350A6A" w:rsidR="00084F8B" w:rsidRPr="0012437C" w:rsidRDefault="00084F8B" w:rsidP="002E58C9">
      <w:pPr>
        <w:pStyle w:val="Nagwek1"/>
        <w:jc w:val="center"/>
        <w:rPr>
          <w:sz w:val="24"/>
          <w:szCs w:val="24"/>
        </w:rPr>
      </w:pPr>
      <w:bookmarkStart w:id="206" w:name="_Toc397697071"/>
      <w:bookmarkStart w:id="207" w:name="_Toc424116768"/>
      <w:r w:rsidRPr="0012437C">
        <w:rPr>
          <w:sz w:val="24"/>
          <w:szCs w:val="24"/>
        </w:rPr>
        <w:lastRenderedPageBreak/>
        <w:t xml:space="preserve">Załącznik nr 1. Program działań wykonawczych </w:t>
      </w:r>
      <w:bookmarkEnd w:id="206"/>
      <w:bookmarkEnd w:id="207"/>
    </w:p>
    <w:p w14:paraId="6F90C500" w14:textId="77777777" w:rsidR="00084F8B" w:rsidRDefault="00084F8B" w:rsidP="00F738CD">
      <w:pPr>
        <w:jc w:val="center"/>
        <w:rPr>
          <w:b/>
          <w:sz w:val="32"/>
          <w:szCs w:val="32"/>
        </w:rPr>
      </w:pPr>
    </w:p>
    <w:p w14:paraId="1FE27F4C" w14:textId="77777777" w:rsidR="00084F8B" w:rsidRDefault="00084F8B" w:rsidP="009A02AF">
      <w:pPr>
        <w:rPr>
          <w:b/>
          <w:sz w:val="32"/>
          <w:szCs w:val="32"/>
        </w:rPr>
      </w:pPr>
    </w:p>
    <w:p w14:paraId="4F3A4879" w14:textId="77777777" w:rsidR="00084F8B" w:rsidRDefault="00084F8B" w:rsidP="00F738CD">
      <w:pPr>
        <w:jc w:val="center"/>
        <w:rPr>
          <w:b/>
        </w:rPr>
      </w:pPr>
      <w:r>
        <w:rPr>
          <w:b/>
        </w:rPr>
        <w:t>Spis treści</w:t>
      </w:r>
    </w:p>
    <w:p w14:paraId="09FB16D6" w14:textId="77777777" w:rsidR="00084F8B" w:rsidRDefault="00084F8B" w:rsidP="00F738CD"/>
    <w:p w14:paraId="00A7D129" w14:textId="77777777" w:rsidR="00084F8B" w:rsidRPr="005D64AE" w:rsidRDefault="00084F8B" w:rsidP="008833A1">
      <w:pPr>
        <w:pStyle w:val="Spistreci1"/>
        <w:rPr>
          <w:noProof/>
          <w:szCs w:val="24"/>
        </w:rPr>
      </w:pPr>
      <w:r>
        <w:t>Działanie</w:t>
      </w: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09418999" w:history="1">
        <w:r>
          <w:rPr>
            <w:rStyle w:val="Hipercze"/>
            <w:noProof/>
          </w:rPr>
          <w:t xml:space="preserve"> I.</w:t>
        </w:r>
        <w:r>
          <w:rPr>
            <w:noProof/>
            <w:szCs w:val="24"/>
          </w:rPr>
          <w:tab/>
          <w:t xml:space="preserve"> Postępowanie z</w:t>
        </w:r>
        <w:r w:rsidRPr="00F74164">
          <w:rPr>
            <w:color w:val="000000"/>
          </w:rPr>
          <w:t xml:space="preserve"> odpad</w:t>
        </w:r>
        <w:r>
          <w:rPr>
            <w:color w:val="000000"/>
          </w:rPr>
          <w:t>ami</w:t>
        </w:r>
        <w:r w:rsidRPr="00F74164">
          <w:rPr>
            <w:color w:val="000000"/>
          </w:rPr>
          <w:t xml:space="preserve"> promieniotwórczy</w:t>
        </w:r>
        <w:r>
          <w:rPr>
            <w:color w:val="000000"/>
          </w:rPr>
          <w:t>mi</w:t>
        </w:r>
        <w:r w:rsidRPr="008833A1">
          <w:t xml:space="preserve"> </w:t>
        </w:r>
        <w:r w:rsidRPr="008833A1">
          <w:rPr>
            <w:color w:val="000000"/>
          </w:rPr>
          <w:t>nisko- i średnioaktywnymi</w:t>
        </w:r>
        <w:r>
          <w:rPr>
            <w:color w:val="000000"/>
          </w:rPr>
          <w:t>:</w:t>
        </w:r>
        <w:r w:rsidRPr="00F74164">
          <w:t xml:space="preserve"> </w:t>
        </w:r>
        <w:r>
          <w:rPr>
            <w:rStyle w:val="Hipercze"/>
            <w:noProof/>
          </w:rPr>
          <w:t xml:space="preserve"> </w:t>
        </w:r>
        <w:r>
          <w:rPr>
            <w:rStyle w:val="Hipercze"/>
            <w:noProof/>
          </w:rPr>
          <w:tab/>
        </w:r>
      </w:hyperlink>
    </w:p>
    <w:p w14:paraId="410FB4F6" w14:textId="77777777" w:rsidR="00084F8B" w:rsidRPr="00697540" w:rsidRDefault="00084F8B" w:rsidP="00862CF9">
      <w:pPr>
        <w:pStyle w:val="Spistreci2"/>
        <w:rPr>
          <w:rStyle w:val="Hipercze"/>
          <w:color w:val="auto"/>
          <w:u w:val="none"/>
        </w:rPr>
      </w:pPr>
      <w:r w:rsidRPr="00697540">
        <w:rPr>
          <w:rStyle w:val="Hipercze"/>
          <w:color w:val="auto"/>
          <w:u w:val="none"/>
        </w:rPr>
        <w:t xml:space="preserve">1. Przygotowanie do zamknięcia i ostateczne zamknięcie </w:t>
      </w:r>
      <w:r>
        <w:rPr>
          <w:rStyle w:val="Hipercze"/>
          <w:color w:val="auto"/>
          <w:u w:val="none"/>
        </w:rPr>
        <w:t>KSOP Różan.</w:t>
      </w:r>
      <w:r w:rsidRPr="00697540">
        <w:rPr>
          <w:rStyle w:val="Hipercze"/>
          <w:color w:val="auto"/>
          <w:u w:val="none"/>
        </w:rPr>
        <w:t xml:space="preserve"> </w:t>
      </w:r>
      <w:r w:rsidRPr="00697540">
        <w:rPr>
          <w:rStyle w:val="Hipercze"/>
          <w:color w:val="auto"/>
          <w:u w:val="none"/>
        </w:rPr>
        <w:tab/>
      </w:r>
    </w:p>
    <w:p w14:paraId="129E1B83" w14:textId="77777777" w:rsidR="00084F8B" w:rsidRPr="00697540" w:rsidRDefault="00084F8B" w:rsidP="00862CF9">
      <w:pPr>
        <w:pStyle w:val="Spistreci2"/>
        <w:rPr>
          <w:rStyle w:val="Hipercze"/>
          <w:color w:val="auto"/>
          <w:u w:val="none"/>
        </w:rPr>
      </w:pPr>
      <w:r w:rsidRPr="00697540">
        <w:rPr>
          <w:rStyle w:val="Hipercze"/>
          <w:color w:val="auto"/>
          <w:u w:val="none"/>
        </w:rPr>
        <w:t>2. Wybór lokalizacji</w:t>
      </w:r>
      <w:r w:rsidR="004F477A">
        <w:rPr>
          <w:rStyle w:val="Hipercze"/>
          <w:color w:val="auto"/>
          <w:u w:val="none"/>
        </w:rPr>
        <w:t xml:space="preserve"> i przygotowanie do</w:t>
      </w:r>
      <w:r w:rsidRPr="00697540">
        <w:rPr>
          <w:rStyle w:val="Hipercze"/>
          <w:color w:val="auto"/>
          <w:u w:val="none"/>
        </w:rPr>
        <w:t xml:space="preserve"> budow</w:t>
      </w:r>
      <w:r w:rsidR="004F477A">
        <w:rPr>
          <w:rStyle w:val="Hipercze"/>
          <w:color w:val="auto"/>
          <w:u w:val="none"/>
        </w:rPr>
        <w:t>y</w:t>
      </w:r>
      <w:r w:rsidRPr="00697540">
        <w:rPr>
          <w:rStyle w:val="Hipercze"/>
          <w:color w:val="auto"/>
          <w:u w:val="none"/>
        </w:rPr>
        <w:t xml:space="preserve"> </w:t>
      </w:r>
      <w:r>
        <w:rPr>
          <w:rStyle w:val="Hipercze"/>
          <w:color w:val="auto"/>
          <w:u w:val="none"/>
        </w:rPr>
        <w:t>NSPOP.</w:t>
      </w:r>
      <w:r w:rsidRPr="00697540">
        <w:rPr>
          <w:rStyle w:val="Hipercze"/>
          <w:color w:val="auto"/>
          <w:u w:val="none"/>
        </w:rPr>
        <w:t xml:space="preserve"> </w:t>
      </w:r>
      <w:r w:rsidRPr="00697540">
        <w:rPr>
          <w:rStyle w:val="Hipercze"/>
          <w:color w:val="auto"/>
          <w:u w:val="none"/>
        </w:rPr>
        <w:tab/>
      </w:r>
    </w:p>
    <w:p w14:paraId="56921CDF" w14:textId="77777777" w:rsidR="00084F8B" w:rsidRPr="00697540" w:rsidRDefault="00084F8B" w:rsidP="008833A1">
      <w:pPr>
        <w:pStyle w:val="Spistreci1"/>
        <w:rPr>
          <w:rStyle w:val="Hipercze"/>
          <w:noProof/>
          <w:color w:val="auto"/>
          <w:u w:val="none"/>
        </w:rPr>
      </w:pPr>
      <w:r w:rsidRPr="00697540">
        <w:rPr>
          <w:rStyle w:val="Hipercze"/>
          <w:noProof/>
          <w:color w:val="auto"/>
          <w:u w:val="none"/>
        </w:rPr>
        <w:t>Działanie II.</w:t>
      </w:r>
      <w:r w:rsidRPr="00697540">
        <w:rPr>
          <w:noProof/>
          <w:szCs w:val="24"/>
        </w:rPr>
        <w:tab/>
      </w:r>
      <w:r>
        <w:rPr>
          <w:noProof/>
          <w:szCs w:val="24"/>
        </w:rPr>
        <w:t xml:space="preserve">Postępowanie z </w:t>
      </w:r>
      <w:r w:rsidRPr="00697540">
        <w:rPr>
          <w:noProof/>
          <w:szCs w:val="24"/>
        </w:rPr>
        <w:t>wysokoaktywnymi odpad</w:t>
      </w:r>
      <w:r>
        <w:rPr>
          <w:noProof/>
          <w:szCs w:val="24"/>
        </w:rPr>
        <w:t>a</w:t>
      </w:r>
      <w:r w:rsidRPr="00697540">
        <w:rPr>
          <w:noProof/>
          <w:szCs w:val="24"/>
        </w:rPr>
        <w:t>mi promieniotwórczymi i wy</w:t>
      </w:r>
      <w:r>
        <w:rPr>
          <w:noProof/>
          <w:szCs w:val="24"/>
        </w:rPr>
        <w:t>p</w:t>
      </w:r>
      <w:r w:rsidRPr="00697540">
        <w:rPr>
          <w:noProof/>
          <w:szCs w:val="24"/>
        </w:rPr>
        <w:t>alonym paliwem jądrowym</w:t>
      </w:r>
      <w:r>
        <w:rPr>
          <w:noProof/>
          <w:szCs w:val="24"/>
        </w:rPr>
        <w:t>.</w:t>
      </w:r>
      <w:r w:rsidRPr="00697540">
        <w:rPr>
          <w:noProof/>
          <w:webHidden/>
        </w:rPr>
        <w:tab/>
      </w:r>
    </w:p>
    <w:p w14:paraId="3E6A7E43" w14:textId="77777777" w:rsidR="00084F8B" w:rsidRPr="00697540" w:rsidRDefault="00084F8B" w:rsidP="008833A1">
      <w:pPr>
        <w:pStyle w:val="Spistreci1"/>
        <w:rPr>
          <w:noProof/>
          <w:webHidden/>
        </w:rPr>
      </w:pPr>
      <w:r w:rsidRPr="00697540">
        <w:rPr>
          <w:rStyle w:val="Hipercze"/>
          <w:noProof/>
          <w:color w:val="auto"/>
          <w:u w:val="none"/>
        </w:rPr>
        <w:t>Działanie III.</w:t>
      </w:r>
      <w:r w:rsidRPr="00697540">
        <w:rPr>
          <w:noProof/>
          <w:szCs w:val="24"/>
        </w:rPr>
        <w:t xml:space="preserve"> </w:t>
      </w:r>
      <w:r>
        <w:rPr>
          <w:noProof/>
          <w:szCs w:val="24"/>
        </w:rPr>
        <w:tab/>
      </w:r>
      <w:r>
        <w:t>Modyfikacja</w:t>
      </w:r>
      <w:r w:rsidRPr="008D0D4C">
        <w:t xml:space="preserve"> </w:t>
      </w:r>
      <w:r>
        <w:t>zasad postępowania z</w:t>
      </w:r>
      <w:r w:rsidRPr="008D0D4C">
        <w:t xml:space="preserve"> odpadami promieniotwórczymi </w:t>
      </w:r>
      <w:r>
        <w:t>i wypalonym paliwem jądrowym oraz likwidacji elektrowni jądrowych.</w:t>
      </w:r>
      <w:r w:rsidRPr="00697540">
        <w:rPr>
          <w:rStyle w:val="Hipercze"/>
          <w:noProof/>
          <w:color w:val="auto"/>
          <w:u w:val="none"/>
        </w:rPr>
        <w:t xml:space="preserve"> </w:t>
      </w:r>
      <w:r w:rsidRPr="00697540">
        <w:rPr>
          <w:noProof/>
          <w:webHidden/>
        </w:rPr>
        <w:tab/>
      </w:r>
    </w:p>
    <w:p w14:paraId="167AB5B8" w14:textId="77777777" w:rsidR="00084F8B" w:rsidRPr="00697540" w:rsidRDefault="00084F8B" w:rsidP="008833A1">
      <w:pPr>
        <w:pStyle w:val="Spistreci1"/>
        <w:rPr>
          <w:rStyle w:val="Hipercze"/>
          <w:noProof/>
          <w:u w:val="none"/>
        </w:rPr>
      </w:pPr>
      <w:r w:rsidRPr="00697540">
        <w:rPr>
          <w:rStyle w:val="Hipercze"/>
          <w:noProof/>
          <w:color w:val="auto"/>
          <w:u w:val="none"/>
        </w:rPr>
        <w:t>Działanie IV.</w:t>
      </w:r>
      <w:r>
        <w:rPr>
          <w:rStyle w:val="Hipercze"/>
          <w:noProof/>
          <w:color w:val="auto"/>
          <w:u w:val="none"/>
        </w:rPr>
        <w:tab/>
      </w:r>
      <w:r w:rsidRPr="00697540">
        <w:t xml:space="preserve">Stworzenie programu naukowo-badawczego dotyczącego </w:t>
      </w:r>
      <w:r>
        <w:t>postępowania z</w:t>
      </w:r>
      <w:r w:rsidRPr="00697540">
        <w:t xml:space="preserve"> odpadami promieniotwórczymi i wypalonym paliwem jądrowym</w:t>
      </w:r>
      <w:r>
        <w:t>.</w:t>
      </w:r>
      <w:r w:rsidRPr="00697540">
        <w:rPr>
          <w:rStyle w:val="Hipercze"/>
          <w:noProof/>
          <w:u w:val="none"/>
        </w:rPr>
        <w:t xml:space="preserve"> </w:t>
      </w:r>
      <w:r w:rsidRPr="00697540">
        <w:rPr>
          <w:noProof/>
          <w:webHidden/>
        </w:rPr>
        <w:tab/>
      </w:r>
    </w:p>
    <w:p w14:paraId="7C9A2477" w14:textId="77777777" w:rsidR="00084F8B" w:rsidRDefault="00FF23BC" w:rsidP="008833A1">
      <w:pPr>
        <w:pStyle w:val="Spistreci1"/>
        <w:rPr>
          <w:rStyle w:val="Hipercze"/>
          <w:noProof/>
        </w:rPr>
      </w:pPr>
      <w:hyperlink w:anchor="_Toc209419006" w:history="1">
        <w:r w:rsidR="00084F8B" w:rsidRPr="00697540">
          <w:rPr>
            <w:rStyle w:val="Hipercze"/>
            <w:noProof/>
            <w:u w:val="none"/>
          </w:rPr>
          <w:t>Działanie V.</w:t>
        </w:r>
        <w:r w:rsidR="00084F8B">
          <w:rPr>
            <w:rStyle w:val="Hipercze"/>
            <w:noProof/>
            <w:u w:val="none"/>
          </w:rPr>
          <w:tab/>
        </w:r>
        <w:r w:rsidR="00084F8B" w:rsidRPr="00697540">
          <w:t>Przygotowanie kadr dla krajowych instytucji zaangażowanych w postępowanie z odpadami promieniotwórczymi</w:t>
        </w:r>
        <w:r w:rsidR="00084F8B" w:rsidRPr="008B15C9">
          <w:t xml:space="preserve"> </w:t>
        </w:r>
        <w:r w:rsidR="00084F8B" w:rsidRPr="00697540">
          <w:t>i wypalonym paliwem jądrowym</w:t>
        </w:r>
        <w:r w:rsidR="00084F8B">
          <w:t>.</w:t>
        </w:r>
        <w:r w:rsidR="00084F8B" w:rsidRPr="00697540">
          <w:t xml:space="preserve"> </w:t>
        </w:r>
        <w:r w:rsidR="00084F8B" w:rsidRPr="00697540">
          <w:rPr>
            <w:rStyle w:val="Hipercze"/>
            <w:noProof/>
            <w:u w:val="none"/>
          </w:rPr>
          <w:t xml:space="preserve"> </w:t>
        </w:r>
        <w:r w:rsidR="00084F8B" w:rsidRPr="00697540">
          <w:rPr>
            <w:noProof/>
            <w:webHidden/>
          </w:rPr>
          <w:tab/>
        </w:r>
      </w:hyperlink>
    </w:p>
    <w:p w14:paraId="4075D427" w14:textId="77777777" w:rsidR="00084F8B" w:rsidRDefault="00084F8B" w:rsidP="008833A1"/>
    <w:p w14:paraId="0358BDCE" w14:textId="77777777" w:rsidR="00084F8B" w:rsidRDefault="00084F8B" w:rsidP="008833A1"/>
    <w:p w14:paraId="7E762EF2" w14:textId="77777777" w:rsidR="00084F8B" w:rsidRDefault="00084F8B" w:rsidP="008833A1"/>
    <w:p w14:paraId="16F3F313" w14:textId="77777777" w:rsidR="00084F8B" w:rsidRDefault="00084F8B" w:rsidP="008833A1"/>
    <w:p w14:paraId="27C0EECE" w14:textId="77777777" w:rsidR="00084F8B" w:rsidRDefault="00084F8B" w:rsidP="008833A1"/>
    <w:p w14:paraId="2F961294" w14:textId="77777777" w:rsidR="00084F8B" w:rsidRDefault="00084F8B" w:rsidP="008833A1"/>
    <w:p w14:paraId="2B538505" w14:textId="77777777" w:rsidR="00084F8B" w:rsidRDefault="00084F8B" w:rsidP="008833A1"/>
    <w:p w14:paraId="3E22CEB5" w14:textId="77777777" w:rsidR="00084F8B" w:rsidRDefault="00084F8B" w:rsidP="008833A1"/>
    <w:p w14:paraId="5860D0F1" w14:textId="77777777" w:rsidR="00084F8B" w:rsidRDefault="00084F8B" w:rsidP="008833A1"/>
    <w:p w14:paraId="153C8991" w14:textId="77777777" w:rsidR="00084F8B" w:rsidRDefault="00084F8B" w:rsidP="008833A1"/>
    <w:p w14:paraId="4E763540" w14:textId="77777777" w:rsidR="00084F8B" w:rsidRDefault="00084F8B" w:rsidP="008833A1"/>
    <w:p w14:paraId="27E5AD38" w14:textId="77777777" w:rsidR="00084F8B" w:rsidRDefault="00084F8B" w:rsidP="008833A1"/>
    <w:p w14:paraId="3133166F" w14:textId="77777777" w:rsidR="00084F8B" w:rsidRDefault="00084F8B" w:rsidP="008833A1"/>
    <w:p w14:paraId="0FF0790B" w14:textId="77777777" w:rsidR="00084F8B" w:rsidRDefault="00084F8B" w:rsidP="008833A1"/>
    <w:p w14:paraId="176050DF" w14:textId="77777777" w:rsidR="00084F8B" w:rsidRDefault="00084F8B" w:rsidP="008833A1"/>
    <w:p w14:paraId="650B457D" w14:textId="77777777" w:rsidR="00084F8B" w:rsidRDefault="00084F8B" w:rsidP="008833A1"/>
    <w:p w14:paraId="7C75BB60" w14:textId="77777777" w:rsidR="00084F8B" w:rsidRDefault="00084F8B" w:rsidP="008833A1"/>
    <w:p w14:paraId="4BA25274" w14:textId="77777777" w:rsidR="00084F8B" w:rsidRDefault="00084F8B" w:rsidP="008833A1"/>
    <w:p w14:paraId="2D41FA4B" w14:textId="77777777" w:rsidR="00084F8B" w:rsidRDefault="00084F8B" w:rsidP="008833A1"/>
    <w:p w14:paraId="572BD407" w14:textId="77777777" w:rsidR="00084F8B" w:rsidRDefault="00084F8B" w:rsidP="008833A1"/>
    <w:p w14:paraId="47720701" w14:textId="77777777" w:rsidR="00084F8B" w:rsidRDefault="00084F8B" w:rsidP="008833A1"/>
    <w:p w14:paraId="7C8391DE" w14:textId="77777777" w:rsidR="00084F8B" w:rsidRDefault="00084F8B" w:rsidP="008833A1"/>
    <w:p w14:paraId="5E7FF00D" w14:textId="77777777" w:rsidR="00084F8B" w:rsidRPr="00295194" w:rsidRDefault="00084F8B" w:rsidP="008833A1"/>
    <w:p w14:paraId="6D290D0B" w14:textId="77777777" w:rsidR="00084F8B" w:rsidRDefault="00084F8B" w:rsidP="008833A1">
      <w:r>
        <w:fldChar w:fldCharType="end"/>
      </w:r>
      <w:r>
        <w:br w:type="page"/>
      </w:r>
    </w:p>
    <w:p w14:paraId="5AE65588" w14:textId="164BDD77" w:rsidR="00084F8B" w:rsidRDefault="00084F8B" w:rsidP="008D5796">
      <w:pPr>
        <w:pStyle w:val="Nagwek2"/>
      </w:pPr>
      <w:bookmarkStart w:id="208" w:name="_Toc209418999"/>
      <w:bookmarkStart w:id="209" w:name="_Toc397697072"/>
      <w:bookmarkStart w:id="210" w:name="_Toc424116769"/>
      <w:r>
        <w:lastRenderedPageBreak/>
        <w:t xml:space="preserve">Działanie I.  </w:t>
      </w:r>
      <w:bookmarkEnd w:id="208"/>
      <w:r>
        <w:t xml:space="preserve">Postępowanie z </w:t>
      </w:r>
      <w:r w:rsidRPr="00295194">
        <w:t>odpadami promieniotwórczymi</w:t>
      </w:r>
      <w:r>
        <w:t xml:space="preserve"> </w:t>
      </w:r>
      <w:r w:rsidRPr="00295194">
        <w:t>nisko</w:t>
      </w:r>
      <w:r w:rsidR="004F025D">
        <w:t xml:space="preserve"> </w:t>
      </w:r>
      <w:r w:rsidRPr="00295194">
        <w:t xml:space="preserve">- </w:t>
      </w:r>
      <w:r w:rsidR="004F025D">
        <w:br/>
      </w:r>
      <w:r w:rsidRPr="00295194">
        <w:t>i średnioaktywnymi</w:t>
      </w:r>
      <w:bookmarkEnd w:id="209"/>
      <w:bookmarkEnd w:id="210"/>
    </w:p>
    <w:p w14:paraId="516C2A08" w14:textId="77777777" w:rsidR="00084F8B" w:rsidRPr="00414FD4" w:rsidRDefault="00084F8B" w:rsidP="00F11ED8"/>
    <w:p w14:paraId="3D9556C3" w14:textId="77777777" w:rsidR="00084F8B" w:rsidRPr="00414FD4" w:rsidRDefault="00084F8B" w:rsidP="00F11ED8">
      <w:r w:rsidRPr="00414FD4">
        <w:rPr>
          <w:rStyle w:val="Hipercze"/>
          <w:color w:val="auto"/>
          <w:u w:val="none"/>
        </w:rPr>
        <w:t xml:space="preserve">1. Przygotowanie do zamknięcia i ostateczne zamknięcie </w:t>
      </w:r>
      <w:r>
        <w:rPr>
          <w:rStyle w:val="Hipercze"/>
          <w:color w:val="auto"/>
          <w:u w:val="none"/>
        </w:rPr>
        <w:t>KSOP Różan.</w:t>
      </w:r>
    </w:p>
    <w:p w14:paraId="252E5939" w14:textId="77777777" w:rsidR="00084F8B" w:rsidRDefault="00084F8B" w:rsidP="00F738CD"/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40"/>
      </w:tblGrid>
      <w:tr w:rsidR="00084F8B" w:rsidRPr="00800F6F" w14:paraId="5E827630" w14:textId="77777777" w:rsidTr="0012437C">
        <w:trPr>
          <w:trHeight w:val="903"/>
        </w:trPr>
        <w:tc>
          <w:tcPr>
            <w:tcW w:w="1620" w:type="dxa"/>
            <w:shd w:val="clear" w:color="auto" w:fill="92D050"/>
            <w:vAlign w:val="center"/>
          </w:tcPr>
          <w:p w14:paraId="7E21A623" w14:textId="77777777" w:rsidR="00084F8B" w:rsidRPr="00800F6F" w:rsidRDefault="00084F8B" w:rsidP="00414FD4">
            <w:pPr>
              <w:rPr>
                <w:b/>
                <w:color w:val="FFFFFF"/>
              </w:rPr>
            </w:pPr>
            <w:r w:rsidRPr="00800F6F">
              <w:rPr>
                <w:b/>
                <w:color w:val="FFFFFF"/>
              </w:rPr>
              <w:t>Działanie 1.1.1.</w:t>
            </w:r>
          </w:p>
        </w:tc>
        <w:tc>
          <w:tcPr>
            <w:tcW w:w="7740" w:type="dxa"/>
            <w:shd w:val="clear" w:color="auto" w:fill="92D050"/>
            <w:vAlign w:val="center"/>
          </w:tcPr>
          <w:p w14:paraId="6BEF8306" w14:textId="2FEF3831" w:rsidR="00084F8B" w:rsidRPr="00800F6F" w:rsidRDefault="00084F8B" w:rsidP="00F738CD">
            <w:pPr>
              <w:jc w:val="both"/>
              <w:rPr>
                <w:b/>
                <w:color w:val="FFFFFF"/>
              </w:rPr>
            </w:pPr>
            <w:r w:rsidRPr="00800F6F">
              <w:rPr>
                <w:rFonts w:eastAsia="MS Mincho"/>
                <w:b/>
                <w:color w:val="FFFFFF"/>
                <w:lang w:eastAsia="ja-JP"/>
              </w:rPr>
              <w:t>Ocena bezpieczeńs</w:t>
            </w:r>
            <w:r w:rsidR="00C618FB">
              <w:rPr>
                <w:rFonts w:eastAsia="MS Mincho"/>
                <w:b/>
                <w:color w:val="FFFFFF"/>
                <w:lang w:eastAsia="ja-JP"/>
              </w:rPr>
              <w:t xml:space="preserve">twa dla </w:t>
            </w:r>
            <w:r w:rsidRPr="00800F6F">
              <w:rPr>
                <w:rFonts w:eastAsia="MS Mincho"/>
                <w:b/>
                <w:color w:val="FFFFFF"/>
                <w:lang w:eastAsia="ja-JP"/>
              </w:rPr>
              <w:t>istniejącego KSOP</w:t>
            </w:r>
          </w:p>
        </w:tc>
      </w:tr>
      <w:tr w:rsidR="00084F8B" w:rsidRPr="00800F6F" w14:paraId="5D8AA68F" w14:textId="77777777" w:rsidTr="00F738CD">
        <w:trPr>
          <w:cantSplit/>
          <w:trHeight w:val="860"/>
        </w:trPr>
        <w:tc>
          <w:tcPr>
            <w:tcW w:w="1620" w:type="dxa"/>
            <w:vAlign w:val="center"/>
          </w:tcPr>
          <w:p w14:paraId="4DFCF6C3" w14:textId="77777777" w:rsidR="00084F8B" w:rsidRPr="00800F6F" w:rsidRDefault="00084F8B" w:rsidP="00414FD4">
            <w:r w:rsidRPr="00800F6F">
              <w:t>Instrumenty</w:t>
            </w:r>
          </w:p>
          <w:p w14:paraId="7C93832F" w14:textId="77777777" w:rsidR="00084F8B" w:rsidRPr="00800F6F" w:rsidRDefault="00084F8B" w:rsidP="00414FD4">
            <w:r w:rsidRPr="00800F6F">
              <w:t>realizacji</w:t>
            </w:r>
          </w:p>
        </w:tc>
        <w:tc>
          <w:tcPr>
            <w:tcW w:w="7740" w:type="dxa"/>
            <w:vAlign w:val="center"/>
          </w:tcPr>
          <w:p w14:paraId="421C94F1" w14:textId="77777777" w:rsidR="00084F8B" w:rsidRPr="00800F6F" w:rsidRDefault="00084F8B" w:rsidP="008833A1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Ustawa - Prawo atomowe wraz z aktami wykonawczymi </w:t>
            </w:r>
          </w:p>
        </w:tc>
      </w:tr>
      <w:tr w:rsidR="00084F8B" w:rsidRPr="00800F6F" w14:paraId="7B543897" w14:textId="77777777" w:rsidTr="00F738CD">
        <w:trPr>
          <w:trHeight w:val="892"/>
        </w:trPr>
        <w:tc>
          <w:tcPr>
            <w:tcW w:w="1620" w:type="dxa"/>
            <w:vAlign w:val="center"/>
          </w:tcPr>
          <w:p w14:paraId="2B24A0F4" w14:textId="77777777" w:rsidR="00084F8B" w:rsidRPr="00800F6F" w:rsidRDefault="00084F8B" w:rsidP="00414FD4">
            <w:r w:rsidRPr="00800F6F">
              <w:t>Odpowiedzialni</w:t>
            </w:r>
          </w:p>
        </w:tc>
        <w:tc>
          <w:tcPr>
            <w:tcW w:w="7740" w:type="dxa"/>
            <w:vAlign w:val="center"/>
          </w:tcPr>
          <w:p w14:paraId="373F84C9" w14:textId="77777777" w:rsidR="00084F8B" w:rsidRPr="00800F6F" w:rsidRDefault="00045668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 xml:space="preserve">Minister właściwy ds. </w:t>
            </w:r>
            <w:r w:rsidR="00DD2EA9">
              <w:t>energii</w:t>
            </w:r>
            <w:r w:rsidR="00084F8B" w:rsidRPr="00800F6F">
              <w:t xml:space="preserve"> </w:t>
            </w:r>
          </w:p>
          <w:p w14:paraId="1AD5EC30" w14:textId="77777777" w:rsidR="00084F8B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Minister właściwy ds. środowiska</w:t>
            </w:r>
          </w:p>
          <w:p w14:paraId="1BD2A6C3" w14:textId="77777777" w:rsidR="00084F8B" w:rsidRPr="00800F6F" w:rsidRDefault="00084F8B" w:rsidP="00A808D1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ZUOP</w:t>
            </w:r>
          </w:p>
        </w:tc>
      </w:tr>
      <w:tr w:rsidR="00084F8B" w:rsidRPr="00800F6F" w14:paraId="2155AEBA" w14:textId="77777777" w:rsidTr="00F738CD">
        <w:trPr>
          <w:trHeight w:val="1407"/>
        </w:trPr>
        <w:tc>
          <w:tcPr>
            <w:tcW w:w="1620" w:type="dxa"/>
            <w:vAlign w:val="center"/>
          </w:tcPr>
          <w:p w14:paraId="690BEA12" w14:textId="77777777" w:rsidR="00084F8B" w:rsidRPr="00800F6F" w:rsidRDefault="00084F8B" w:rsidP="00190C8D">
            <w:r w:rsidRPr="00800F6F">
              <w:t>Terminy realizacji</w:t>
            </w:r>
          </w:p>
        </w:tc>
        <w:tc>
          <w:tcPr>
            <w:tcW w:w="7740" w:type="dxa"/>
            <w:vAlign w:val="center"/>
          </w:tcPr>
          <w:p w14:paraId="091FA011" w14:textId="058C81DA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Przygotowanie dokumentacji do wykonania postępowan</w:t>
            </w:r>
            <w:r w:rsidR="00C618FB">
              <w:t>ia na wyłonienie wykonawcy - 2019</w:t>
            </w:r>
            <w:r w:rsidRPr="00800F6F">
              <w:t xml:space="preserve"> r.</w:t>
            </w:r>
          </w:p>
          <w:p w14:paraId="1D4C5264" w14:textId="267D1400" w:rsidR="00084F8B" w:rsidRPr="00800F6F" w:rsidRDefault="00C618F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>Zapewnienie finansowania - 2019</w:t>
            </w:r>
            <w:r w:rsidR="00084F8B" w:rsidRPr="00800F6F">
              <w:t xml:space="preserve"> r.</w:t>
            </w:r>
          </w:p>
          <w:p w14:paraId="1401923C" w14:textId="52123DC5" w:rsidR="00084F8B" w:rsidRPr="00800F6F" w:rsidRDefault="00C618F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>Wybór wykonawcy Oceny - 2019</w:t>
            </w:r>
            <w:r w:rsidR="00084F8B" w:rsidRPr="00800F6F">
              <w:t xml:space="preserve"> r.</w:t>
            </w:r>
          </w:p>
          <w:p w14:paraId="1B53BB5A" w14:textId="2550D51D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Wykonanie </w:t>
            </w:r>
            <w:r w:rsidR="00C618FB">
              <w:t>–</w:t>
            </w:r>
            <w:r w:rsidRPr="00800F6F">
              <w:t xml:space="preserve"> 20</w:t>
            </w:r>
            <w:r w:rsidR="00C618FB">
              <w:t>19-20</w:t>
            </w:r>
            <w:r w:rsidR="007B6B5D">
              <w:t xml:space="preserve"> </w:t>
            </w:r>
            <w:r w:rsidRPr="00800F6F">
              <w:t xml:space="preserve">r. </w:t>
            </w:r>
          </w:p>
          <w:p w14:paraId="76471DF8" w14:textId="61C6A3D2" w:rsidR="00084F8B" w:rsidRPr="00800F6F" w:rsidRDefault="00C618FB" w:rsidP="000414B5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>Odbiór - 2020</w:t>
            </w:r>
            <w:r w:rsidR="00084F8B" w:rsidRPr="00800F6F">
              <w:t xml:space="preserve"> r.</w:t>
            </w:r>
          </w:p>
        </w:tc>
      </w:tr>
      <w:tr w:rsidR="00084F8B" w:rsidRPr="00800F6F" w14:paraId="7C775396" w14:textId="77777777" w:rsidTr="00F738CD">
        <w:trPr>
          <w:trHeight w:val="998"/>
        </w:trPr>
        <w:tc>
          <w:tcPr>
            <w:tcW w:w="1620" w:type="dxa"/>
            <w:vAlign w:val="center"/>
          </w:tcPr>
          <w:p w14:paraId="6F1CE451" w14:textId="77777777" w:rsidR="00084F8B" w:rsidRPr="00800F6F" w:rsidRDefault="00084F8B" w:rsidP="00F738CD">
            <w:r w:rsidRPr="00800F6F">
              <w:t xml:space="preserve">Źródła finansowania </w:t>
            </w:r>
          </w:p>
        </w:tc>
        <w:tc>
          <w:tcPr>
            <w:tcW w:w="7740" w:type="dxa"/>
            <w:vAlign w:val="center"/>
          </w:tcPr>
          <w:p w14:paraId="426FF3F5" w14:textId="5990F821" w:rsidR="00A808D1" w:rsidRDefault="00E5319D" w:rsidP="00A808D1">
            <w:pPr>
              <w:numPr>
                <w:ilvl w:val="0"/>
                <w:numId w:val="49"/>
              </w:numPr>
              <w:tabs>
                <w:tab w:val="clear" w:pos="720"/>
                <w:tab w:val="num" w:pos="475"/>
              </w:tabs>
              <w:spacing w:before="60" w:after="60"/>
              <w:ind w:left="475" w:hanging="425"/>
              <w:jc w:val="both"/>
            </w:pPr>
            <w:r>
              <w:t>Ś</w:t>
            </w:r>
            <w:r w:rsidRPr="00B9703D">
              <w:t>rodki</w:t>
            </w:r>
            <w:r>
              <w:t xml:space="preserve"> własne Ministra </w:t>
            </w:r>
            <w:r w:rsidR="0016160A">
              <w:t>Klimatu</w:t>
            </w:r>
            <w:r>
              <w:t xml:space="preserve"> w ramach określonego dla niego limitu wydatków na dany rok budżetowy</w:t>
            </w:r>
            <w:r w:rsidR="00A808D1">
              <w:t xml:space="preserve">, </w:t>
            </w:r>
          </w:p>
          <w:p w14:paraId="5BEED3A5" w14:textId="3C0120DA" w:rsidR="00A808D1" w:rsidRDefault="00A808D1" w:rsidP="00A808D1">
            <w:pPr>
              <w:numPr>
                <w:ilvl w:val="0"/>
                <w:numId w:val="49"/>
              </w:numPr>
              <w:tabs>
                <w:tab w:val="clear" w:pos="720"/>
                <w:tab w:val="num" w:pos="475"/>
              </w:tabs>
              <w:spacing w:before="60" w:after="60"/>
              <w:ind w:left="475" w:hanging="425"/>
              <w:jc w:val="both"/>
            </w:pPr>
            <w:r>
              <w:t xml:space="preserve">Ewentualnie, przy powstaniu takiej możliwości, środki NFOŚiGW (zgodnie z zapisami </w:t>
            </w:r>
            <w:r w:rsidRPr="00904041">
              <w:t>P</w:t>
            </w:r>
            <w:r w:rsidR="00904041" w:rsidRPr="00904041">
              <w:t>PEJ</w:t>
            </w:r>
            <w:r>
              <w:t>),</w:t>
            </w:r>
          </w:p>
          <w:p w14:paraId="743A5261" w14:textId="77777777" w:rsidR="00084F8B" w:rsidRPr="00800F6F" w:rsidRDefault="00F14B29" w:rsidP="00A808D1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>W</w:t>
            </w:r>
            <w:r w:rsidR="00A808D1">
              <w:t xml:space="preserve"> przypadku braku możliwości sfinansowania tych działań z obu ww. źródeł, realizacja tych zadań zostanie sfinansowana ze środków programu wieloletniego.</w:t>
            </w:r>
          </w:p>
        </w:tc>
      </w:tr>
    </w:tbl>
    <w:p w14:paraId="08CEA78B" w14:textId="77777777" w:rsidR="00084F8B" w:rsidRDefault="00084F8B" w:rsidP="00F738CD"/>
    <w:p w14:paraId="7AFE3152" w14:textId="77777777" w:rsidR="00084F8B" w:rsidRDefault="00084F8B" w:rsidP="00F738CD"/>
    <w:tbl>
      <w:tblPr>
        <w:tblW w:w="93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40"/>
        <w:gridCol w:w="10"/>
      </w:tblGrid>
      <w:tr w:rsidR="00084F8B" w:rsidRPr="00800F6F" w14:paraId="3BA2DE01" w14:textId="77777777" w:rsidTr="0012437C">
        <w:trPr>
          <w:trHeight w:val="1067"/>
        </w:trPr>
        <w:tc>
          <w:tcPr>
            <w:tcW w:w="1620" w:type="dxa"/>
            <w:shd w:val="clear" w:color="auto" w:fill="92D050"/>
            <w:vAlign w:val="center"/>
          </w:tcPr>
          <w:p w14:paraId="04B70EFA" w14:textId="77777777" w:rsidR="00084F8B" w:rsidRPr="00800F6F" w:rsidRDefault="00084F8B" w:rsidP="00414FD4">
            <w:pPr>
              <w:rPr>
                <w:b/>
                <w:color w:val="FFFFFF"/>
              </w:rPr>
            </w:pPr>
            <w:r w:rsidRPr="00800F6F">
              <w:rPr>
                <w:b/>
                <w:color w:val="FFFFFF"/>
              </w:rPr>
              <w:t>Działanie 1.1.2.</w:t>
            </w:r>
          </w:p>
        </w:tc>
        <w:tc>
          <w:tcPr>
            <w:tcW w:w="7750" w:type="dxa"/>
            <w:gridSpan w:val="2"/>
            <w:shd w:val="clear" w:color="auto" w:fill="92D050"/>
            <w:vAlign w:val="center"/>
          </w:tcPr>
          <w:p w14:paraId="7DC64DC8" w14:textId="3CCAFB22" w:rsidR="00084F8B" w:rsidRPr="00800F6F" w:rsidRDefault="00FA31C1" w:rsidP="00F738CD">
            <w:pPr>
              <w:jc w:val="both"/>
              <w:rPr>
                <w:b/>
                <w:bCs/>
                <w:color w:val="FFFFFF"/>
              </w:rPr>
            </w:pPr>
            <w:r>
              <w:rPr>
                <w:rFonts w:eastAsia="MS Mincho"/>
                <w:b/>
                <w:color w:val="FFFFFF"/>
                <w:lang w:eastAsia="ja-JP"/>
              </w:rPr>
              <w:t>Przygotowanie do</w:t>
            </w:r>
            <w:r w:rsidR="00A9510C">
              <w:rPr>
                <w:rFonts w:eastAsia="MS Mincho"/>
                <w:b/>
                <w:color w:val="FFFFFF"/>
                <w:lang w:eastAsia="ja-JP"/>
              </w:rPr>
              <w:t xml:space="preserve"> </w:t>
            </w:r>
            <w:r w:rsidR="00084F8B" w:rsidRPr="00800F6F">
              <w:rPr>
                <w:rFonts w:eastAsia="MS Mincho"/>
                <w:b/>
                <w:color w:val="FFFFFF"/>
                <w:lang w:eastAsia="ja-JP"/>
              </w:rPr>
              <w:t>zamknięcia KSOP w Różanie</w:t>
            </w:r>
          </w:p>
        </w:tc>
      </w:tr>
      <w:tr w:rsidR="00084F8B" w:rsidRPr="00800F6F" w14:paraId="534AB6AB" w14:textId="77777777" w:rsidTr="00F738CD">
        <w:trPr>
          <w:cantSplit/>
          <w:trHeight w:val="878"/>
        </w:trPr>
        <w:tc>
          <w:tcPr>
            <w:tcW w:w="1620" w:type="dxa"/>
            <w:vAlign w:val="center"/>
          </w:tcPr>
          <w:p w14:paraId="722B9903" w14:textId="77777777" w:rsidR="00084F8B" w:rsidRPr="00800F6F" w:rsidRDefault="00084F8B" w:rsidP="00414FD4">
            <w:r w:rsidRPr="00800F6F">
              <w:t>Instrumenty</w:t>
            </w:r>
          </w:p>
          <w:p w14:paraId="0D9A0154" w14:textId="77777777" w:rsidR="00084F8B" w:rsidRPr="00800F6F" w:rsidRDefault="00084F8B" w:rsidP="00414FD4">
            <w:r w:rsidRPr="00800F6F">
              <w:t>realizacji</w:t>
            </w:r>
          </w:p>
        </w:tc>
        <w:tc>
          <w:tcPr>
            <w:tcW w:w="7750" w:type="dxa"/>
            <w:gridSpan w:val="2"/>
            <w:vAlign w:val="center"/>
          </w:tcPr>
          <w:p w14:paraId="6831A318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Ustawa - Prawo atomowe wraz z aktami wykonawczymi</w:t>
            </w:r>
          </w:p>
        </w:tc>
      </w:tr>
      <w:tr w:rsidR="00084F8B" w:rsidRPr="00800F6F" w14:paraId="13D47F05" w14:textId="77777777" w:rsidTr="00F738CD">
        <w:trPr>
          <w:gridAfter w:val="1"/>
          <w:wAfter w:w="10" w:type="dxa"/>
          <w:trHeight w:val="519"/>
        </w:trPr>
        <w:tc>
          <w:tcPr>
            <w:tcW w:w="1620" w:type="dxa"/>
            <w:vAlign w:val="center"/>
          </w:tcPr>
          <w:p w14:paraId="744EADFC" w14:textId="77777777" w:rsidR="00084F8B" w:rsidRPr="00800F6F" w:rsidRDefault="00084F8B" w:rsidP="00414FD4">
            <w:r w:rsidRPr="00800F6F">
              <w:t>Odpowiedzialni</w:t>
            </w:r>
          </w:p>
        </w:tc>
        <w:tc>
          <w:tcPr>
            <w:tcW w:w="7740" w:type="dxa"/>
            <w:vAlign w:val="center"/>
          </w:tcPr>
          <w:p w14:paraId="0975A405" w14:textId="16F2F93F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Minister </w:t>
            </w:r>
            <w:r w:rsidR="00DD2EA9">
              <w:t xml:space="preserve">właściwy </w:t>
            </w:r>
            <w:r w:rsidR="00FA31C1">
              <w:t>ds. energii</w:t>
            </w:r>
          </w:p>
          <w:p w14:paraId="012216E2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ZUOP</w:t>
            </w:r>
          </w:p>
        </w:tc>
      </w:tr>
      <w:tr w:rsidR="00084F8B" w:rsidRPr="00800F6F" w14:paraId="597F3442" w14:textId="77777777" w:rsidTr="00F738CD">
        <w:trPr>
          <w:gridAfter w:val="1"/>
          <w:wAfter w:w="10" w:type="dxa"/>
          <w:trHeight w:val="1635"/>
        </w:trPr>
        <w:tc>
          <w:tcPr>
            <w:tcW w:w="1620" w:type="dxa"/>
            <w:vAlign w:val="center"/>
          </w:tcPr>
          <w:p w14:paraId="5A19AF05" w14:textId="77777777" w:rsidR="00084F8B" w:rsidRPr="00800F6F" w:rsidRDefault="00084F8B" w:rsidP="00414FD4">
            <w:r w:rsidRPr="00800F6F">
              <w:lastRenderedPageBreak/>
              <w:t>Terminy realizacji</w:t>
            </w:r>
          </w:p>
        </w:tc>
        <w:tc>
          <w:tcPr>
            <w:tcW w:w="7740" w:type="dxa"/>
            <w:vAlign w:val="center"/>
          </w:tcPr>
          <w:p w14:paraId="1C87AA40" w14:textId="7C7AE394" w:rsidR="00C618FB" w:rsidRDefault="00C618F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 xml:space="preserve">Wybór opcji </w:t>
            </w:r>
            <w:r w:rsidR="00FA31C1">
              <w:t>zamknięcia oraz</w:t>
            </w:r>
            <w:r>
              <w:t xml:space="preserve"> wykonanie raportów bezpieczeństwa dla jego zamknięcia </w:t>
            </w:r>
            <w:r w:rsidRPr="00904041">
              <w:t>– 2030</w:t>
            </w:r>
            <w:r w:rsidR="00485680">
              <w:t xml:space="preserve"> </w:t>
            </w:r>
            <w:r w:rsidRPr="00904041">
              <w:t xml:space="preserve">-32 </w:t>
            </w:r>
            <w:r w:rsidR="00485680">
              <w:t>r.</w:t>
            </w:r>
          </w:p>
          <w:p w14:paraId="265C2DBE" w14:textId="5633433F" w:rsidR="00084F8B" w:rsidRPr="00904041" w:rsidRDefault="00C618F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 xml:space="preserve">Przygotowanie koncepcji </w:t>
            </w:r>
            <w:r w:rsidR="00FA31C1">
              <w:t xml:space="preserve">zamknięcia </w:t>
            </w:r>
            <w:r w:rsidR="00FA31C1" w:rsidRPr="00800F6F">
              <w:t xml:space="preserve">- </w:t>
            </w:r>
            <w:r w:rsidR="00FA31C1" w:rsidRPr="00904041">
              <w:t>2033-34 r</w:t>
            </w:r>
            <w:r w:rsidR="00084F8B" w:rsidRPr="00904041">
              <w:t>.</w:t>
            </w:r>
          </w:p>
          <w:p w14:paraId="3953A8CB" w14:textId="157ADB4D" w:rsidR="00C618FB" w:rsidRPr="00800F6F" w:rsidRDefault="00FA31C1" w:rsidP="00A9510C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Przygotowanie </w:t>
            </w:r>
            <w:r>
              <w:t>do</w:t>
            </w:r>
            <w:r w:rsidR="00C618FB">
              <w:t xml:space="preserve"> zamknięcia, sporządzenie Programu zamknięcia i uzyskanie zezwolenia na zamknięcie </w:t>
            </w:r>
            <w:r w:rsidR="00084F8B" w:rsidRPr="00800F6F">
              <w:t xml:space="preserve">planu zamknięcia wraz z kosztami i harmonogramem – </w:t>
            </w:r>
            <w:r w:rsidR="00084F8B" w:rsidRPr="00904041">
              <w:t>20</w:t>
            </w:r>
            <w:r w:rsidR="00C618FB" w:rsidRPr="00904041">
              <w:t>34 -37</w:t>
            </w:r>
            <w:r w:rsidR="00084F8B" w:rsidRPr="00904041">
              <w:t xml:space="preserve"> r.</w:t>
            </w:r>
          </w:p>
        </w:tc>
      </w:tr>
      <w:tr w:rsidR="00084F8B" w:rsidRPr="00800F6F" w14:paraId="2A270AFF" w14:textId="77777777" w:rsidTr="00F738CD">
        <w:trPr>
          <w:gridAfter w:val="1"/>
          <w:wAfter w:w="10" w:type="dxa"/>
          <w:trHeight w:val="703"/>
        </w:trPr>
        <w:tc>
          <w:tcPr>
            <w:tcW w:w="1620" w:type="dxa"/>
            <w:vAlign w:val="center"/>
          </w:tcPr>
          <w:p w14:paraId="0004B0E1" w14:textId="77777777" w:rsidR="00084F8B" w:rsidRPr="00800F6F" w:rsidRDefault="00084F8B" w:rsidP="00F738CD">
            <w:r w:rsidRPr="00800F6F">
              <w:t xml:space="preserve">Źródła finansowania </w:t>
            </w:r>
          </w:p>
        </w:tc>
        <w:tc>
          <w:tcPr>
            <w:tcW w:w="7740" w:type="dxa"/>
            <w:vAlign w:val="center"/>
          </w:tcPr>
          <w:p w14:paraId="0C090CC9" w14:textId="0F95F1BF" w:rsidR="00084F8B" w:rsidRDefault="00A46F40" w:rsidP="0007245A">
            <w:pPr>
              <w:numPr>
                <w:ilvl w:val="0"/>
                <w:numId w:val="107"/>
              </w:numPr>
              <w:tabs>
                <w:tab w:val="num" w:pos="475"/>
              </w:tabs>
              <w:spacing w:before="60" w:after="60"/>
              <w:ind w:left="475" w:hanging="246"/>
            </w:pPr>
            <w:r>
              <w:t>Ś</w:t>
            </w:r>
            <w:r w:rsidR="00B418D7" w:rsidRPr="00B9703D">
              <w:t>rodki</w:t>
            </w:r>
            <w:r w:rsidR="0016160A">
              <w:t xml:space="preserve"> własne Ministra Klimatu </w:t>
            </w:r>
            <w:r w:rsidR="00B418D7">
              <w:t>w ramach określonego dla niego limitu wydatków na dany rok budżetowy</w:t>
            </w:r>
            <w:r w:rsidR="00C618FB">
              <w:t>;</w:t>
            </w:r>
          </w:p>
          <w:p w14:paraId="4F02669A" w14:textId="4477DC14" w:rsidR="00C618FB" w:rsidRPr="00800F6F" w:rsidRDefault="00C618FB" w:rsidP="0007245A">
            <w:pPr>
              <w:numPr>
                <w:ilvl w:val="0"/>
                <w:numId w:val="107"/>
              </w:numPr>
              <w:tabs>
                <w:tab w:val="num" w:pos="475"/>
              </w:tabs>
              <w:spacing w:before="60" w:after="60"/>
              <w:ind w:left="475" w:hanging="246"/>
            </w:pPr>
            <w:r>
              <w:t>środki</w:t>
            </w:r>
            <w:r w:rsidRPr="00C618FB">
              <w:t xml:space="preserve"> programu wieloletniego</w:t>
            </w:r>
          </w:p>
        </w:tc>
      </w:tr>
    </w:tbl>
    <w:p w14:paraId="36DDB34D" w14:textId="523C3B02" w:rsidR="00084F8B" w:rsidRDefault="00084F8B" w:rsidP="00F11ED8"/>
    <w:p w14:paraId="72346291" w14:textId="77777777" w:rsidR="00084F8B" w:rsidRPr="00F11ED8" w:rsidRDefault="00084F8B" w:rsidP="00F11ED8">
      <w:pPr>
        <w:rPr>
          <w:rStyle w:val="Hipercze"/>
          <w:color w:val="auto"/>
          <w:u w:val="none"/>
        </w:rPr>
      </w:pPr>
      <w:r w:rsidRPr="00F11ED8">
        <w:rPr>
          <w:rStyle w:val="Hipercze"/>
          <w:color w:val="auto"/>
          <w:u w:val="none"/>
        </w:rPr>
        <w:t>2. Wybór lokalizacji</w:t>
      </w:r>
      <w:r w:rsidR="004F477A">
        <w:rPr>
          <w:rStyle w:val="Hipercze"/>
          <w:color w:val="auto"/>
          <w:u w:val="none"/>
        </w:rPr>
        <w:t xml:space="preserve"> i przygotowanie do</w:t>
      </w:r>
      <w:r w:rsidR="004F477A" w:rsidRPr="00F11ED8">
        <w:rPr>
          <w:rStyle w:val="Hipercze"/>
          <w:color w:val="auto"/>
          <w:u w:val="none"/>
        </w:rPr>
        <w:t xml:space="preserve"> </w:t>
      </w:r>
      <w:r w:rsidRPr="00F11ED8">
        <w:rPr>
          <w:rStyle w:val="Hipercze"/>
          <w:color w:val="auto"/>
          <w:u w:val="none"/>
        </w:rPr>
        <w:t>budow</w:t>
      </w:r>
      <w:r w:rsidR="004F477A">
        <w:rPr>
          <w:rStyle w:val="Hipercze"/>
          <w:color w:val="auto"/>
          <w:u w:val="none"/>
        </w:rPr>
        <w:t>y</w:t>
      </w:r>
      <w:r w:rsidRPr="00F11ED8">
        <w:rPr>
          <w:rStyle w:val="Hipercze"/>
          <w:color w:val="auto"/>
          <w:u w:val="none"/>
        </w:rPr>
        <w:t xml:space="preserve"> </w:t>
      </w:r>
      <w:r>
        <w:rPr>
          <w:rStyle w:val="Hipercze"/>
          <w:color w:val="auto"/>
          <w:u w:val="none"/>
        </w:rPr>
        <w:t>NSPOP</w:t>
      </w:r>
      <w:r w:rsidRPr="00F11ED8">
        <w:rPr>
          <w:rStyle w:val="Hipercze"/>
          <w:color w:val="auto"/>
          <w:u w:val="none"/>
        </w:rPr>
        <w:t>.</w:t>
      </w:r>
    </w:p>
    <w:p w14:paraId="5EB64D75" w14:textId="77777777" w:rsidR="00084F8B" w:rsidRDefault="00084F8B" w:rsidP="00F738CD">
      <w:pPr>
        <w:jc w:val="both"/>
        <w:rPr>
          <w:rStyle w:val="Hipercze"/>
        </w:rPr>
      </w:pPr>
    </w:p>
    <w:tbl>
      <w:tblPr>
        <w:tblW w:w="93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40"/>
        <w:gridCol w:w="10"/>
      </w:tblGrid>
      <w:tr w:rsidR="00084F8B" w:rsidRPr="00800F6F" w14:paraId="33097A40" w14:textId="77777777" w:rsidTr="0012437C">
        <w:trPr>
          <w:trHeight w:val="903"/>
        </w:trPr>
        <w:tc>
          <w:tcPr>
            <w:tcW w:w="1620" w:type="dxa"/>
            <w:shd w:val="clear" w:color="auto" w:fill="92D050"/>
            <w:vAlign w:val="center"/>
          </w:tcPr>
          <w:p w14:paraId="4B18D497" w14:textId="20CF6B0B" w:rsidR="00084F8B" w:rsidRPr="00800F6F" w:rsidRDefault="00C618FB" w:rsidP="00414F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Działanie 1.2.1</w:t>
            </w:r>
            <w:r w:rsidR="00084F8B" w:rsidRPr="00800F6F">
              <w:rPr>
                <w:b/>
                <w:color w:val="FFFFFF"/>
              </w:rPr>
              <w:t>.</w:t>
            </w:r>
          </w:p>
        </w:tc>
        <w:tc>
          <w:tcPr>
            <w:tcW w:w="7750" w:type="dxa"/>
            <w:gridSpan w:val="2"/>
            <w:shd w:val="clear" w:color="auto" w:fill="92D050"/>
            <w:vAlign w:val="center"/>
          </w:tcPr>
          <w:p w14:paraId="12A0848B" w14:textId="77777777" w:rsidR="00084F8B" w:rsidRPr="00800F6F" w:rsidRDefault="00084F8B" w:rsidP="00412EDE">
            <w:pPr>
              <w:jc w:val="both"/>
              <w:rPr>
                <w:b/>
                <w:bCs/>
                <w:color w:val="FFFFFF"/>
              </w:rPr>
            </w:pPr>
            <w:r w:rsidRPr="00800F6F">
              <w:rPr>
                <w:b/>
                <w:bCs/>
                <w:color w:val="FFFFFF"/>
              </w:rPr>
              <w:t>Wybór lokalizacji</w:t>
            </w:r>
            <w:r w:rsidR="00412EDE">
              <w:rPr>
                <w:b/>
                <w:bCs/>
                <w:color w:val="FFFFFF"/>
              </w:rPr>
              <w:t xml:space="preserve"> i</w:t>
            </w:r>
            <w:r w:rsidR="00181276">
              <w:rPr>
                <w:b/>
                <w:bCs/>
                <w:color w:val="FFFFFF"/>
              </w:rPr>
              <w:t xml:space="preserve"> przygotowanie</w:t>
            </w:r>
            <w:r w:rsidRPr="00800F6F">
              <w:rPr>
                <w:b/>
                <w:bCs/>
                <w:color w:val="FFFFFF"/>
              </w:rPr>
              <w:t xml:space="preserve"> </w:t>
            </w:r>
            <w:r w:rsidR="00181276">
              <w:rPr>
                <w:b/>
                <w:bCs/>
                <w:color w:val="FFFFFF"/>
              </w:rPr>
              <w:t xml:space="preserve">do </w:t>
            </w:r>
            <w:r w:rsidRPr="00800F6F">
              <w:rPr>
                <w:b/>
                <w:bCs/>
                <w:color w:val="FFFFFF"/>
              </w:rPr>
              <w:t>budow</w:t>
            </w:r>
            <w:r w:rsidR="00181276">
              <w:rPr>
                <w:b/>
                <w:bCs/>
                <w:color w:val="FFFFFF"/>
              </w:rPr>
              <w:t>y</w:t>
            </w:r>
            <w:r w:rsidRPr="00800F6F">
              <w:rPr>
                <w:b/>
                <w:bCs/>
                <w:color w:val="FFFFFF"/>
              </w:rPr>
              <w:t xml:space="preserve"> NSPOP</w:t>
            </w:r>
          </w:p>
        </w:tc>
      </w:tr>
      <w:tr w:rsidR="00084F8B" w:rsidRPr="00800F6F" w14:paraId="57205A7F" w14:textId="77777777" w:rsidTr="00F738CD">
        <w:trPr>
          <w:cantSplit/>
          <w:trHeight w:val="941"/>
        </w:trPr>
        <w:tc>
          <w:tcPr>
            <w:tcW w:w="1620" w:type="dxa"/>
            <w:vAlign w:val="center"/>
          </w:tcPr>
          <w:p w14:paraId="0DA3B41B" w14:textId="77777777" w:rsidR="00084F8B" w:rsidRPr="00800F6F" w:rsidRDefault="00084F8B" w:rsidP="00414FD4">
            <w:r w:rsidRPr="00800F6F">
              <w:t>Instrumenty</w:t>
            </w:r>
          </w:p>
          <w:p w14:paraId="5C4134E4" w14:textId="77777777" w:rsidR="00084F8B" w:rsidRPr="00800F6F" w:rsidRDefault="00084F8B" w:rsidP="00414FD4">
            <w:r w:rsidRPr="00800F6F">
              <w:t>realizacji</w:t>
            </w:r>
          </w:p>
        </w:tc>
        <w:tc>
          <w:tcPr>
            <w:tcW w:w="7750" w:type="dxa"/>
            <w:gridSpan w:val="2"/>
            <w:vAlign w:val="center"/>
          </w:tcPr>
          <w:p w14:paraId="4C96FACD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Ustawa - Prawo atomowe wraz z aktami wykonawczymi</w:t>
            </w:r>
          </w:p>
        </w:tc>
      </w:tr>
      <w:tr w:rsidR="00084F8B" w:rsidRPr="00800F6F" w14:paraId="17D42EAD" w14:textId="77777777" w:rsidTr="00F738CD">
        <w:trPr>
          <w:gridAfter w:val="1"/>
          <w:wAfter w:w="10" w:type="dxa"/>
          <w:trHeight w:val="519"/>
        </w:trPr>
        <w:tc>
          <w:tcPr>
            <w:tcW w:w="1620" w:type="dxa"/>
            <w:vAlign w:val="center"/>
          </w:tcPr>
          <w:p w14:paraId="0F3C93AE" w14:textId="77777777" w:rsidR="00084F8B" w:rsidRPr="00800F6F" w:rsidRDefault="00084F8B" w:rsidP="00414FD4">
            <w:r w:rsidRPr="00800F6F">
              <w:t>Odpowiedzialni</w:t>
            </w:r>
          </w:p>
        </w:tc>
        <w:tc>
          <w:tcPr>
            <w:tcW w:w="7740" w:type="dxa"/>
            <w:vAlign w:val="center"/>
          </w:tcPr>
          <w:p w14:paraId="21FA3003" w14:textId="64A0819C" w:rsidR="00084F8B" w:rsidRPr="00800F6F" w:rsidRDefault="00C618F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>Minister właściwy ds. energii</w:t>
            </w:r>
          </w:p>
          <w:p w14:paraId="1610A69A" w14:textId="77777777" w:rsidR="00084F8B" w:rsidRPr="00800F6F" w:rsidRDefault="00084F8B" w:rsidP="00356CC9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ZUOP</w:t>
            </w:r>
          </w:p>
        </w:tc>
      </w:tr>
      <w:tr w:rsidR="00084F8B" w:rsidRPr="00800F6F" w14:paraId="085DD3D9" w14:textId="77777777" w:rsidTr="00F738CD">
        <w:trPr>
          <w:gridAfter w:val="1"/>
          <w:wAfter w:w="10" w:type="dxa"/>
          <w:trHeight w:val="998"/>
        </w:trPr>
        <w:tc>
          <w:tcPr>
            <w:tcW w:w="1620" w:type="dxa"/>
            <w:vAlign w:val="center"/>
          </w:tcPr>
          <w:p w14:paraId="420F5653" w14:textId="77777777" w:rsidR="00084F8B" w:rsidRPr="00800F6F" w:rsidRDefault="00084F8B" w:rsidP="00414FD4">
            <w:r w:rsidRPr="00800F6F">
              <w:t>Terminy realizacji</w:t>
            </w:r>
          </w:p>
        </w:tc>
        <w:tc>
          <w:tcPr>
            <w:tcW w:w="7740" w:type="dxa"/>
            <w:vAlign w:val="center"/>
          </w:tcPr>
          <w:p w14:paraId="616F7FD3" w14:textId="648DED0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Znalezienie poten</w:t>
            </w:r>
            <w:r w:rsidR="00DD2EA9">
              <w:t>cjaln</w:t>
            </w:r>
            <w:r w:rsidR="00C618FB">
              <w:t xml:space="preserve">ych lokalizacji </w:t>
            </w:r>
            <w:r w:rsidR="00FA31C1">
              <w:t>NSPOP – do</w:t>
            </w:r>
            <w:r w:rsidR="005C300C">
              <w:t xml:space="preserve"> 2022</w:t>
            </w:r>
            <w:r w:rsidRPr="00800F6F">
              <w:t xml:space="preserve"> r. </w:t>
            </w:r>
          </w:p>
          <w:p w14:paraId="0D879B0C" w14:textId="0F46922C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Wybór lokalizacji NSPOP – </w:t>
            </w:r>
            <w:r w:rsidR="004909EC">
              <w:t xml:space="preserve"> do </w:t>
            </w:r>
            <w:r w:rsidR="00A75157" w:rsidRPr="00800F6F">
              <w:t>20</w:t>
            </w:r>
            <w:r w:rsidR="005C300C">
              <w:t>23</w:t>
            </w:r>
            <w:r w:rsidR="00A75157" w:rsidRPr="00800F6F">
              <w:t xml:space="preserve"> </w:t>
            </w:r>
            <w:r w:rsidRPr="00800F6F">
              <w:t xml:space="preserve">r. </w:t>
            </w:r>
          </w:p>
          <w:p w14:paraId="2653C339" w14:textId="2DF906AF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Przygoto</w:t>
            </w:r>
            <w:r w:rsidR="00DD2EA9">
              <w:t>wanie projektu składowiska</w:t>
            </w:r>
            <w:r w:rsidR="00C618FB">
              <w:t xml:space="preserve">, ocena </w:t>
            </w:r>
            <w:r w:rsidR="00FA31C1">
              <w:t>bezpieczeństwa – 202</w:t>
            </w:r>
            <w:r w:rsidR="005C300C">
              <w:t>3-24</w:t>
            </w:r>
            <w:r w:rsidR="00FA31C1">
              <w:t xml:space="preserve"> r</w:t>
            </w:r>
            <w:r w:rsidRPr="00800F6F">
              <w:t>.</w:t>
            </w:r>
          </w:p>
          <w:p w14:paraId="76752D75" w14:textId="5B2B2E7E" w:rsidR="00C618FB" w:rsidRPr="00800F6F" w:rsidRDefault="00C618FB" w:rsidP="00C618FB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>u</w:t>
            </w:r>
            <w:r w:rsidR="00084F8B" w:rsidRPr="00800F6F">
              <w:t>zysk</w:t>
            </w:r>
            <w:r>
              <w:t>iwanie</w:t>
            </w:r>
            <w:r w:rsidR="00084F8B" w:rsidRPr="00800F6F">
              <w:t xml:space="preserve"> niezbędnych dla budowy </w:t>
            </w:r>
            <w:r w:rsidR="00FA31C1">
              <w:t xml:space="preserve">decyzji </w:t>
            </w:r>
            <w:r w:rsidR="00FA31C1" w:rsidRPr="00800F6F">
              <w:t>i</w:t>
            </w:r>
            <w:r w:rsidR="00084F8B" w:rsidRPr="00800F6F">
              <w:t xml:space="preserve"> pozwoleń – 20</w:t>
            </w:r>
            <w:r w:rsidR="00DD2EA9">
              <w:t>2</w:t>
            </w:r>
            <w:r w:rsidR="00FA22B8">
              <w:t>5</w:t>
            </w:r>
            <w:r w:rsidR="005C300C">
              <w:t xml:space="preserve"> -27</w:t>
            </w:r>
            <w:r w:rsidR="00084F8B" w:rsidRPr="00800F6F">
              <w:t xml:space="preserve"> r.</w:t>
            </w:r>
          </w:p>
        </w:tc>
      </w:tr>
      <w:tr w:rsidR="00084F8B" w:rsidRPr="00800F6F" w14:paraId="56EDEA67" w14:textId="77777777" w:rsidTr="00F738CD">
        <w:trPr>
          <w:gridAfter w:val="1"/>
          <w:wAfter w:w="10" w:type="dxa"/>
          <w:trHeight w:val="998"/>
        </w:trPr>
        <w:tc>
          <w:tcPr>
            <w:tcW w:w="1620" w:type="dxa"/>
            <w:vAlign w:val="center"/>
          </w:tcPr>
          <w:p w14:paraId="1294E681" w14:textId="7F000014" w:rsidR="00084F8B" w:rsidRPr="00800F6F" w:rsidRDefault="00084F8B" w:rsidP="00F738CD">
            <w:r w:rsidRPr="00800F6F">
              <w:t xml:space="preserve">Źródła finansowania </w:t>
            </w:r>
          </w:p>
        </w:tc>
        <w:tc>
          <w:tcPr>
            <w:tcW w:w="7740" w:type="dxa"/>
            <w:vAlign w:val="center"/>
          </w:tcPr>
          <w:p w14:paraId="7896C263" w14:textId="0DB4CCCB" w:rsidR="00084F8B" w:rsidRDefault="00A46F40" w:rsidP="00DD2EA9">
            <w:pPr>
              <w:pStyle w:val="Akapitzlist"/>
              <w:numPr>
                <w:ilvl w:val="0"/>
                <w:numId w:val="130"/>
              </w:numPr>
              <w:spacing w:before="60" w:after="60"/>
              <w:ind w:left="475" w:hanging="425"/>
            </w:pPr>
            <w:r>
              <w:t>Ś</w:t>
            </w:r>
            <w:r w:rsidR="00AC4963" w:rsidRPr="00B9703D">
              <w:t>rodki</w:t>
            </w:r>
            <w:r w:rsidR="0016160A">
              <w:t xml:space="preserve"> własne </w:t>
            </w:r>
            <w:r w:rsidR="005C300C">
              <w:t xml:space="preserve">Ministra </w:t>
            </w:r>
            <w:r w:rsidR="0016160A">
              <w:t>Klimatu</w:t>
            </w:r>
            <w:r w:rsidR="00C467FD">
              <w:t xml:space="preserve"> </w:t>
            </w:r>
            <w:r w:rsidR="00FA31C1">
              <w:t xml:space="preserve"> w</w:t>
            </w:r>
            <w:r w:rsidR="00AC4963">
              <w:t xml:space="preserve"> ramach określonego dla niego limitu wydatków na dany rok budżetowy</w:t>
            </w:r>
            <w:r w:rsidR="00C618FB">
              <w:t>;</w:t>
            </w:r>
          </w:p>
          <w:p w14:paraId="755B9EF4" w14:textId="6018EB24" w:rsidR="00C618FB" w:rsidRPr="00800F6F" w:rsidRDefault="005C300C" w:rsidP="00DD2EA9">
            <w:pPr>
              <w:pStyle w:val="Akapitzlist"/>
              <w:numPr>
                <w:ilvl w:val="0"/>
                <w:numId w:val="130"/>
              </w:numPr>
              <w:spacing w:before="60" w:after="60"/>
              <w:ind w:left="475" w:hanging="425"/>
            </w:pPr>
            <w:r>
              <w:t xml:space="preserve">Środki </w:t>
            </w:r>
            <w:r w:rsidR="00C618FB" w:rsidRPr="00C618FB">
              <w:t>programu wieloletniego</w:t>
            </w:r>
          </w:p>
        </w:tc>
      </w:tr>
    </w:tbl>
    <w:p w14:paraId="004663B0" w14:textId="4AAC52B7" w:rsidR="00084F8B" w:rsidRDefault="00084F8B" w:rsidP="00F738CD"/>
    <w:p w14:paraId="276B0A7D" w14:textId="77777777" w:rsidR="00084F8B" w:rsidRDefault="00084F8B" w:rsidP="008D5796">
      <w:pPr>
        <w:pStyle w:val="Nagwek2"/>
      </w:pPr>
      <w:bookmarkStart w:id="211" w:name="_Toc397697073"/>
      <w:bookmarkStart w:id="212" w:name="_Toc424116770"/>
      <w:r>
        <w:t>Działanie II. Postępowanie z odpadami promieniotwórczym</w:t>
      </w:r>
      <w:r w:rsidRPr="00295194">
        <w:t xml:space="preserve"> </w:t>
      </w:r>
      <w:r>
        <w:t>wysokoaktywnymi i wypalonym paliwem jądrowym</w:t>
      </w:r>
      <w:bookmarkEnd w:id="211"/>
      <w:bookmarkEnd w:id="212"/>
      <w:r>
        <w:t xml:space="preserve"> </w:t>
      </w:r>
    </w:p>
    <w:p w14:paraId="507E360D" w14:textId="77777777" w:rsidR="00084F8B" w:rsidRDefault="00084F8B" w:rsidP="00F738CD"/>
    <w:p w14:paraId="14EC7461" w14:textId="77777777" w:rsidR="00084F8B" w:rsidRDefault="00084F8B" w:rsidP="00F738CD">
      <w:r w:rsidRPr="00F74164">
        <w:t>Wy</w:t>
      </w:r>
      <w:r>
        <w:t xml:space="preserve">typowanie </w:t>
      </w:r>
      <w:r w:rsidRPr="00F74164">
        <w:t xml:space="preserve">bezpiecznej lokalizacji składowiska głębokiego odpadów </w:t>
      </w:r>
      <w:r>
        <w:t xml:space="preserve">promieniotwórczych </w:t>
      </w:r>
    </w:p>
    <w:p w14:paraId="4E39770B" w14:textId="77777777" w:rsidR="00084F8B" w:rsidRDefault="00084F8B" w:rsidP="00F738CD"/>
    <w:tbl>
      <w:tblPr>
        <w:tblW w:w="93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40"/>
        <w:gridCol w:w="10"/>
      </w:tblGrid>
      <w:tr w:rsidR="00084F8B" w:rsidRPr="00800F6F" w14:paraId="52857399" w14:textId="77777777" w:rsidTr="0012437C">
        <w:trPr>
          <w:trHeight w:val="903"/>
        </w:trPr>
        <w:tc>
          <w:tcPr>
            <w:tcW w:w="1620" w:type="dxa"/>
            <w:shd w:val="clear" w:color="auto" w:fill="92D050"/>
            <w:vAlign w:val="center"/>
          </w:tcPr>
          <w:p w14:paraId="0D98B79E" w14:textId="77777777" w:rsidR="00084F8B" w:rsidRPr="00800F6F" w:rsidRDefault="00084F8B" w:rsidP="00414FD4">
            <w:pPr>
              <w:rPr>
                <w:b/>
                <w:color w:val="FFFFFF"/>
              </w:rPr>
            </w:pPr>
            <w:r w:rsidRPr="00800F6F">
              <w:rPr>
                <w:b/>
                <w:color w:val="FFFFFF"/>
              </w:rPr>
              <w:t>Działanie 2.1.1.</w:t>
            </w:r>
          </w:p>
        </w:tc>
        <w:tc>
          <w:tcPr>
            <w:tcW w:w="7750" w:type="dxa"/>
            <w:gridSpan w:val="2"/>
            <w:shd w:val="clear" w:color="auto" w:fill="92D050"/>
            <w:vAlign w:val="center"/>
          </w:tcPr>
          <w:p w14:paraId="36C8DAFA" w14:textId="77777777" w:rsidR="00084F8B" w:rsidRPr="00800F6F" w:rsidRDefault="00084F8B" w:rsidP="00F738CD">
            <w:pPr>
              <w:jc w:val="both"/>
              <w:rPr>
                <w:b/>
                <w:bCs/>
                <w:color w:val="FFFFFF"/>
              </w:rPr>
            </w:pPr>
            <w:r w:rsidRPr="00800F6F">
              <w:rPr>
                <w:b/>
                <w:bCs/>
                <w:color w:val="FFFFFF"/>
              </w:rPr>
              <w:t xml:space="preserve">Budowa PURL </w:t>
            </w:r>
          </w:p>
        </w:tc>
      </w:tr>
      <w:tr w:rsidR="00084F8B" w:rsidRPr="00800F6F" w14:paraId="043CE082" w14:textId="77777777" w:rsidTr="00F738CD">
        <w:trPr>
          <w:cantSplit/>
          <w:trHeight w:val="1089"/>
        </w:trPr>
        <w:tc>
          <w:tcPr>
            <w:tcW w:w="1620" w:type="dxa"/>
            <w:vAlign w:val="center"/>
          </w:tcPr>
          <w:p w14:paraId="64B0990F" w14:textId="77777777" w:rsidR="00084F8B" w:rsidRPr="00800F6F" w:rsidRDefault="00084F8B" w:rsidP="00414FD4">
            <w:r w:rsidRPr="00800F6F">
              <w:t>Instrumenty</w:t>
            </w:r>
          </w:p>
          <w:p w14:paraId="65ECC48A" w14:textId="77777777" w:rsidR="00084F8B" w:rsidRPr="00800F6F" w:rsidRDefault="00084F8B" w:rsidP="00414FD4">
            <w:r w:rsidRPr="00800F6F">
              <w:t>realizacji</w:t>
            </w:r>
          </w:p>
        </w:tc>
        <w:tc>
          <w:tcPr>
            <w:tcW w:w="7750" w:type="dxa"/>
            <w:gridSpan w:val="2"/>
            <w:vAlign w:val="center"/>
          </w:tcPr>
          <w:p w14:paraId="473CD825" w14:textId="77777777" w:rsidR="00084F8B" w:rsidRPr="00800F6F" w:rsidRDefault="00084F8B" w:rsidP="000307DA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Ustawa - Prawo atomowe wraz z aktami wykonawczymi Ustawa - Prawo geologiczne i górnicze wraz z aktami wykonawczymi</w:t>
            </w:r>
          </w:p>
        </w:tc>
      </w:tr>
      <w:tr w:rsidR="00084F8B" w:rsidRPr="00800F6F" w14:paraId="42D99801" w14:textId="77777777" w:rsidTr="00F738CD">
        <w:trPr>
          <w:gridAfter w:val="1"/>
          <w:wAfter w:w="10" w:type="dxa"/>
          <w:trHeight w:val="519"/>
        </w:trPr>
        <w:tc>
          <w:tcPr>
            <w:tcW w:w="1620" w:type="dxa"/>
            <w:vAlign w:val="center"/>
          </w:tcPr>
          <w:p w14:paraId="2E7D7F45" w14:textId="77777777" w:rsidR="00084F8B" w:rsidRPr="00800F6F" w:rsidRDefault="00084F8B" w:rsidP="00414FD4">
            <w:r w:rsidRPr="00800F6F">
              <w:t>Odpowiedzialni</w:t>
            </w:r>
          </w:p>
        </w:tc>
        <w:tc>
          <w:tcPr>
            <w:tcW w:w="7740" w:type="dxa"/>
            <w:vAlign w:val="center"/>
          </w:tcPr>
          <w:p w14:paraId="1F883BB5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Minister właściwy ds. </w:t>
            </w:r>
            <w:r w:rsidR="00DD2EA9">
              <w:t xml:space="preserve">energii </w:t>
            </w:r>
            <w:r w:rsidRPr="00800F6F">
              <w:t xml:space="preserve"> </w:t>
            </w:r>
          </w:p>
          <w:p w14:paraId="486746BA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lastRenderedPageBreak/>
              <w:t>Minister właściwy ds. środowiska</w:t>
            </w:r>
          </w:p>
          <w:p w14:paraId="3D111B59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Instytuty naukowo-badawcze</w:t>
            </w:r>
          </w:p>
          <w:p w14:paraId="5452EDA3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ZUOP</w:t>
            </w:r>
          </w:p>
          <w:p w14:paraId="0C736AEC" w14:textId="77777777" w:rsidR="00084F8B" w:rsidRPr="00800F6F" w:rsidRDefault="00084F8B" w:rsidP="00190ADA">
            <w:pPr>
              <w:spacing w:before="60" w:after="60"/>
              <w:ind w:left="470"/>
            </w:pPr>
          </w:p>
        </w:tc>
      </w:tr>
      <w:tr w:rsidR="00084F8B" w:rsidRPr="00800F6F" w14:paraId="6729A002" w14:textId="77777777" w:rsidTr="00F738CD">
        <w:trPr>
          <w:gridAfter w:val="1"/>
          <w:wAfter w:w="10" w:type="dxa"/>
          <w:trHeight w:val="998"/>
        </w:trPr>
        <w:tc>
          <w:tcPr>
            <w:tcW w:w="1620" w:type="dxa"/>
            <w:vAlign w:val="center"/>
          </w:tcPr>
          <w:p w14:paraId="30A94803" w14:textId="77777777" w:rsidR="00084F8B" w:rsidRPr="00800F6F" w:rsidRDefault="00084F8B" w:rsidP="00414FD4">
            <w:r w:rsidRPr="00800F6F">
              <w:lastRenderedPageBreak/>
              <w:t>Terminy realizacji</w:t>
            </w:r>
          </w:p>
        </w:tc>
        <w:tc>
          <w:tcPr>
            <w:tcW w:w="7740" w:type="dxa"/>
            <w:vAlign w:val="center"/>
          </w:tcPr>
          <w:p w14:paraId="693C7946" w14:textId="5B0E3049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Analiza uwarunkowań i opracowani</w:t>
            </w:r>
            <w:r w:rsidR="00DD2EA9">
              <w:t>e</w:t>
            </w:r>
            <w:r w:rsidR="00A9510C">
              <w:t xml:space="preserve"> projektu przedsięwzięcia - 2025</w:t>
            </w:r>
            <w:r w:rsidRPr="00800F6F">
              <w:t xml:space="preserve"> r.</w:t>
            </w:r>
          </w:p>
          <w:p w14:paraId="500558A2" w14:textId="42E9E61C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Rewizja lokalizacji w oparciu o kryteria pra</w:t>
            </w:r>
            <w:r w:rsidR="00A9510C">
              <w:t>wne - 2026</w:t>
            </w:r>
            <w:r w:rsidRPr="00800F6F">
              <w:t xml:space="preserve"> r.</w:t>
            </w:r>
          </w:p>
          <w:p w14:paraId="78260F65" w14:textId="4B8E2A59" w:rsidR="00084F8B" w:rsidRPr="00800F6F" w:rsidRDefault="00084F8B" w:rsidP="0011262A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Wytypowanie perspektywicznych obszarów do badań - 20</w:t>
            </w:r>
            <w:r w:rsidR="00A9510C">
              <w:t>27</w:t>
            </w:r>
            <w:r w:rsidRPr="00800F6F">
              <w:t xml:space="preserve"> r.</w:t>
            </w:r>
          </w:p>
        </w:tc>
      </w:tr>
      <w:tr w:rsidR="00084F8B" w:rsidRPr="00800F6F" w14:paraId="412104F3" w14:textId="77777777" w:rsidTr="00F738CD">
        <w:trPr>
          <w:gridAfter w:val="1"/>
          <w:wAfter w:w="10" w:type="dxa"/>
          <w:trHeight w:val="998"/>
        </w:trPr>
        <w:tc>
          <w:tcPr>
            <w:tcW w:w="1620" w:type="dxa"/>
            <w:vAlign w:val="center"/>
          </w:tcPr>
          <w:p w14:paraId="42EC528E" w14:textId="77777777" w:rsidR="00084F8B" w:rsidRPr="00800F6F" w:rsidRDefault="00084F8B" w:rsidP="00F738CD">
            <w:r w:rsidRPr="00800F6F">
              <w:t xml:space="preserve">Źródła finansowania </w:t>
            </w:r>
          </w:p>
        </w:tc>
        <w:tc>
          <w:tcPr>
            <w:tcW w:w="7740" w:type="dxa"/>
            <w:vAlign w:val="center"/>
          </w:tcPr>
          <w:p w14:paraId="7F27E5A7" w14:textId="6DFFCEC3" w:rsidR="00084F8B" w:rsidRDefault="00084F8B" w:rsidP="005C300C">
            <w:pPr>
              <w:numPr>
                <w:ilvl w:val="0"/>
                <w:numId w:val="107"/>
              </w:numPr>
              <w:spacing w:before="60" w:after="60"/>
            </w:pPr>
            <w:r w:rsidRPr="00800F6F">
              <w:t>Środki NFOŚiGW</w:t>
            </w:r>
            <w:r w:rsidR="005C300C">
              <w:t xml:space="preserve"> (</w:t>
            </w:r>
            <w:r w:rsidR="005C300C" w:rsidRPr="005C300C">
              <w:t>P</w:t>
            </w:r>
            <w:r w:rsidR="005C300C">
              <w:t xml:space="preserve">rogram </w:t>
            </w:r>
            <w:r w:rsidR="005C300C" w:rsidRPr="005C300C">
              <w:t>P</w:t>
            </w:r>
            <w:r w:rsidR="005C300C">
              <w:t>riorytetowy</w:t>
            </w:r>
            <w:r w:rsidR="005C300C" w:rsidRPr="005C300C">
              <w:t xml:space="preserve"> pn. poznanie budowy geologicznej na rzecz kraju</w:t>
            </w:r>
            <w:r w:rsidR="005C300C">
              <w:t>)</w:t>
            </w:r>
          </w:p>
          <w:p w14:paraId="38A2303A" w14:textId="707E80EA" w:rsidR="00AC4963" w:rsidRPr="00800F6F" w:rsidRDefault="00F40DAE" w:rsidP="0016160A">
            <w:pPr>
              <w:numPr>
                <w:ilvl w:val="0"/>
                <w:numId w:val="107"/>
              </w:numPr>
              <w:spacing w:before="60" w:after="60"/>
              <w:ind w:left="475" w:hanging="284"/>
            </w:pPr>
            <w:r>
              <w:t>Ś</w:t>
            </w:r>
            <w:r w:rsidR="00AC4963" w:rsidRPr="00B9703D">
              <w:t>rodki</w:t>
            </w:r>
            <w:r w:rsidR="00AC4963">
              <w:t xml:space="preserve"> własne Ministra </w:t>
            </w:r>
            <w:r w:rsidR="0016160A">
              <w:t>Klimatu</w:t>
            </w:r>
            <w:r w:rsidR="00C467FD">
              <w:t xml:space="preserve"> </w:t>
            </w:r>
            <w:r w:rsidR="00DD2EA9">
              <w:t xml:space="preserve"> </w:t>
            </w:r>
            <w:r w:rsidR="00AC4963">
              <w:t>w ramach określonego dla niego limitu wydatków na dany rok budżetowy</w:t>
            </w:r>
          </w:p>
        </w:tc>
      </w:tr>
    </w:tbl>
    <w:p w14:paraId="2AC7BCFD" w14:textId="77777777" w:rsidR="00084F8B" w:rsidRDefault="00084F8B" w:rsidP="00F738CD"/>
    <w:p w14:paraId="4BAA002A" w14:textId="77777777" w:rsidR="00084F8B" w:rsidRDefault="00084F8B" w:rsidP="00970E24"/>
    <w:p w14:paraId="53D52552" w14:textId="77777777" w:rsidR="00084F8B" w:rsidRPr="00FB170C" w:rsidRDefault="00084F8B" w:rsidP="008D5796">
      <w:pPr>
        <w:pStyle w:val="Nagwek2"/>
      </w:pPr>
      <w:bookmarkStart w:id="213" w:name="_Toc397697074"/>
      <w:bookmarkStart w:id="214" w:name="_Toc424116771"/>
      <w:r>
        <w:t>Działanie III. Modyfikacja</w:t>
      </w:r>
      <w:r w:rsidRPr="008D0D4C">
        <w:t xml:space="preserve"> </w:t>
      </w:r>
      <w:r>
        <w:t>zasad postępowania</w:t>
      </w:r>
      <w:r w:rsidRPr="008D0D4C">
        <w:t xml:space="preserve"> </w:t>
      </w:r>
      <w:r>
        <w:t xml:space="preserve">z </w:t>
      </w:r>
      <w:r w:rsidRPr="008D0D4C">
        <w:t xml:space="preserve">odpadami promieniotwórczymi </w:t>
      </w:r>
      <w:r>
        <w:t>i wypalonym paliwem jądrowym oraz likwidacji elektrowni jądrowych</w:t>
      </w:r>
      <w:bookmarkEnd w:id="213"/>
      <w:bookmarkEnd w:id="214"/>
      <w:r w:rsidRPr="00FB170C">
        <w:t xml:space="preserve"> </w:t>
      </w:r>
    </w:p>
    <w:p w14:paraId="3305A15E" w14:textId="77777777" w:rsidR="00084F8B" w:rsidRDefault="00084F8B" w:rsidP="00F738CD"/>
    <w:tbl>
      <w:tblPr>
        <w:tblW w:w="93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40"/>
        <w:gridCol w:w="10"/>
      </w:tblGrid>
      <w:tr w:rsidR="00084F8B" w:rsidRPr="00800F6F" w14:paraId="6EC72D4A" w14:textId="77777777" w:rsidTr="0012437C">
        <w:trPr>
          <w:trHeight w:val="903"/>
        </w:trPr>
        <w:tc>
          <w:tcPr>
            <w:tcW w:w="1620" w:type="dxa"/>
            <w:shd w:val="clear" w:color="auto" w:fill="92D050"/>
            <w:vAlign w:val="center"/>
          </w:tcPr>
          <w:p w14:paraId="7A0C602C" w14:textId="77777777" w:rsidR="00084F8B" w:rsidRPr="00800F6F" w:rsidRDefault="00084F8B" w:rsidP="00414FD4">
            <w:pPr>
              <w:rPr>
                <w:b/>
                <w:color w:val="FFFFFF"/>
              </w:rPr>
            </w:pPr>
            <w:r w:rsidRPr="00800F6F">
              <w:rPr>
                <w:b/>
                <w:color w:val="FFFFFF"/>
              </w:rPr>
              <w:t>Działanie 3.1.</w:t>
            </w:r>
          </w:p>
        </w:tc>
        <w:tc>
          <w:tcPr>
            <w:tcW w:w="7750" w:type="dxa"/>
            <w:gridSpan w:val="2"/>
            <w:shd w:val="clear" w:color="auto" w:fill="92D050"/>
            <w:vAlign w:val="center"/>
          </w:tcPr>
          <w:p w14:paraId="47D26DB2" w14:textId="77777777" w:rsidR="00084F8B" w:rsidRPr="00800F6F" w:rsidRDefault="00084F8B" w:rsidP="00F738CD">
            <w:pPr>
              <w:jc w:val="both"/>
              <w:rPr>
                <w:b/>
                <w:bCs/>
                <w:color w:val="FFFFFF"/>
              </w:rPr>
            </w:pPr>
            <w:r w:rsidRPr="00800F6F">
              <w:rPr>
                <w:b/>
                <w:bCs/>
                <w:color w:val="FFFFFF"/>
              </w:rPr>
              <w:t xml:space="preserve">System instytucjonalno-prawny </w:t>
            </w:r>
          </w:p>
        </w:tc>
      </w:tr>
      <w:tr w:rsidR="00084F8B" w:rsidRPr="00800F6F" w14:paraId="17598DB2" w14:textId="77777777" w:rsidTr="00F738CD">
        <w:trPr>
          <w:cantSplit/>
          <w:trHeight w:val="1089"/>
        </w:trPr>
        <w:tc>
          <w:tcPr>
            <w:tcW w:w="1620" w:type="dxa"/>
            <w:vAlign w:val="center"/>
          </w:tcPr>
          <w:p w14:paraId="6A2151BD" w14:textId="77777777" w:rsidR="00084F8B" w:rsidRPr="00800F6F" w:rsidRDefault="00084F8B" w:rsidP="00414FD4">
            <w:r w:rsidRPr="00800F6F">
              <w:t>Instrumenty</w:t>
            </w:r>
          </w:p>
          <w:p w14:paraId="1B49A232" w14:textId="77777777" w:rsidR="00084F8B" w:rsidRPr="00800F6F" w:rsidRDefault="00084F8B" w:rsidP="00414FD4">
            <w:r w:rsidRPr="00800F6F">
              <w:t>realizacji</w:t>
            </w:r>
          </w:p>
        </w:tc>
        <w:tc>
          <w:tcPr>
            <w:tcW w:w="7750" w:type="dxa"/>
            <w:gridSpan w:val="2"/>
            <w:vAlign w:val="center"/>
          </w:tcPr>
          <w:p w14:paraId="72E0062B" w14:textId="77777777" w:rsidR="00084F8B" w:rsidRPr="00800F6F" w:rsidRDefault="00084F8B" w:rsidP="000307DA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Nowelizacja ustawy – Prawo atomowe</w:t>
            </w:r>
            <w:r w:rsidRPr="00800F6F">
              <w:rPr>
                <w:i/>
              </w:rPr>
              <w:t xml:space="preserve"> </w:t>
            </w:r>
            <w:r w:rsidRPr="00800F6F">
              <w:t>wraz z aktami wykonawczymi</w:t>
            </w:r>
          </w:p>
        </w:tc>
      </w:tr>
      <w:tr w:rsidR="00084F8B" w:rsidRPr="00800F6F" w14:paraId="2AEE67F1" w14:textId="77777777" w:rsidTr="00F738CD">
        <w:trPr>
          <w:gridAfter w:val="1"/>
          <w:wAfter w:w="10" w:type="dxa"/>
          <w:trHeight w:val="519"/>
        </w:trPr>
        <w:tc>
          <w:tcPr>
            <w:tcW w:w="1620" w:type="dxa"/>
            <w:vAlign w:val="center"/>
          </w:tcPr>
          <w:p w14:paraId="619D92B2" w14:textId="77777777" w:rsidR="00084F8B" w:rsidRPr="00800F6F" w:rsidRDefault="00084F8B" w:rsidP="00414FD4">
            <w:r w:rsidRPr="00800F6F">
              <w:t>Odpowiedzialni</w:t>
            </w:r>
          </w:p>
        </w:tc>
        <w:tc>
          <w:tcPr>
            <w:tcW w:w="7740" w:type="dxa"/>
            <w:vAlign w:val="center"/>
          </w:tcPr>
          <w:p w14:paraId="751196DE" w14:textId="27FB65BC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M</w:t>
            </w:r>
            <w:r>
              <w:t>inister właściwy ds.</w:t>
            </w:r>
            <w:r w:rsidR="00A9510C">
              <w:t xml:space="preserve"> </w:t>
            </w:r>
            <w:r w:rsidR="00DF4E3E">
              <w:t>energii</w:t>
            </w:r>
          </w:p>
          <w:p w14:paraId="3ED5CB8B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Prezes PAA</w:t>
            </w:r>
          </w:p>
        </w:tc>
      </w:tr>
      <w:tr w:rsidR="00084F8B" w:rsidRPr="00800F6F" w14:paraId="237C9958" w14:textId="77777777" w:rsidTr="008B15C9">
        <w:trPr>
          <w:gridAfter w:val="1"/>
          <w:wAfter w:w="10" w:type="dxa"/>
          <w:trHeight w:val="565"/>
        </w:trPr>
        <w:tc>
          <w:tcPr>
            <w:tcW w:w="1620" w:type="dxa"/>
            <w:vAlign w:val="center"/>
          </w:tcPr>
          <w:p w14:paraId="1716573A" w14:textId="77777777" w:rsidR="00084F8B" w:rsidRPr="00800F6F" w:rsidRDefault="00084F8B" w:rsidP="00414FD4">
            <w:r w:rsidRPr="00800F6F">
              <w:t>Terminy realizacji</w:t>
            </w:r>
          </w:p>
        </w:tc>
        <w:tc>
          <w:tcPr>
            <w:tcW w:w="7740" w:type="dxa"/>
            <w:vAlign w:val="center"/>
          </w:tcPr>
          <w:p w14:paraId="4F1D1B45" w14:textId="3642D526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rPr>
                <w:color w:val="000000"/>
              </w:rPr>
              <w:t>Opracowanie wstępnej koncepcji instytucjonalnej systemu postępowania z odpadami promieniotwórczymi w Polsce, w tym pochodząc</w:t>
            </w:r>
            <w:r w:rsidR="00DD2EA9">
              <w:rPr>
                <w:color w:val="000000"/>
              </w:rPr>
              <w:t>ymi z energetyki jądrowej</w:t>
            </w:r>
            <w:r w:rsidR="00A9510C">
              <w:rPr>
                <w:color w:val="000000"/>
              </w:rPr>
              <w:t xml:space="preserve"> do roku </w:t>
            </w:r>
            <w:r w:rsidR="00DD2EA9">
              <w:rPr>
                <w:color w:val="000000"/>
              </w:rPr>
              <w:t>202</w:t>
            </w:r>
            <w:r w:rsidR="00A9510C">
              <w:rPr>
                <w:color w:val="000000"/>
              </w:rPr>
              <w:t>6</w:t>
            </w:r>
            <w:r w:rsidRPr="00800F6F">
              <w:rPr>
                <w:color w:val="000000"/>
              </w:rPr>
              <w:t xml:space="preserve"> </w:t>
            </w:r>
            <w:r w:rsidRPr="00800F6F">
              <w:t>r.</w:t>
            </w:r>
          </w:p>
          <w:p w14:paraId="3CF7F2A3" w14:textId="77777777" w:rsidR="00084F8B" w:rsidRPr="00A9510C" w:rsidRDefault="00084F8B" w:rsidP="008B15C9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/>
              <w:ind w:left="465" w:hanging="357"/>
            </w:pPr>
            <w:r w:rsidRPr="00800F6F">
              <w:rPr>
                <w:color w:val="000000"/>
              </w:rPr>
              <w:t>Opracowanie szczegółowej koncepcji instytucjonalnej systemu postępowania z odpadami promieniotwórczymi w Polsce, w tym pochodząc</w:t>
            </w:r>
            <w:r w:rsidR="00DD2EA9">
              <w:rPr>
                <w:color w:val="000000"/>
              </w:rPr>
              <w:t>ymi z energetyki jądrowej – 2029</w:t>
            </w:r>
            <w:r w:rsidRPr="00800F6F">
              <w:rPr>
                <w:color w:val="000000"/>
              </w:rPr>
              <w:t xml:space="preserve"> r.</w:t>
            </w:r>
          </w:p>
          <w:p w14:paraId="2AABFFAF" w14:textId="48C7BD33" w:rsidR="00A9510C" w:rsidRPr="00800F6F" w:rsidRDefault="00A9510C" w:rsidP="00A9510C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/>
              <w:ind w:left="465" w:hanging="357"/>
            </w:pPr>
            <w:r>
              <w:rPr>
                <w:color w:val="000000"/>
              </w:rPr>
              <w:t>Wprowadzenie niezbędnych zmian systemu prawnego – 2029-30 r.</w:t>
            </w:r>
          </w:p>
        </w:tc>
      </w:tr>
      <w:tr w:rsidR="00084F8B" w:rsidRPr="00800F6F" w14:paraId="47D40D12" w14:textId="77777777" w:rsidTr="00F738CD">
        <w:trPr>
          <w:gridAfter w:val="1"/>
          <w:wAfter w:w="10" w:type="dxa"/>
          <w:trHeight w:val="998"/>
        </w:trPr>
        <w:tc>
          <w:tcPr>
            <w:tcW w:w="1620" w:type="dxa"/>
            <w:vAlign w:val="center"/>
          </w:tcPr>
          <w:p w14:paraId="7E13845B" w14:textId="77777777" w:rsidR="00084F8B" w:rsidRPr="00800F6F" w:rsidRDefault="00084F8B" w:rsidP="00F738CD">
            <w:r w:rsidRPr="00800F6F">
              <w:t xml:space="preserve">Źródła finansowania </w:t>
            </w:r>
          </w:p>
        </w:tc>
        <w:tc>
          <w:tcPr>
            <w:tcW w:w="7740" w:type="dxa"/>
            <w:vAlign w:val="center"/>
          </w:tcPr>
          <w:p w14:paraId="4DC98A86" w14:textId="28C95FEA" w:rsidR="00084F8B" w:rsidRPr="00800F6F" w:rsidRDefault="00F40DAE" w:rsidP="00C467FD">
            <w:pPr>
              <w:numPr>
                <w:ilvl w:val="0"/>
                <w:numId w:val="107"/>
              </w:numPr>
              <w:spacing w:before="60" w:after="60"/>
              <w:ind w:left="475" w:hanging="425"/>
            </w:pPr>
            <w:r>
              <w:t>Ś</w:t>
            </w:r>
            <w:r w:rsidR="00AC4963" w:rsidRPr="00B9703D">
              <w:t>rodki</w:t>
            </w:r>
            <w:r w:rsidR="00AC4963">
              <w:t xml:space="preserve"> własne Ministra </w:t>
            </w:r>
            <w:r w:rsidR="0016160A">
              <w:t>Klimatu</w:t>
            </w:r>
            <w:r w:rsidR="00C467FD">
              <w:t xml:space="preserve"> </w:t>
            </w:r>
            <w:r w:rsidR="00FA31C1">
              <w:t>w</w:t>
            </w:r>
            <w:r w:rsidR="00AC4963">
              <w:t xml:space="preserve"> ramach określonego dla niego limitu wydatków na dany rok budżetowy </w:t>
            </w:r>
          </w:p>
        </w:tc>
      </w:tr>
    </w:tbl>
    <w:p w14:paraId="2D0655F0" w14:textId="77777777" w:rsidR="00084F8B" w:rsidRDefault="00084F8B" w:rsidP="00F738CD"/>
    <w:p w14:paraId="671BAF54" w14:textId="77777777" w:rsidR="00084F8B" w:rsidRDefault="00084F8B" w:rsidP="00F738CD"/>
    <w:tbl>
      <w:tblPr>
        <w:tblW w:w="93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40"/>
        <w:gridCol w:w="10"/>
      </w:tblGrid>
      <w:tr w:rsidR="00084F8B" w:rsidRPr="00800F6F" w14:paraId="15D6E671" w14:textId="77777777" w:rsidTr="0012437C">
        <w:trPr>
          <w:trHeight w:val="903"/>
        </w:trPr>
        <w:tc>
          <w:tcPr>
            <w:tcW w:w="1620" w:type="dxa"/>
            <w:shd w:val="clear" w:color="auto" w:fill="92D050"/>
            <w:vAlign w:val="center"/>
          </w:tcPr>
          <w:p w14:paraId="2C220CDF" w14:textId="77777777" w:rsidR="00084F8B" w:rsidRPr="00800F6F" w:rsidRDefault="00084F8B" w:rsidP="00414FD4">
            <w:pPr>
              <w:rPr>
                <w:b/>
                <w:color w:val="FFFFFF"/>
              </w:rPr>
            </w:pPr>
            <w:r w:rsidRPr="00800F6F">
              <w:rPr>
                <w:b/>
                <w:color w:val="FFFFFF"/>
              </w:rPr>
              <w:t xml:space="preserve">Działanie 3.2. </w:t>
            </w:r>
          </w:p>
        </w:tc>
        <w:tc>
          <w:tcPr>
            <w:tcW w:w="7750" w:type="dxa"/>
            <w:gridSpan w:val="2"/>
            <w:shd w:val="clear" w:color="auto" w:fill="92D050"/>
            <w:vAlign w:val="center"/>
          </w:tcPr>
          <w:p w14:paraId="31549B4F" w14:textId="77777777" w:rsidR="00084F8B" w:rsidRPr="00800F6F" w:rsidRDefault="00084F8B" w:rsidP="00F738CD">
            <w:pPr>
              <w:jc w:val="both"/>
              <w:rPr>
                <w:b/>
                <w:bCs/>
                <w:color w:val="FFFFFF"/>
              </w:rPr>
            </w:pPr>
            <w:r w:rsidRPr="00800F6F">
              <w:rPr>
                <w:b/>
                <w:color w:val="FFFFFF"/>
              </w:rPr>
              <w:t>System finansowania gospodarki odpadami promieniotwórczymi i wypalonym paliwem jądrowym, uwzględniający energetykę jądrową</w:t>
            </w:r>
          </w:p>
        </w:tc>
      </w:tr>
      <w:tr w:rsidR="00084F8B" w:rsidRPr="00800F6F" w14:paraId="6F775F7D" w14:textId="77777777" w:rsidTr="00F738CD">
        <w:trPr>
          <w:cantSplit/>
          <w:trHeight w:val="1089"/>
        </w:trPr>
        <w:tc>
          <w:tcPr>
            <w:tcW w:w="1620" w:type="dxa"/>
            <w:vAlign w:val="center"/>
          </w:tcPr>
          <w:p w14:paraId="70532E20" w14:textId="77777777" w:rsidR="00084F8B" w:rsidRPr="00800F6F" w:rsidRDefault="00084F8B" w:rsidP="00414FD4">
            <w:r w:rsidRPr="00800F6F">
              <w:lastRenderedPageBreak/>
              <w:t>Instrumenty</w:t>
            </w:r>
          </w:p>
          <w:p w14:paraId="421D80DA" w14:textId="77777777" w:rsidR="00084F8B" w:rsidRPr="00800F6F" w:rsidRDefault="00084F8B" w:rsidP="00414FD4">
            <w:r w:rsidRPr="00800F6F">
              <w:t>realizacji</w:t>
            </w:r>
          </w:p>
        </w:tc>
        <w:tc>
          <w:tcPr>
            <w:tcW w:w="7750" w:type="dxa"/>
            <w:gridSpan w:val="2"/>
            <w:vAlign w:val="center"/>
          </w:tcPr>
          <w:p w14:paraId="00E51586" w14:textId="77777777" w:rsidR="00084F8B" w:rsidRPr="00800F6F" w:rsidRDefault="00084F8B" w:rsidP="00CC6F4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Nowelizacja ustawy – Prawo atomowe wraz z aktami wykonawczymi</w:t>
            </w:r>
          </w:p>
        </w:tc>
      </w:tr>
      <w:tr w:rsidR="00084F8B" w:rsidRPr="00800F6F" w14:paraId="31EAAB2E" w14:textId="77777777" w:rsidTr="00F738CD">
        <w:trPr>
          <w:gridAfter w:val="1"/>
          <w:wAfter w:w="10" w:type="dxa"/>
          <w:trHeight w:val="519"/>
        </w:trPr>
        <w:tc>
          <w:tcPr>
            <w:tcW w:w="1620" w:type="dxa"/>
            <w:vAlign w:val="center"/>
          </w:tcPr>
          <w:p w14:paraId="519725E3" w14:textId="77777777" w:rsidR="00084F8B" w:rsidRPr="00800F6F" w:rsidRDefault="00084F8B" w:rsidP="00414FD4">
            <w:r w:rsidRPr="00800F6F">
              <w:t>Odpowiedzialni</w:t>
            </w:r>
          </w:p>
        </w:tc>
        <w:tc>
          <w:tcPr>
            <w:tcW w:w="7740" w:type="dxa"/>
            <w:vAlign w:val="center"/>
          </w:tcPr>
          <w:p w14:paraId="2E955500" w14:textId="77777777" w:rsidR="00084F8B" w:rsidRPr="00800F6F" w:rsidRDefault="00084F8B" w:rsidP="00DD2EA9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Minister właściwy ds. </w:t>
            </w:r>
            <w:r w:rsidR="00DD2EA9">
              <w:t xml:space="preserve">energii </w:t>
            </w:r>
          </w:p>
        </w:tc>
      </w:tr>
      <w:tr w:rsidR="00084F8B" w:rsidRPr="00800F6F" w14:paraId="5733851B" w14:textId="77777777" w:rsidTr="00F738CD">
        <w:trPr>
          <w:gridAfter w:val="1"/>
          <w:wAfter w:w="10" w:type="dxa"/>
          <w:trHeight w:val="998"/>
        </w:trPr>
        <w:tc>
          <w:tcPr>
            <w:tcW w:w="1620" w:type="dxa"/>
            <w:vAlign w:val="center"/>
          </w:tcPr>
          <w:p w14:paraId="12B5D6CF" w14:textId="77777777" w:rsidR="00084F8B" w:rsidRPr="00800F6F" w:rsidRDefault="00084F8B" w:rsidP="00414FD4">
            <w:r w:rsidRPr="00800F6F">
              <w:t>Terminy realizacji</w:t>
            </w:r>
          </w:p>
        </w:tc>
        <w:tc>
          <w:tcPr>
            <w:tcW w:w="7740" w:type="dxa"/>
            <w:vAlign w:val="center"/>
          </w:tcPr>
          <w:p w14:paraId="64FE8788" w14:textId="1D7731F9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rPr>
                <w:color w:val="000000"/>
              </w:rPr>
              <w:t>Opracowanie wstępnej koncepcji finansowania systemu postępowania z odpadami promieniotwórczymi w Polsce, w tym pochodząc</w:t>
            </w:r>
            <w:r w:rsidR="00A9510C">
              <w:rPr>
                <w:color w:val="000000"/>
              </w:rPr>
              <w:t>ymi z energetyki jądrowej – 2026</w:t>
            </w:r>
            <w:r w:rsidRPr="00800F6F">
              <w:rPr>
                <w:color w:val="000000"/>
              </w:rPr>
              <w:t xml:space="preserve"> r.</w:t>
            </w:r>
          </w:p>
          <w:p w14:paraId="00C4EBE9" w14:textId="77777777" w:rsidR="00084F8B" w:rsidRPr="00A9510C" w:rsidRDefault="00084F8B" w:rsidP="00CC6F4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rPr>
                <w:color w:val="000000"/>
              </w:rPr>
              <w:t>Opracowanie szczegółowej koncepcji finansowania systemu postępowania z odpadami promieniotwórczymi w Polsce, w tym pochodzą</w:t>
            </w:r>
            <w:r w:rsidR="00DD2EA9">
              <w:rPr>
                <w:color w:val="000000"/>
              </w:rPr>
              <w:t>cymi z energetyki jądrowej – 202</w:t>
            </w:r>
            <w:r w:rsidRPr="00800F6F">
              <w:rPr>
                <w:color w:val="000000"/>
              </w:rPr>
              <w:t>9 r.</w:t>
            </w:r>
          </w:p>
          <w:p w14:paraId="13A25F6D" w14:textId="298DDCC4" w:rsidR="00A9510C" w:rsidRPr="00800F6F" w:rsidRDefault="00A9510C" w:rsidP="00CC6F4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A9510C">
              <w:t>Wprowadzenie niezbędnych zmian systemu prawnego – 2029-30 r.</w:t>
            </w:r>
          </w:p>
        </w:tc>
      </w:tr>
      <w:tr w:rsidR="00084F8B" w:rsidRPr="00800F6F" w14:paraId="748DAD1C" w14:textId="77777777" w:rsidTr="00F738CD">
        <w:trPr>
          <w:gridAfter w:val="1"/>
          <w:wAfter w:w="10" w:type="dxa"/>
          <w:trHeight w:val="998"/>
        </w:trPr>
        <w:tc>
          <w:tcPr>
            <w:tcW w:w="1620" w:type="dxa"/>
            <w:vAlign w:val="center"/>
          </w:tcPr>
          <w:p w14:paraId="6E863299" w14:textId="77777777" w:rsidR="00084F8B" w:rsidRPr="00800F6F" w:rsidRDefault="00084F8B" w:rsidP="00F738CD">
            <w:r w:rsidRPr="00800F6F">
              <w:t xml:space="preserve">Źródła finansowania </w:t>
            </w:r>
          </w:p>
        </w:tc>
        <w:tc>
          <w:tcPr>
            <w:tcW w:w="7740" w:type="dxa"/>
            <w:vAlign w:val="center"/>
          </w:tcPr>
          <w:p w14:paraId="2D5016F6" w14:textId="0FD7A8C1" w:rsidR="00084F8B" w:rsidRPr="00800F6F" w:rsidRDefault="00F40DAE" w:rsidP="00DD2EA9">
            <w:pPr>
              <w:numPr>
                <w:ilvl w:val="0"/>
                <w:numId w:val="107"/>
              </w:numPr>
              <w:spacing w:before="60" w:after="60"/>
              <w:ind w:left="475" w:hanging="284"/>
            </w:pPr>
            <w:r>
              <w:t>Ś</w:t>
            </w:r>
            <w:r w:rsidR="00AC4963" w:rsidRPr="00B9703D">
              <w:t>rodki</w:t>
            </w:r>
            <w:r w:rsidR="00AC4963">
              <w:t xml:space="preserve"> własne Ministra </w:t>
            </w:r>
            <w:r w:rsidR="0016160A">
              <w:t>Klimatu</w:t>
            </w:r>
            <w:r w:rsidR="00C467FD">
              <w:t xml:space="preserve">  </w:t>
            </w:r>
            <w:r w:rsidR="00DD2EA9">
              <w:t xml:space="preserve"> </w:t>
            </w:r>
            <w:r w:rsidR="00AC4963">
              <w:t xml:space="preserve">w ramach określonego dla niego limitu wydatków na dany rok budżetowy </w:t>
            </w:r>
          </w:p>
        </w:tc>
      </w:tr>
    </w:tbl>
    <w:p w14:paraId="7A3711E4" w14:textId="77777777" w:rsidR="00084F8B" w:rsidRDefault="00084F8B" w:rsidP="00F738CD"/>
    <w:p w14:paraId="2DB64872" w14:textId="77777777" w:rsidR="00084F8B" w:rsidRPr="003564F4" w:rsidRDefault="00084F8B" w:rsidP="008D5796">
      <w:pPr>
        <w:pStyle w:val="Nagwek2"/>
      </w:pPr>
      <w:bookmarkStart w:id="215" w:name="_Toc397697075"/>
      <w:bookmarkStart w:id="216" w:name="_Toc424116772"/>
      <w:r>
        <w:t xml:space="preserve">Działanie IV. </w:t>
      </w:r>
      <w:r w:rsidRPr="003564F4">
        <w:t xml:space="preserve">Stworzenie programu naukowo-badawczego dotyczącego </w:t>
      </w:r>
      <w:r>
        <w:t>postępowania z</w:t>
      </w:r>
      <w:r w:rsidRPr="003564F4">
        <w:t xml:space="preserve"> odpadami promieniotwórczymi i wypalonym paliwem jądrowym</w:t>
      </w:r>
      <w:bookmarkEnd w:id="215"/>
      <w:bookmarkEnd w:id="216"/>
    </w:p>
    <w:p w14:paraId="4506178E" w14:textId="77777777" w:rsidR="00084F8B" w:rsidRDefault="00084F8B" w:rsidP="00F738CD"/>
    <w:tbl>
      <w:tblPr>
        <w:tblW w:w="93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40"/>
        <w:gridCol w:w="10"/>
      </w:tblGrid>
      <w:tr w:rsidR="00084F8B" w:rsidRPr="00800F6F" w14:paraId="353AB8AF" w14:textId="77777777" w:rsidTr="0012437C">
        <w:trPr>
          <w:trHeight w:val="903"/>
        </w:trPr>
        <w:tc>
          <w:tcPr>
            <w:tcW w:w="1620" w:type="dxa"/>
            <w:shd w:val="clear" w:color="auto" w:fill="92D050"/>
            <w:vAlign w:val="center"/>
          </w:tcPr>
          <w:p w14:paraId="15C269C5" w14:textId="77777777" w:rsidR="00084F8B" w:rsidRPr="00800F6F" w:rsidRDefault="00084F8B" w:rsidP="00414FD4">
            <w:pPr>
              <w:rPr>
                <w:b/>
                <w:color w:val="FFFFFF"/>
              </w:rPr>
            </w:pPr>
            <w:r w:rsidRPr="00800F6F">
              <w:rPr>
                <w:b/>
                <w:color w:val="FFFFFF"/>
              </w:rPr>
              <w:t xml:space="preserve">Działanie 4.1. </w:t>
            </w:r>
          </w:p>
        </w:tc>
        <w:tc>
          <w:tcPr>
            <w:tcW w:w="7750" w:type="dxa"/>
            <w:gridSpan w:val="2"/>
            <w:shd w:val="clear" w:color="auto" w:fill="92D050"/>
            <w:vAlign w:val="center"/>
          </w:tcPr>
          <w:p w14:paraId="5E607378" w14:textId="77777777" w:rsidR="00084F8B" w:rsidRPr="00800F6F" w:rsidRDefault="00084F8B" w:rsidP="00E34BE7">
            <w:pPr>
              <w:jc w:val="both"/>
              <w:rPr>
                <w:b/>
                <w:bCs/>
                <w:color w:val="FFFFFF"/>
              </w:rPr>
            </w:pPr>
            <w:r w:rsidRPr="00800F6F">
              <w:rPr>
                <w:b/>
                <w:bCs/>
                <w:color w:val="FFFFFF"/>
              </w:rPr>
              <w:t>Stworzenie programu naukowo-badawczego dotyczącego postępowania z odpadami promieniotwórczymi i wypalonym</w:t>
            </w:r>
            <w:r w:rsidRPr="00800F6F">
              <w:rPr>
                <w:color w:val="FFFFFF"/>
              </w:rPr>
              <w:t xml:space="preserve"> </w:t>
            </w:r>
            <w:r w:rsidRPr="00800F6F">
              <w:rPr>
                <w:b/>
                <w:bCs/>
                <w:color w:val="FFFFFF"/>
              </w:rPr>
              <w:t xml:space="preserve">paliwem jądrowym </w:t>
            </w:r>
          </w:p>
        </w:tc>
      </w:tr>
      <w:tr w:rsidR="00084F8B" w:rsidRPr="00800F6F" w14:paraId="1A5BD86F" w14:textId="77777777" w:rsidTr="00F738CD">
        <w:trPr>
          <w:cantSplit/>
          <w:trHeight w:val="1089"/>
        </w:trPr>
        <w:tc>
          <w:tcPr>
            <w:tcW w:w="1620" w:type="dxa"/>
            <w:vAlign w:val="center"/>
          </w:tcPr>
          <w:p w14:paraId="28CBCF3E" w14:textId="77777777" w:rsidR="00084F8B" w:rsidRPr="00800F6F" w:rsidRDefault="00084F8B" w:rsidP="00414FD4">
            <w:r w:rsidRPr="00800F6F">
              <w:t>Instrumenty</w:t>
            </w:r>
          </w:p>
          <w:p w14:paraId="2DDA43CF" w14:textId="77777777" w:rsidR="00084F8B" w:rsidRPr="00800F6F" w:rsidRDefault="00084F8B" w:rsidP="00414FD4">
            <w:r w:rsidRPr="00800F6F">
              <w:t>realizacji</w:t>
            </w:r>
          </w:p>
        </w:tc>
        <w:tc>
          <w:tcPr>
            <w:tcW w:w="7750" w:type="dxa"/>
            <w:gridSpan w:val="2"/>
            <w:vAlign w:val="center"/>
          </w:tcPr>
          <w:p w14:paraId="29681E36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Ustawa o instytutach badawczych </w:t>
            </w:r>
          </w:p>
        </w:tc>
      </w:tr>
      <w:tr w:rsidR="00084F8B" w:rsidRPr="00800F6F" w14:paraId="258E0D35" w14:textId="77777777" w:rsidTr="00F738CD">
        <w:trPr>
          <w:gridAfter w:val="1"/>
          <w:wAfter w:w="10" w:type="dxa"/>
          <w:trHeight w:val="519"/>
        </w:trPr>
        <w:tc>
          <w:tcPr>
            <w:tcW w:w="1620" w:type="dxa"/>
            <w:vAlign w:val="center"/>
          </w:tcPr>
          <w:p w14:paraId="508AD37E" w14:textId="77777777" w:rsidR="00084F8B" w:rsidRPr="00800F6F" w:rsidRDefault="00084F8B" w:rsidP="00414FD4">
            <w:r w:rsidRPr="00800F6F">
              <w:t>Odpowiedzialni</w:t>
            </w:r>
          </w:p>
        </w:tc>
        <w:tc>
          <w:tcPr>
            <w:tcW w:w="7740" w:type="dxa"/>
            <w:vAlign w:val="center"/>
          </w:tcPr>
          <w:p w14:paraId="78E07950" w14:textId="5639933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Minister właściwy ds. </w:t>
            </w:r>
            <w:r w:rsidR="005E7F1A">
              <w:t>energii</w:t>
            </w:r>
          </w:p>
          <w:p w14:paraId="569AEB85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Minister właściwy ds. nauki</w:t>
            </w:r>
          </w:p>
          <w:p w14:paraId="104A3818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NCBiR</w:t>
            </w:r>
          </w:p>
          <w:p w14:paraId="0A569DFB" w14:textId="77777777" w:rsidR="00084F8B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NCN</w:t>
            </w:r>
          </w:p>
          <w:p w14:paraId="3D780ADE" w14:textId="4145B95F" w:rsidR="00A9510C" w:rsidRPr="00800F6F" w:rsidRDefault="00A9510C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>ZUOP</w:t>
            </w:r>
          </w:p>
          <w:p w14:paraId="37F74E92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Instytut</w:t>
            </w:r>
            <w:r w:rsidR="004A3205">
              <w:t>y</w:t>
            </w:r>
            <w:r w:rsidRPr="00800F6F">
              <w:t xml:space="preserve"> naukowe i badawcze</w:t>
            </w:r>
          </w:p>
        </w:tc>
      </w:tr>
      <w:tr w:rsidR="00084F8B" w:rsidRPr="00800F6F" w14:paraId="34A202E4" w14:textId="77777777" w:rsidTr="00F738CD">
        <w:trPr>
          <w:gridAfter w:val="1"/>
          <w:wAfter w:w="10" w:type="dxa"/>
          <w:trHeight w:val="998"/>
        </w:trPr>
        <w:tc>
          <w:tcPr>
            <w:tcW w:w="1620" w:type="dxa"/>
            <w:vAlign w:val="center"/>
          </w:tcPr>
          <w:p w14:paraId="559D7FBF" w14:textId="77777777" w:rsidR="00084F8B" w:rsidRPr="00800F6F" w:rsidRDefault="00084F8B" w:rsidP="008833A1">
            <w:r w:rsidRPr="00800F6F">
              <w:t>Terminy realizacji</w:t>
            </w:r>
          </w:p>
        </w:tc>
        <w:tc>
          <w:tcPr>
            <w:tcW w:w="7740" w:type="dxa"/>
            <w:vAlign w:val="center"/>
          </w:tcPr>
          <w:p w14:paraId="163AA5E5" w14:textId="201DD46A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Opracowanie projektu programu naukowo-badawczego</w:t>
            </w:r>
            <w:r w:rsidRPr="00800F6F">
              <w:rPr>
                <w:b/>
                <w:bCs/>
              </w:rPr>
              <w:t xml:space="preserve"> </w:t>
            </w:r>
            <w:r w:rsidR="00C53D83">
              <w:t>– 2020-</w:t>
            </w:r>
            <w:r w:rsidR="00A9510C">
              <w:t xml:space="preserve">22 </w:t>
            </w:r>
            <w:r w:rsidRPr="00800F6F">
              <w:t>r.</w:t>
            </w:r>
          </w:p>
          <w:p w14:paraId="62FAFE0F" w14:textId="594E043E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Wyłonienie w</w:t>
            </w:r>
            <w:r w:rsidR="00A9510C">
              <w:t>ykonawców - 2023</w:t>
            </w:r>
            <w:r w:rsidRPr="00800F6F">
              <w:t xml:space="preserve"> r.</w:t>
            </w:r>
          </w:p>
          <w:p w14:paraId="51F1644F" w14:textId="135C894B" w:rsidR="00084F8B" w:rsidRPr="00800F6F" w:rsidRDefault="00DD2EA9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 xml:space="preserve">Realizacja </w:t>
            </w:r>
            <w:r w:rsidR="00A9510C">
              <w:t>–</w:t>
            </w:r>
            <w:r>
              <w:t xml:space="preserve"> 2023</w:t>
            </w:r>
            <w:r w:rsidR="00A9510C">
              <w:t xml:space="preserve"> -26</w:t>
            </w:r>
            <w:r w:rsidR="00084F8B" w:rsidRPr="00800F6F">
              <w:t xml:space="preserve"> r.</w:t>
            </w:r>
          </w:p>
        </w:tc>
      </w:tr>
      <w:tr w:rsidR="00084F8B" w:rsidRPr="00800F6F" w14:paraId="5E123DD5" w14:textId="77777777" w:rsidTr="00F738CD">
        <w:trPr>
          <w:gridAfter w:val="1"/>
          <w:wAfter w:w="10" w:type="dxa"/>
          <w:trHeight w:val="998"/>
        </w:trPr>
        <w:tc>
          <w:tcPr>
            <w:tcW w:w="1620" w:type="dxa"/>
            <w:vAlign w:val="center"/>
          </w:tcPr>
          <w:p w14:paraId="4655B6A6" w14:textId="77777777" w:rsidR="00084F8B" w:rsidRPr="00800F6F" w:rsidRDefault="00084F8B" w:rsidP="00F738CD">
            <w:r w:rsidRPr="00800F6F">
              <w:t xml:space="preserve">Źródła finansowania </w:t>
            </w:r>
          </w:p>
        </w:tc>
        <w:tc>
          <w:tcPr>
            <w:tcW w:w="7740" w:type="dxa"/>
            <w:vAlign w:val="center"/>
          </w:tcPr>
          <w:p w14:paraId="614CE5A1" w14:textId="77777777" w:rsidR="00084F8B" w:rsidRPr="00800F6F" w:rsidRDefault="00084F8B" w:rsidP="00C87B85">
            <w:pPr>
              <w:numPr>
                <w:ilvl w:val="0"/>
                <w:numId w:val="107"/>
              </w:numPr>
              <w:spacing w:before="60" w:after="60"/>
              <w:ind w:left="475" w:hanging="284"/>
            </w:pPr>
            <w:r w:rsidRPr="00800F6F">
              <w:t>Środki NCBiR i NCN</w:t>
            </w:r>
          </w:p>
        </w:tc>
      </w:tr>
    </w:tbl>
    <w:p w14:paraId="7CDB073E" w14:textId="77777777" w:rsidR="00084F8B" w:rsidRDefault="00084F8B" w:rsidP="00F738CD"/>
    <w:p w14:paraId="79B1C0D1" w14:textId="77777777" w:rsidR="00084F8B" w:rsidRPr="00557F9F" w:rsidRDefault="00084F8B" w:rsidP="008D5796">
      <w:pPr>
        <w:pStyle w:val="Nagwek2"/>
      </w:pPr>
      <w:bookmarkStart w:id="217" w:name="_Toc397697076"/>
      <w:bookmarkStart w:id="218" w:name="_Toc424116773"/>
      <w:r>
        <w:t xml:space="preserve">Działanie V. </w:t>
      </w:r>
      <w:r w:rsidRPr="00557F9F">
        <w:t>Przygotowanie kadr dla krajowych instytucji</w:t>
      </w:r>
      <w:r>
        <w:t xml:space="preserve"> i podmiotów gospodarczych </w:t>
      </w:r>
      <w:r w:rsidRPr="00557F9F">
        <w:t>zaangażowanych</w:t>
      </w:r>
      <w:r>
        <w:t xml:space="preserve"> </w:t>
      </w:r>
      <w:r w:rsidRPr="00557F9F">
        <w:t>w postępowanie z odpadami promieniotwórczymi</w:t>
      </w:r>
      <w:r>
        <w:t xml:space="preserve"> </w:t>
      </w:r>
      <w:r w:rsidR="002D6639">
        <w:t>oraz</w:t>
      </w:r>
      <w:r w:rsidR="000928BB">
        <w:t xml:space="preserve"> </w:t>
      </w:r>
      <w:r w:rsidR="00CB7264">
        <w:t>n</w:t>
      </w:r>
      <w:r>
        <w:t>adzór nad tym postępowaniem</w:t>
      </w:r>
      <w:bookmarkEnd w:id="217"/>
      <w:bookmarkEnd w:id="218"/>
      <w:r>
        <w:t xml:space="preserve"> </w:t>
      </w:r>
    </w:p>
    <w:p w14:paraId="333F1653" w14:textId="77777777" w:rsidR="00084F8B" w:rsidRDefault="00084F8B" w:rsidP="00F738CD"/>
    <w:tbl>
      <w:tblPr>
        <w:tblW w:w="93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40"/>
        <w:gridCol w:w="10"/>
      </w:tblGrid>
      <w:tr w:rsidR="00084F8B" w:rsidRPr="00800F6F" w14:paraId="40BD537E" w14:textId="77777777" w:rsidTr="0012437C">
        <w:trPr>
          <w:trHeight w:val="903"/>
        </w:trPr>
        <w:tc>
          <w:tcPr>
            <w:tcW w:w="1620" w:type="dxa"/>
            <w:shd w:val="clear" w:color="auto" w:fill="92D050"/>
            <w:vAlign w:val="center"/>
          </w:tcPr>
          <w:p w14:paraId="1648467F" w14:textId="77777777" w:rsidR="00084F8B" w:rsidRPr="00800F6F" w:rsidRDefault="00084F8B" w:rsidP="00414FD4">
            <w:pPr>
              <w:rPr>
                <w:b/>
                <w:color w:val="FFFFFF"/>
              </w:rPr>
            </w:pPr>
            <w:r w:rsidRPr="00800F6F">
              <w:rPr>
                <w:b/>
                <w:color w:val="FFFFFF"/>
              </w:rPr>
              <w:lastRenderedPageBreak/>
              <w:t>Działanie 5.1.</w:t>
            </w:r>
          </w:p>
        </w:tc>
        <w:tc>
          <w:tcPr>
            <w:tcW w:w="7750" w:type="dxa"/>
            <w:gridSpan w:val="2"/>
            <w:shd w:val="clear" w:color="auto" w:fill="92D050"/>
            <w:vAlign w:val="center"/>
          </w:tcPr>
          <w:p w14:paraId="6DC52F88" w14:textId="77777777" w:rsidR="00084F8B" w:rsidRPr="00800F6F" w:rsidRDefault="00084F8B" w:rsidP="00F738CD">
            <w:pPr>
              <w:jc w:val="both"/>
              <w:rPr>
                <w:b/>
                <w:bCs/>
                <w:color w:val="FFFFFF"/>
              </w:rPr>
            </w:pPr>
            <w:r w:rsidRPr="00800F6F">
              <w:rPr>
                <w:b/>
                <w:bCs/>
                <w:color w:val="FFFFFF"/>
              </w:rPr>
              <w:t>Przygotowanie kadr</w:t>
            </w:r>
          </w:p>
        </w:tc>
      </w:tr>
      <w:tr w:rsidR="00084F8B" w:rsidRPr="00800F6F" w14:paraId="527CCC26" w14:textId="77777777" w:rsidTr="00F738CD">
        <w:trPr>
          <w:cantSplit/>
          <w:trHeight w:val="1089"/>
        </w:trPr>
        <w:tc>
          <w:tcPr>
            <w:tcW w:w="1620" w:type="dxa"/>
            <w:vAlign w:val="center"/>
          </w:tcPr>
          <w:p w14:paraId="3A38CF95" w14:textId="77777777" w:rsidR="00084F8B" w:rsidRPr="00800F6F" w:rsidRDefault="00084F8B" w:rsidP="00F738CD">
            <w:r w:rsidRPr="00800F6F">
              <w:t>Instrumenty</w:t>
            </w:r>
          </w:p>
          <w:p w14:paraId="3080538F" w14:textId="77777777" w:rsidR="00084F8B" w:rsidRPr="00800F6F" w:rsidRDefault="00084F8B" w:rsidP="00F738CD">
            <w:r w:rsidRPr="00800F6F">
              <w:t>realizacji</w:t>
            </w:r>
          </w:p>
        </w:tc>
        <w:tc>
          <w:tcPr>
            <w:tcW w:w="7750" w:type="dxa"/>
            <w:gridSpan w:val="2"/>
            <w:vAlign w:val="center"/>
          </w:tcPr>
          <w:p w14:paraId="461252EA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Ustawa o służbie cywilnej </w:t>
            </w:r>
          </w:p>
          <w:p w14:paraId="3FAA84FA" w14:textId="336AA72C" w:rsidR="00084F8B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Ustawa </w:t>
            </w:r>
            <w:r w:rsidR="00C53D83">
              <w:t xml:space="preserve">- </w:t>
            </w:r>
            <w:r w:rsidRPr="00800F6F">
              <w:t>Prawo atomowe</w:t>
            </w:r>
          </w:p>
          <w:p w14:paraId="09ABFF9C" w14:textId="77777777" w:rsidR="00F056D7" w:rsidRDefault="00F056D7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 xml:space="preserve">Ustawa o finansach publicznych </w:t>
            </w:r>
          </w:p>
          <w:p w14:paraId="4803BD2A" w14:textId="13595FFC" w:rsidR="005C300C" w:rsidRPr="00800F6F" w:rsidRDefault="005C300C" w:rsidP="005C300C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t>uzyskanie</w:t>
            </w:r>
            <w:r w:rsidRPr="005C300C">
              <w:t xml:space="preserve"> dodatkowych środków z budżetu państwa</w:t>
            </w:r>
          </w:p>
        </w:tc>
      </w:tr>
      <w:tr w:rsidR="00084F8B" w:rsidRPr="00800F6F" w14:paraId="0FAF3C89" w14:textId="77777777" w:rsidTr="00F738CD">
        <w:trPr>
          <w:gridAfter w:val="1"/>
          <w:wAfter w:w="10" w:type="dxa"/>
          <w:trHeight w:val="519"/>
        </w:trPr>
        <w:tc>
          <w:tcPr>
            <w:tcW w:w="1620" w:type="dxa"/>
            <w:vAlign w:val="center"/>
          </w:tcPr>
          <w:p w14:paraId="18B0AA1E" w14:textId="77777777" w:rsidR="00084F8B" w:rsidRPr="00800F6F" w:rsidRDefault="00084F8B" w:rsidP="00C40801">
            <w:pPr>
              <w:ind w:firstLine="26"/>
            </w:pPr>
            <w:r w:rsidRPr="00800F6F">
              <w:t>Odpowiedzialni</w:t>
            </w:r>
          </w:p>
        </w:tc>
        <w:tc>
          <w:tcPr>
            <w:tcW w:w="7740" w:type="dxa"/>
            <w:vAlign w:val="center"/>
          </w:tcPr>
          <w:p w14:paraId="4C7B1258" w14:textId="79D175AD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 xml:space="preserve">Minister właściwy ds. </w:t>
            </w:r>
            <w:r w:rsidR="005E7F1A">
              <w:t>energii</w:t>
            </w:r>
          </w:p>
          <w:p w14:paraId="287BA4D1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Prezes PAA</w:t>
            </w:r>
          </w:p>
          <w:p w14:paraId="2A6EC084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ZUOP</w:t>
            </w:r>
          </w:p>
          <w:p w14:paraId="75DC5294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Instytuty naukowe i badawcze</w:t>
            </w:r>
          </w:p>
          <w:p w14:paraId="2058F4AC" w14:textId="77777777" w:rsidR="00084F8B" w:rsidRPr="00800F6F" w:rsidRDefault="00084F8B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 w:rsidRPr="00800F6F">
              <w:t>Inwestor</w:t>
            </w:r>
          </w:p>
        </w:tc>
      </w:tr>
      <w:tr w:rsidR="00084F8B" w:rsidRPr="00800F6F" w14:paraId="3D70FD16" w14:textId="77777777" w:rsidTr="00F738CD">
        <w:trPr>
          <w:gridAfter w:val="1"/>
          <w:wAfter w:w="10" w:type="dxa"/>
          <w:trHeight w:val="998"/>
        </w:trPr>
        <w:tc>
          <w:tcPr>
            <w:tcW w:w="1620" w:type="dxa"/>
            <w:vAlign w:val="center"/>
          </w:tcPr>
          <w:p w14:paraId="50B20346" w14:textId="77777777" w:rsidR="00084F8B" w:rsidRPr="00800F6F" w:rsidRDefault="00084F8B" w:rsidP="00C40801">
            <w:pPr>
              <w:ind w:firstLine="26"/>
              <w:jc w:val="center"/>
            </w:pPr>
            <w:r w:rsidRPr="00800F6F">
              <w:t>Terminy realizacji</w:t>
            </w:r>
          </w:p>
        </w:tc>
        <w:tc>
          <w:tcPr>
            <w:tcW w:w="7740" w:type="dxa"/>
            <w:vAlign w:val="center"/>
          </w:tcPr>
          <w:p w14:paraId="58347469" w14:textId="7E089AEC" w:rsidR="00084F8B" w:rsidRPr="00800F6F" w:rsidRDefault="00DD2EA9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rPr>
                <w:color w:val="000000"/>
              </w:rPr>
              <w:t>Ponowne o</w:t>
            </w:r>
            <w:r w:rsidR="00084F8B" w:rsidRPr="00800F6F">
              <w:rPr>
                <w:color w:val="000000"/>
              </w:rPr>
              <w:t xml:space="preserve">szacowanie potrzeb poszczególnych instytucji w tym </w:t>
            </w:r>
            <w:r w:rsidR="00FA31C1" w:rsidRPr="00800F6F">
              <w:rPr>
                <w:color w:val="000000"/>
              </w:rPr>
              <w:t xml:space="preserve">zakresie </w:t>
            </w:r>
            <w:r w:rsidR="00FA31C1">
              <w:t>- 2021</w:t>
            </w:r>
            <w:r w:rsidR="00FA31C1" w:rsidRPr="00800F6F">
              <w:t xml:space="preserve"> </w:t>
            </w:r>
            <w:r w:rsidR="00FA31C1">
              <w:t>- 22r</w:t>
            </w:r>
            <w:r w:rsidR="00084F8B" w:rsidRPr="00800F6F">
              <w:t>.</w:t>
            </w:r>
          </w:p>
          <w:p w14:paraId="6F62D422" w14:textId="5A19DB12" w:rsidR="00084F8B" w:rsidRPr="00800F6F" w:rsidRDefault="00DD2EA9" w:rsidP="00F738CD">
            <w:pPr>
              <w:numPr>
                <w:ilvl w:val="0"/>
                <w:numId w:val="49"/>
              </w:numPr>
              <w:tabs>
                <w:tab w:val="clear" w:pos="720"/>
              </w:tabs>
              <w:spacing w:before="60" w:after="60"/>
              <w:ind w:left="470"/>
            </w:pPr>
            <w:r>
              <w:rPr>
                <w:color w:val="000000"/>
              </w:rPr>
              <w:t xml:space="preserve">Realizacja </w:t>
            </w:r>
            <w:r w:rsidR="00FA31C1">
              <w:rPr>
                <w:color w:val="000000"/>
              </w:rPr>
              <w:t xml:space="preserve">działań </w:t>
            </w:r>
            <w:r w:rsidR="00FA31C1" w:rsidRPr="00800F6F">
              <w:rPr>
                <w:color w:val="000000"/>
              </w:rPr>
              <w:t>- charakter</w:t>
            </w:r>
            <w:r w:rsidR="00084F8B" w:rsidRPr="00800F6F">
              <w:rPr>
                <w:color w:val="000000"/>
              </w:rPr>
              <w:t xml:space="preserve"> ciągły</w:t>
            </w:r>
          </w:p>
        </w:tc>
      </w:tr>
      <w:tr w:rsidR="00084F8B" w:rsidRPr="00800F6F" w14:paraId="1DCE8F1B" w14:textId="77777777" w:rsidTr="00F738CD">
        <w:trPr>
          <w:gridAfter w:val="1"/>
          <w:wAfter w:w="10" w:type="dxa"/>
          <w:trHeight w:val="998"/>
        </w:trPr>
        <w:tc>
          <w:tcPr>
            <w:tcW w:w="1620" w:type="dxa"/>
            <w:vAlign w:val="center"/>
          </w:tcPr>
          <w:p w14:paraId="32A9FBA7" w14:textId="77777777" w:rsidR="00084F8B" w:rsidRPr="00800F6F" w:rsidRDefault="00084F8B" w:rsidP="00C40801">
            <w:pPr>
              <w:jc w:val="center"/>
            </w:pPr>
            <w:r w:rsidRPr="00800F6F">
              <w:t>Źródła finansowania</w:t>
            </w:r>
          </w:p>
        </w:tc>
        <w:tc>
          <w:tcPr>
            <w:tcW w:w="7740" w:type="dxa"/>
            <w:vAlign w:val="center"/>
          </w:tcPr>
          <w:p w14:paraId="72875D99" w14:textId="77777777" w:rsidR="00084F8B" w:rsidRDefault="00084F8B" w:rsidP="008833A1">
            <w:pPr>
              <w:numPr>
                <w:ilvl w:val="0"/>
                <w:numId w:val="107"/>
              </w:numPr>
              <w:spacing w:before="60" w:after="60"/>
              <w:ind w:left="475" w:hanging="284"/>
            </w:pPr>
            <w:r w:rsidRPr="00800F6F">
              <w:t>Budżet poszczególnych instytucji</w:t>
            </w:r>
            <w:r w:rsidR="00F056D7">
              <w:t>;</w:t>
            </w:r>
          </w:p>
          <w:p w14:paraId="3E27F429" w14:textId="64E2D68A" w:rsidR="00F056D7" w:rsidRPr="00800F6F" w:rsidRDefault="00F056D7" w:rsidP="008833A1">
            <w:pPr>
              <w:numPr>
                <w:ilvl w:val="0"/>
                <w:numId w:val="107"/>
              </w:numPr>
              <w:spacing w:before="60" w:after="60"/>
              <w:ind w:left="475" w:hanging="284"/>
            </w:pPr>
            <w:r>
              <w:t>Program wieloletni (ZUOP)</w:t>
            </w:r>
          </w:p>
        </w:tc>
      </w:tr>
    </w:tbl>
    <w:p w14:paraId="1854B9DB" w14:textId="4E1E9BCF" w:rsidR="00084F8B" w:rsidRDefault="00084F8B" w:rsidP="00F738CD"/>
    <w:p w14:paraId="056ABF22" w14:textId="77777777" w:rsidR="00192B60" w:rsidRDefault="00192B60" w:rsidP="00192B60"/>
    <w:p w14:paraId="6B333425" w14:textId="77777777" w:rsidR="00192B60" w:rsidRDefault="00192B60" w:rsidP="00192B60">
      <w:pPr>
        <w:spacing w:before="120" w:after="120"/>
        <w:jc w:val="both"/>
        <w:sectPr w:rsidR="00192B60" w:rsidSect="00596CB4"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26646382" w14:textId="124512E5" w:rsidR="00192B60" w:rsidRDefault="00192B60" w:rsidP="00192B60">
      <w:pPr>
        <w:pStyle w:val="Nagwek1"/>
        <w:jc w:val="center"/>
      </w:pPr>
      <w:r>
        <w:lastRenderedPageBreak/>
        <w:t xml:space="preserve">Załącznik </w:t>
      </w:r>
      <w:r w:rsidR="00FA31C1">
        <w:t xml:space="preserve">NR 2. </w:t>
      </w:r>
      <w:r w:rsidRPr="00662639">
        <w:rPr>
          <w:i/>
        </w:rPr>
        <w:t xml:space="preserve">Ocena kosztów postępowania z wypalonym paliwem jądrowym i odpadami promieniotwórczymi z uwzględnieniem </w:t>
      </w:r>
      <w:r w:rsidR="00FA31C1" w:rsidRPr="00662639">
        <w:rPr>
          <w:i/>
        </w:rPr>
        <w:t>LIKWIDACJI ELEKTROWNI</w:t>
      </w:r>
      <w:r w:rsidRPr="00662639">
        <w:rPr>
          <w:i/>
        </w:rPr>
        <w:t xml:space="preserve"> jądrowych w Polsce na potrzeby oceny kosztów realizacji Krajowego planu postępowania z wypalonym paliwem jądrowym i odpadami promieniotwórczymi</w:t>
      </w:r>
    </w:p>
    <w:p w14:paraId="68484FCE" w14:textId="38E59DD0" w:rsidR="009A1843" w:rsidRPr="009A1843" w:rsidRDefault="009A1843" w:rsidP="009A1843">
      <w:pPr>
        <w:rPr>
          <w:b/>
          <w:bCs/>
        </w:rPr>
      </w:pPr>
      <w:r w:rsidRPr="009A1843">
        <w:rPr>
          <w:b/>
          <w:bCs/>
        </w:rPr>
        <w:t xml:space="preserve">Tabela </w:t>
      </w:r>
      <w:r>
        <w:rPr>
          <w:b/>
          <w:bCs/>
        </w:rPr>
        <w:t xml:space="preserve"> 1</w:t>
      </w:r>
      <w:r w:rsidRPr="009A1843">
        <w:rPr>
          <w:b/>
          <w:bCs/>
        </w:rPr>
        <w:t xml:space="preserve"> Wartości referencyjne dla Polski (2018)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6125"/>
        <w:gridCol w:w="1460"/>
        <w:gridCol w:w="1475"/>
      </w:tblGrid>
      <w:tr w:rsidR="005A46F3" w:rsidRPr="005A46F3" w14:paraId="198F2108" w14:textId="77777777" w:rsidTr="005A46F3">
        <w:trPr>
          <w:cantSplit/>
          <w:trHeight w:val="19"/>
          <w:tblHeader/>
        </w:trPr>
        <w:tc>
          <w:tcPr>
            <w:tcW w:w="3380" w:type="pct"/>
            <w:shd w:val="clear" w:color="auto" w:fill="FFE600"/>
            <w:vAlign w:val="center"/>
          </w:tcPr>
          <w:p w14:paraId="56CEEFE5" w14:textId="77777777" w:rsidR="005A46F3" w:rsidRPr="005A46F3" w:rsidRDefault="005A46F3" w:rsidP="005A46F3">
            <w:pPr>
              <w:rPr>
                <w:b/>
              </w:rPr>
            </w:pPr>
            <w:r w:rsidRPr="005A46F3">
              <w:rPr>
                <w:b/>
              </w:rPr>
              <w:t>Wartość referencyjna</w:t>
            </w:r>
          </w:p>
        </w:tc>
        <w:tc>
          <w:tcPr>
            <w:tcW w:w="806" w:type="pct"/>
            <w:shd w:val="clear" w:color="auto" w:fill="FFE600"/>
            <w:vAlign w:val="center"/>
          </w:tcPr>
          <w:p w14:paraId="5BD5F8A2" w14:textId="77777777" w:rsidR="005A46F3" w:rsidRPr="005A46F3" w:rsidRDefault="005A46F3" w:rsidP="005A46F3">
            <w:pPr>
              <w:rPr>
                <w:b/>
              </w:rPr>
            </w:pPr>
            <w:r w:rsidRPr="005A46F3">
              <w:rPr>
                <w:b/>
              </w:rPr>
              <w:t>Wartość</w:t>
            </w:r>
          </w:p>
        </w:tc>
        <w:tc>
          <w:tcPr>
            <w:tcW w:w="814" w:type="pct"/>
            <w:shd w:val="clear" w:color="auto" w:fill="FFE600"/>
          </w:tcPr>
          <w:p w14:paraId="3AB053E4" w14:textId="77777777" w:rsidR="005A46F3" w:rsidRPr="005A46F3" w:rsidRDefault="005A46F3" w:rsidP="005A46F3">
            <w:pPr>
              <w:rPr>
                <w:b/>
              </w:rPr>
            </w:pPr>
            <w:r w:rsidRPr="005A46F3">
              <w:rPr>
                <w:b/>
              </w:rPr>
              <w:t>Jednostka</w:t>
            </w:r>
          </w:p>
        </w:tc>
      </w:tr>
      <w:tr w:rsidR="005A46F3" w:rsidRPr="005A46F3" w14:paraId="3E714BE8" w14:textId="77777777" w:rsidTr="00CC772B">
        <w:trPr>
          <w:cantSplit/>
          <w:trHeight w:val="295"/>
          <w:tblHeader/>
        </w:trPr>
        <w:tc>
          <w:tcPr>
            <w:tcW w:w="3380" w:type="pct"/>
            <w:vAlign w:val="bottom"/>
          </w:tcPr>
          <w:p w14:paraId="22F2E329" w14:textId="77777777" w:rsidR="005A46F3" w:rsidRPr="005A46F3" w:rsidRDefault="005A46F3" w:rsidP="005A46F3">
            <w:r w:rsidRPr="005A46F3">
              <w:t>Postępowanie z odpadami promieniotwórczymi niskoaktywnymi</w:t>
            </w:r>
          </w:p>
        </w:tc>
        <w:tc>
          <w:tcPr>
            <w:tcW w:w="806" w:type="pct"/>
            <w:vAlign w:val="center"/>
          </w:tcPr>
          <w:p w14:paraId="5B0158A9" w14:textId="77777777" w:rsidR="005A46F3" w:rsidRPr="005A46F3" w:rsidRDefault="005A46F3" w:rsidP="005A46F3">
            <w:r w:rsidRPr="005A46F3">
              <w:t>18 755</w:t>
            </w:r>
          </w:p>
        </w:tc>
        <w:tc>
          <w:tcPr>
            <w:tcW w:w="814" w:type="pct"/>
            <w:vAlign w:val="center"/>
          </w:tcPr>
          <w:p w14:paraId="5DB33125" w14:textId="77777777" w:rsidR="005A46F3" w:rsidRPr="005A46F3" w:rsidRDefault="005A46F3" w:rsidP="005A46F3">
            <w:r w:rsidRPr="005A46F3">
              <w:t>PLN / m</w:t>
            </w:r>
            <w:r w:rsidRPr="005A46F3">
              <w:rPr>
                <w:vertAlign w:val="superscript"/>
              </w:rPr>
              <w:t>3</w:t>
            </w:r>
          </w:p>
        </w:tc>
      </w:tr>
      <w:tr w:rsidR="005A46F3" w:rsidRPr="005A46F3" w14:paraId="2DD90BAD" w14:textId="77777777" w:rsidTr="005A46F3">
        <w:trPr>
          <w:cantSplit/>
          <w:trHeight w:val="19"/>
          <w:tblHeader/>
        </w:trPr>
        <w:tc>
          <w:tcPr>
            <w:tcW w:w="3380" w:type="pct"/>
            <w:vAlign w:val="bottom"/>
          </w:tcPr>
          <w:p w14:paraId="1B79D99A" w14:textId="77777777" w:rsidR="005A46F3" w:rsidRPr="005A46F3" w:rsidRDefault="005A46F3" w:rsidP="005A46F3">
            <w:r w:rsidRPr="005A46F3">
              <w:t>Postępowanie z odpadami promieniotwórczymi średnioaktywnymi</w:t>
            </w:r>
          </w:p>
        </w:tc>
        <w:tc>
          <w:tcPr>
            <w:tcW w:w="806" w:type="pct"/>
            <w:vAlign w:val="center"/>
          </w:tcPr>
          <w:p w14:paraId="2C9DA603" w14:textId="77777777" w:rsidR="005A46F3" w:rsidRPr="005A46F3" w:rsidRDefault="005A46F3" w:rsidP="005A46F3">
            <w:r w:rsidRPr="005A46F3">
              <w:t>86 288</w:t>
            </w:r>
          </w:p>
        </w:tc>
        <w:tc>
          <w:tcPr>
            <w:tcW w:w="814" w:type="pct"/>
            <w:vAlign w:val="center"/>
          </w:tcPr>
          <w:p w14:paraId="36F69C5A" w14:textId="77777777" w:rsidR="005A46F3" w:rsidRPr="005A46F3" w:rsidRDefault="005A46F3" w:rsidP="005A46F3">
            <w:r w:rsidRPr="005A46F3">
              <w:t>PLN / m</w:t>
            </w:r>
            <w:r w:rsidRPr="005A46F3">
              <w:rPr>
                <w:vertAlign w:val="superscript"/>
              </w:rPr>
              <w:t>3</w:t>
            </w:r>
          </w:p>
        </w:tc>
      </w:tr>
      <w:tr w:rsidR="005A46F3" w:rsidRPr="005A46F3" w14:paraId="74CE026E" w14:textId="77777777" w:rsidTr="005A46F3">
        <w:trPr>
          <w:cantSplit/>
          <w:trHeight w:val="19"/>
          <w:tblHeader/>
        </w:trPr>
        <w:tc>
          <w:tcPr>
            <w:tcW w:w="3380" w:type="pct"/>
            <w:vAlign w:val="bottom"/>
          </w:tcPr>
          <w:p w14:paraId="7AA1C3A9" w14:textId="77777777" w:rsidR="005A46F3" w:rsidRPr="005A46F3" w:rsidRDefault="005A46F3" w:rsidP="005A46F3">
            <w:r w:rsidRPr="005A46F3">
              <w:t>Postępowanie z odpadami wysokoaktywnymi i wypalonym paliwem jądrowym</w:t>
            </w:r>
          </w:p>
        </w:tc>
        <w:tc>
          <w:tcPr>
            <w:tcW w:w="806" w:type="pct"/>
            <w:vAlign w:val="center"/>
          </w:tcPr>
          <w:p w14:paraId="2ADC261A" w14:textId="77777777" w:rsidR="005A46F3" w:rsidRPr="005A46F3" w:rsidRDefault="005A46F3" w:rsidP="005A46F3">
            <w:r w:rsidRPr="005A46F3">
              <w:t>3 500 000</w:t>
            </w:r>
          </w:p>
        </w:tc>
        <w:tc>
          <w:tcPr>
            <w:tcW w:w="814" w:type="pct"/>
            <w:vAlign w:val="center"/>
          </w:tcPr>
          <w:p w14:paraId="5AAE8916" w14:textId="77777777" w:rsidR="005A46F3" w:rsidRPr="005A46F3" w:rsidRDefault="005A46F3" w:rsidP="005A46F3">
            <w:r w:rsidRPr="005A46F3">
              <w:t>PLN / tHM</w:t>
            </w:r>
          </w:p>
        </w:tc>
      </w:tr>
      <w:tr w:rsidR="005A46F3" w:rsidRPr="005A46F3" w14:paraId="293C24B8" w14:textId="77777777" w:rsidTr="005A46F3">
        <w:trPr>
          <w:cantSplit/>
          <w:trHeight w:val="19"/>
          <w:tblHeader/>
        </w:trPr>
        <w:tc>
          <w:tcPr>
            <w:tcW w:w="3380" w:type="pct"/>
            <w:vAlign w:val="bottom"/>
          </w:tcPr>
          <w:p w14:paraId="1E403651" w14:textId="77777777" w:rsidR="005A46F3" w:rsidRPr="005A46F3" w:rsidRDefault="005A46F3" w:rsidP="005A46F3">
            <w:r w:rsidRPr="005A46F3">
              <w:t>Postępowanie z wypalonym paliwem jądrowym z reaktora MARIA</w:t>
            </w:r>
          </w:p>
        </w:tc>
        <w:tc>
          <w:tcPr>
            <w:tcW w:w="806" w:type="pct"/>
            <w:vAlign w:val="center"/>
          </w:tcPr>
          <w:p w14:paraId="20707AC0" w14:textId="77777777" w:rsidR="005A46F3" w:rsidRPr="005A46F3" w:rsidRDefault="005A46F3" w:rsidP="005A46F3">
            <w:r w:rsidRPr="005A46F3">
              <w:t>4 000 000</w:t>
            </w:r>
          </w:p>
        </w:tc>
        <w:tc>
          <w:tcPr>
            <w:tcW w:w="814" w:type="pct"/>
            <w:vAlign w:val="center"/>
          </w:tcPr>
          <w:p w14:paraId="1621C981" w14:textId="77777777" w:rsidR="005A46F3" w:rsidRPr="005A46F3" w:rsidRDefault="005A46F3" w:rsidP="005A46F3">
            <w:r w:rsidRPr="005A46F3">
              <w:t>PLN / tHM</w:t>
            </w:r>
          </w:p>
        </w:tc>
      </w:tr>
      <w:tr w:rsidR="005A46F3" w:rsidRPr="005A46F3" w14:paraId="061FAEDB" w14:textId="77777777" w:rsidTr="005A46F3">
        <w:trPr>
          <w:cantSplit/>
          <w:trHeight w:val="19"/>
          <w:tblHeader/>
        </w:trPr>
        <w:tc>
          <w:tcPr>
            <w:tcW w:w="3380" w:type="pct"/>
            <w:vAlign w:val="bottom"/>
          </w:tcPr>
          <w:p w14:paraId="03596BEF" w14:textId="77777777" w:rsidR="005A46F3" w:rsidRPr="005A46F3" w:rsidRDefault="005A46F3" w:rsidP="005A46F3">
            <w:r w:rsidRPr="005A46F3">
              <w:t>Nakłady inwestycyjne na składowisko powierzchniowe</w:t>
            </w:r>
          </w:p>
        </w:tc>
        <w:tc>
          <w:tcPr>
            <w:tcW w:w="806" w:type="pct"/>
            <w:vAlign w:val="center"/>
          </w:tcPr>
          <w:p w14:paraId="188E4F12" w14:textId="77777777" w:rsidR="005A46F3" w:rsidRPr="005A46F3" w:rsidRDefault="005A46F3" w:rsidP="005A46F3">
            <w:r w:rsidRPr="005A46F3">
              <w:t xml:space="preserve">1 794 </w:t>
            </w:r>
          </w:p>
        </w:tc>
        <w:tc>
          <w:tcPr>
            <w:tcW w:w="814" w:type="pct"/>
            <w:vAlign w:val="center"/>
          </w:tcPr>
          <w:p w14:paraId="267C3590" w14:textId="77777777" w:rsidR="005A46F3" w:rsidRPr="005A46F3" w:rsidRDefault="005A46F3" w:rsidP="005A46F3">
            <w:r w:rsidRPr="005A46F3">
              <w:t>PLN / m</w:t>
            </w:r>
            <w:r w:rsidRPr="005A46F3">
              <w:rPr>
                <w:vertAlign w:val="superscript"/>
              </w:rPr>
              <w:t>3</w:t>
            </w:r>
          </w:p>
        </w:tc>
      </w:tr>
      <w:tr w:rsidR="005A46F3" w:rsidRPr="005A46F3" w14:paraId="6587A10F" w14:textId="77777777" w:rsidTr="005A46F3">
        <w:trPr>
          <w:cantSplit/>
          <w:trHeight w:val="19"/>
          <w:tblHeader/>
        </w:trPr>
        <w:tc>
          <w:tcPr>
            <w:tcW w:w="3380" w:type="pct"/>
            <w:vAlign w:val="bottom"/>
          </w:tcPr>
          <w:p w14:paraId="0883BD5C" w14:textId="77777777" w:rsidR="005A46F3" w:rsidRPr="005A46F3" w:rsidRDefault="005A46F3" w:rsidP="005A46F3">
            <w:r w:rsidRPr="005A46F3">
              <w:t>Koszty operacyjne składowiska powierzchniowego</w:t>
            </w:r>
          </w:p>
        </w:tc>
        <w:tc>
          <w:tcPr>
            <w:tcW w:w="806" w:type="pct"/>
            <w:vAlign w:val="center"/>
          </w:tcPr>
          <w:p w14:paraId="410435EF" w14:textId="77777777" w:rsidR="005A46F3" w:rsidRPr="005A46F3" w:rsidRDefault="005A46F3" w:rsidP="005A46F3">
            <w:r w:rsidRPr="005A46F3">
              <w:t>6 617</w:t>
            </w:r>
          </w:p>
        </w:tc>
        <w:tc>
          <w:tcPr>
            <w:tcW w:w="814" w:type="pct"/>
            <w:vAlign w:val="center"/>
          </w:tcPr>
          <w:p w14:paraId="5995DE8D" w14:textId="77777777" w:rsidR="005A46F3" w:rsidRPr="005A46F3" w:rsidRDefault="005A46F3" w:rsidP="005A46F3">
            <w:r w:rsidRPr="005A46F3">
              <w:t>PLN / m</w:t>
            </w:r>
            <w:r w:rsidRPr="005A46F3">
              <w:rPr>
                <w:vertAlign w:val="superscript"/>
              </w:rPr>
              <w:t>3</w:t>
            </w:r>
          </w:p>
        </w:tc>
      </w:tr>
      <w:tr w:rsidR="005A46F3" w:rsidRPr="005A46F3" w14:paraId="3FDC3CC3" w14:textId="77777777" w:rsidTr="005A46F3">
        <w:trPr>
          <w:cantSplit/>
          <w:trHeight w:val="19"/>
          <w:tblHeader/>
        </w:trPr>
        <w:tc>
          <w:tcPr>
            <w:tcW w:w="3380" w:type="pct"/>
            <w:vAlign w:val="bottom"/>
          </w:tcPr>
          <w:p w14:paraId="1F3AB47D" w14:textId="77777777" w:rsidR="005A46F3" w:rsidRPr="005A46F3" w:rsidRDefault="005A46F3" w:rsidP="005A46F3">
            <w:r w:rsidRPr="005A46F3">
              <w:t>Koszty zamknięcia składowiska powierzchniowego</w:t>
            </w:r>
          </w:p>
        </w:tc>
        <w:tc>
          <w:tcPr>
            <w:tcW w:w="806" w:type="pct"/>
            <w:vAlign w:val="center"/>
          </w:tcPr>
          <w:p w14:paraId="2A2AD270" w14:textId="77777777" w:rsidR="005A46F3" w:rsidRPr="005A46F3" w:rsidRDefault="005A46F3" w:rsidP="005A46F3">
            <w:r w:rsidRPr="005A46F3">
              <w:t>1 063</w:t>
            </w:r>
          </w:p>
        </w:tc>
        <w:tc>
          <w:tcPr>
            <w:tcW w:w="814" w:type="pct"/>
            <w:vAlign w:val="center"/>
          </w:tcPr>
          <w:p w14:paraId="47D7E0EA" w14:textId="77777777" w:rsidR="005A46F3" w:rsidRPr="005A46F3" w:rsidRDefault="005A46F3" w:rsidP="005A46F3">
            <w:r w:rsidRPr="005A46F3">
              <w:t>PLN / m</w:t>
            </w:r>
            <w:r w:rsidRPr="005A46F3">
              <w:rPr>
                <w:vertAlign w:val="superscript"/>
              </w:rPr>
              <w:t>3</w:t>
            </w:r>
          </w:p>
        </w:tc>
      </w:tr>
      <w:tr w:rsidR="005A46F3" w:rsidRPr="005A46F3" w14:paraId="26CF6F5C" w14:textId="77777777" w:rsidTr="005A46F3">
        <w:trPr>
          <w:cantSplit/>
          <w:trHeight w:val="19"/>
          <w:tblHeader/>
        </w:trPr>
        <w:tc>
          <w:tcPr>
            <w:tcW w:w="3380" w:type="pct"/>
            <w:vAlign w:val="bottom"/>
          </w:tcPr>
          <w:p w14:paraId="7F13D0D0" w14:textId="77777777" w:rsidR="005A46F3" w:rsidRPr="005A46F3" w:rsidRDefault="005A46F3" w:rsidP="005A46F3">
            <w:r w:rsidRPr="005A46F3">
              <w:t>Nakłady inwestycyjne na składowisko głębokie</w:t>
            </w:r>
          </w:p>
        </w:tc>
        <w:tc>
          <w:tcPr>
            <w:tcW w:w="806" w:type="pct"/>
            <w:vAlign w:val="center"/>
          </w:tcPr>
          <w:p w14:paraId="363EC2CF" w14:textId="77777777" w:rsidR="005A46F3" w:rsidRPr="005A46F3" w:rsidRDefault="005A46F3" w:rsidP="005A46F3">
            <w:r w:rsidRPr="005A46F3">
              <w:t>10,9</w:t>
            </w:r>
          </w:p>
        </w:tc>
        <w:tc>
          <w:tcPr>
            <w:tcW w:w="814" w:type="pct"/>
            <w:vAlign w:val="center"/>
          </w:tcPr>
          <w:p w14:paraId="20C453CC" w14:textId="77777777" w:rsidR="005A46F3" w:rsidRPr="005A46F3" w:rsidRDefault="005A46F3" w:rsidP="005A46F3">
            <w:r w:rsidRPr="005A46F3">
              <w:t>mld PLN</w:t>
            </w:r>
          </w:p>
        </w:tc>
      </w:tr>
      <w:tr w:rsidR="005A46F3" w:rsidRPr="005A46F3" w14:paraId="27612F8E" w14:textId="77777777" w:rsidTr="005A46F3">
        <w:trPr>
          <w:cantSplit/>
          <w:trHeight w:val="19"/>
          <w:tblHeader/>
        </w:trPr>
        <w:tc>
          <w:tcPr>
            <w:tcW w:w="3380" w:type="pct"/>
            <w:vAlign w:val="bottom"/>
          </w:tcPr>
          <w:p w14:paraId="7EEFE360" w14:textId="77777777" w:rsidR="005A46F3" w:rsidRPr="005A46F3" w:rsidRDefault="005A46F3" w:rsidP="005A46F3">
            <w:r w:rsidRPr="005A46F3">
              <w:t>Koszty operacyjne składowiska głębokiego</w:t>
            </w:r>
          </w:p>
        </w:tc>
        <w:tc>
          <w:tcPr>
            <w:tcW w:w="806" w:type="pct"/>
            <w:vAlign w:val="center"/>
          </w:tcPr>
          <w:p w14:paraId="53F2DA9A" w14:textId="77777777" w:rsidR="005A46F3" w:rsidRPr="005A46F3" w:rsidRDefault="005A46F3" w:rsidP="005A46F3">
            <w:r w:rsidRPr="005A46F3">
              <w:t>323,7</w:t>
            </w:r>
          </w:p>
        </w:tc>
        <w:tc>
          <w:tcPr>
            <w:tcW w:w="814" w:type="pct"/>
            <w:vAlign w:val="center"/>
          </w:tcPr>
          <w:p w14:paraId="26B9222F" w14:textId="77777777" w:rsidR="005A46F3" w:rsidRPr="005A46F3" w:rsidRDefault="005A46F3" w:rsidP="005A46F3">
            <w:r w:rsidRPr="005A46F3">
              <w:t>mln PLN / rok</w:t>
            </w:r>
          </w:p>
        </w:tc>
      </w:tr>
      <w:tr w:rsidR="005A46F3" w:rsidRPr="005A46F3" w14:paraId="5A7C5B17" w14:textId="77777777" w:rsidTr="005A46F3">
        <w:trPr>
          <w:cantSplit/>
          <w:trHeight w:val="19"/>
          <w:tblHeader/>
        </w:trPr>
        <w:tc>
          <w:tcPr>
            <w:tcW w:w="3380" w:type="pct"/>
            <w:vAlign w:val="bottom"/>
          </w:tcPr>
          <w:p w14:paraId="566A2331" w14:textId="77777777" w:rsidR="005A46F3" w:rsidRPr="005A46F3" w:rsidRDefault="005A46F3" w:rsidP="005A46F3">
            <w:r w:rsidRPr="005A46F3">
              <w:t>Koszty zamknięcia składowiska głębokiego</w:t>
            </w:r>
          </w:p>
        </w:tc>
        <w:tc>
          <w:tcPr>
            <w:tcW w:w="806" w:type="pct"/>
            <w:vAlign w:val="center"/>
          </w:tcPr>
          <w:p w14:paraId="40D4E904" w14:textId="77777777" w:rsidR="005A46F3" w:rsidRPr="005A46F3" w:rsidRDefault="005A46F3" w:rsidP="005A46F3">
            <w:r w:rsidRPr="005A46F3">
              <w:t>1,8</w:t>
            </w:r>
          </w:p>
        </w:tc>
        <w:tc>
          <w:tcPr>
            <w:tcW w:w="814" w:type="pct"/>
            <w:vAlign w:val="center"/>
          </w:tcPr>
          <w:p w14:paraId="42FC0C9A" w14:textId="77777777" w:rsidR="005A46F3" w:rsidRPr="005A46F3" w:rsidRDefault="005A46F3" w:rsidP="005A46F3">
            <w:r w:rsidRPr="005A46F3">
              <w:t>mld PLN</w:t>
            </w:r>
          </w:p>
        </w:tc>
      </w:tr>
      <w:tr w:rsidR="005A46F3" w:rsidRPr="005A46F3" w14:paraId="723EC108" w14:textId="77777777" w:rsidTr="005A46F3">
        <w:trPr>
          <w:cantSplit/>
          <w:trHeight w:val="19"/>
          <w:tblHeader/>
        </w:trPr>
        <w:tc>
          <w:tcPr>
            <w:tcW w:w="3380" w:type="pct"/>
            <w:vAlign w:val="bottom"/>
          </w:tcPr>
          <w:p w14:paraId="6FBF77D1" w14:textId="77777777" w:rsidR="005A46F3" w:rsidRPr="005A46F3" w:rsidRDefault="005A46F3" w:rsidP="005A46F3">
            <w:r w:rsidRPr="005A46F3">
              <w:t>Koszty przechowalników wypalonego paliwa jądrowego</w:t>
            </w:r>
          </w:p>
        </w:tc>
        <w:tc>
          <w:tcPr>
            <w:tcW w:w="806" w:type="pct"/>
            <w:vAlign w:val="center"/>
          </w:tcPr>
          <w:p w14:paraId="1F646D70" w14:textId="77777777" w:rsidR="005A46F3" w:rsidRPr="005A46F3" w:rsidRDefault="005A46F3" w:rsidP="005A46F3">
            <w:r w:rsidRPr="005A46F3">
              <w:t>0,47</w:t>
            </w:r>
          </w:p>
        </w:tc>
        <w:tc>
          <w:tcPr>
            <w:tcW w:w="814" w:type="pct"/>
            <w:vAlign w:val="center"/>
          </w:tcPr>
          <w:p w14:paraId="6AC7135D" w14:textId="77777777" w:rsidR="005A46F3" w:rsidRPr="005A46F3" w:rsidRDefault="005A46F3" w:rsidP="005A46F3">
            <w:r w:rsidRPr="005A46F3">
              <w:t>mln PLN / tHM</w:t>
            </w:r>
          </w:p>
        </w:tc>
      </w:tr>
      <w:tr w:rsidR="005A46F3" w:rsidRPr="005A46F3" w14:paraId="230D094D" w14:textId="77777777" w:rsidTr="00CC772B">
        <w:trPr>
          <w:cantSplit/>
          <w:trHeight w:val="157"/>
          <w:tblHeader/>
        </w:trPr>
        <w:tc>
          <w:tcPr>
            <w:tcW w:w="3380" w:type="pct"/>
            <w:vAlign w:val="bottom"/>
          </w:tcPr>
          <w:p w14:paraId="6C803F9F" w14:textId="77777777" w:rsidR="005A46F3" w:rsidRPr="005A46F3" w:rsidRDefault="005A46F3" w:rsidP="005A46F3">
            <w:r w:rsidRPr="005A46F3">
              <w:t>Postępowanie z zamkniętymi źródłami promieniotwórczymi</w:t>
            </w:r>
          </w:p>
        </w:tc>
        <w:tc>
          <w:tcPr>
            <w:tcW w:w="806" w:type="pct"/>
            <w:vAlign w:val="center"/>
          </w:tcPr>
          <w:p w14:paraId="0F15B060" w14:textId="77777777" w:rsidR="005A46F3" w:rsidRPr="005A46F3" w:rsidRDefault="005A46F3" w:rsidP="005A46F3">
            <w:r w:rsidRPr="005A46F3">
              <w:t>1 676</w:t>
            </w:r>
          </w:p>
        </w:tc>
        <w:tc>
          <w:tcPr>
            <w:tcW w:w="814" w:type="pct"/>
            <w:vAlign w:val="center"/>
          </w:tcPr>
          <w:p w14:paraId="4E1BFEDB" w14:textId="77777777" w:rsidR="005A46F3" w:rsidRPr="005A46F3" w:rsidRDefault="005A46F3" w:rsidP="005A46F3">
            <w:r w:rsidRPr="005A46F3">
              <w:t>PLN / szt.</w:t>
            </w:r>
          </w:p>
        </w:tc>
      </w:tr>
      <w:tr w:rsidR="005A46F3" w:rsidRPr="005A46F3" w14:paraId="2531CBC2" w14:textId="77777777" w:rsidTr="00CC772B">
        <w:trPr>
          <w:cantSplit/>
          <w:trHeight w:val="234"/>
          <w:tblHeader/>
        </w:trPr>
        <w:tc>
          <w:tcPr>
            <w:tcW w:w="3380" w:type="pct"/>
            <w:vAlign w:val="bottom"/>
          </w:tcPr>
          <w:p w14:paraId="462A9E79" w14:textId="77777777" w:rsidR="005A46F3" w:rsidRPr="005A46F3" w:rsidRDefault="005A46F3" w:rsidP="005A46F3">
            <w:r w:rsidRPr="005A46F3">
              <w:t>Koszty likwidacji elektrowni jądrowych</w:t>
            </w:r>
          </w:p>
        </w:tc>
        <w:tc>
          <w:tcPr>
            <w:tcW w:w="806" w:type="pct"/>
            <w:vAlign w:val="center"/>
          </w:tcPr>
          <w:p w14:paraId="6C0E5714" w14:textId="77777777" w:rsidR="005A46F3" w:rsidRPr="005A46F3" w:rsidRDefault="005A46F3" w:rsidP="005A46F3">
            <w:r w:rsidRPr="005A46F3">
              <w:t>2,75</w:t>
            </w:r>
          </w:p>
        </w:tc>
        <w:tc>
          <w:tcPr>
            <w:tcW w:w="814" w:type="pct"/>
            <w:vAlign w:val="center"/>
          </w:tcPr>
          <w:p w14:paraId="7D2F9345" w14:textId="77777777" w:rsidR="005A46F3" w:rsidRPr="005A46F3" w:rsidRDefault="005A46F3" w:rsidP="005A46F3">
            <w:r w:rsidRPr="005A46F3">
              <w:t>mld PLN / GW</w:t>
            </w:r>
          </w:p>
        </w:tc>
      </w:tr>
      <w:tr w:rsidR="005A46F3" w:rsidRPr="005A46F3" w14:paraId="11023DA8" w14:textId="77777777" w:rsidTr="005A46F3">
        <w:trPr>
          <w:cantSplit/>
          <w:trHeight w:val="19"/>
          <w:tblHeader/>
        </w:trPr>
        <w:tc>
          <w:tcPr>
            <w:tcW w:w="3380" w:type="pct"/>
            <w:vAlign w:val="bottom"/>
          </w:tcPr>
          <w:p w14:paraId="0262978A" w14:textId="77777777" w:rsidR="005A46F3" w:rsidRPr="005A46F3" w:rsidRDefault="005A46F3" w:rsidP="005A46F3">
            <w:r w:rsidRPr="005A46F3">
              <w:t>Koszty likwidacji reaktora MARIA</w:t>
            </w:r>
          </w:p>
        </w:tc>
        <w:tc>
          <w:tcPr>
            <w:tcW w:w="806" w:type="pct"/>
            <w:vAlign w:val="center"/>
          </w:tcPr>
          <w:p w14:paraId="1B5C363E" w14:textId="77777777" w:rsidR="005A46F3" w:rsidRPr="005A46F3" w:rsidRDefault="005A46F3" w:rsidP="005A46F3">
            <w:r w:rsidRPr="005A46F3">
              <w:t>10,2</w:t>
            </w:r>
          </w:p>
        </w:tc>
        <w:tc>
          <w:tcPr>
            <w:tcW w:w="814" w:type="pct"/>
            <w:vAlign w:val="center"/>
          </w:tcPr>
          <w:p w14:paraId="3B99A957" w14:textId="77777777" w:rsidR="005A46F3" w:rsidRPr="005A46F3" w:rsidRDefault="005A46F3" w:rsidP="005A46F3">
            <w:r w:rsidRPr="005A46F3">
              <w:t>mln PLN</w:t>
            </w:r>
          </w:p>
        </w:tc>
      </w:tr>
    </w:tbl>
    <w:p w14:paraId="1E0421B6" w14:textId="77777777" w:rsidR="005A46F3" w:rsidRPr="005A46F3" w:rsidRDefault="005A46F3" w:rsidP="005A46F3">
      <w:pPr>
        <w:rPr>
          <w:i/>
        </w:rPr>
      </w:pPr>
      <w:r w:rsidRPr="005A46F3">
        <w:rPr>
          <w:i/>
        </w:rPr>
        <w:t>Źródło: Opracowanie własne EY</w:t>
      </w:r>
    </w:p>
    <w:p w14:paraId="5EB16F80" w14:textId="77777777" w:rsidR="009A1843" w:rsidRPr="009A1843" w:rsidRDefault="009A1843" w:rsidP="009A1843">
      <w:pPr>
        <w:jc w:val="both"/>
      </w:pPr>
      <w:r w:rsidRPr="009A1843">
        <w:t>Łączne koszty gospodarki odpadami promieniotwórczymi w Polsce do 2152 roku wyniosą około 16 mld PLN. Poniżej przedstawiono szczegółowe informacje na temat łącznych kosztów gospodarki odpadami promieniotwórczymi.</w:t>
      </w:r>
    </w:p>
    <w:p w14:paraId="66B9C500" w14:textId="77777777" w:rsidR="009A1843" w:rsidRPr="009A1843" w:rsidRDefault="009A1843" w:rsidP="009A1843">
      <w:pPr>
        <w:jc w:val="both"/>
        <w:rPr>
          <w:b/>
          <w:bCs/>
        </w:rPr>
      </w:pPr>
      <w:r w:rsidRPr="009A1843">
        <w:rPr>
          <w:b/>
          <w:bCs/>
        </w:rPr>
        <w:t xml:space="preserve">Wykres </w:t>
      </w:r>
      <w:r w:rsidRPr="009A1843">
        <w:rPr>
          <w:b/>
          <w:bCs/>
        </w:rPr>
        <w:fldChar w:fldCharType="begin"/>
      </w:r>
      <w:r w:rsidRPr="009A1843">
        <w:rPr>
          <w:b/>
          <w:bCs/>
        </w:rPr>
        <w:instrText xml:space="preserve"> SEQ Rysunek \* ARABIC \s 1 </w:instrText>
      </w:r>
      <w:r w:rsidRPr="009A1843">
        <w:rPr>
          <w:b/>
          <w:bCs/>
        </w:rPr>
        <w:fldChar w:fldCharType="separate"/>
      </w:r>
      <w:r w:rsidR="00C53D83">
        <w:rPr>
          <w:b/>
          <w:bCs/>
          <w:noProof/>
        </w:rPr>
        <w:t>1</w:t>
      </w:r>
      <w:r w:rsidRPr="009A1843">
        <w:fldChar w:fldCharType="end"/>
      </w:r>
      <w:r w:rsidRPr="009A1843">
        <w:rPr>
          <w:b/>
          <w:bCs/>
        </w:rPr>
        <w:t>. Łączne szacunkowe koszty postępowania z odpadami promieniotwórczymi oraz wypalonym paliwem jądrowym</w:t>
      </w:r>
    </w:p>
    <w:p w14:paraId="39B57132" w14:textId="77777777" w:rsidR="009A1843" w:rsidRPr="009A1843" w:rsidRDefault="009A1843" w:rsidP="009A1843">
      <w:pPr>
        <w:jc w:val="both"/>
      </w:pPr>
      <w:r w:rsidRPr="009A1843">
        <w:rPr>
          <w:noProof/>
        </w:rPr>
        <w:drawing>
          <wp:inline distT="0" distB="0" distL="0" distR="0" wp14:anchorId="30BC4E64" wp14:editId="43182054">
            <wp:extent cx="5593715" cy="2760134"/>
            <wp:effectExtent l="0" t="0" r="6985" b="2540"/>
            <wp:docPr id="1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0C455F2" w14:textId="77777777" w:rsidR="009A1843" w:rsidRPr="009A1843" w:rsidRDefault="009A1843" w:rsidP="009A1843">
      <w:pPr>
        <w:jc w:val="both"/>
        <w:rPr>
          <w:i/>
        </w:rPr>
      </w:pPr>
      <w:r w:rsidRPr="009A1843">
        <w:rPr>
          <w:i/>
        </w:rPr>
        <w:t>*  w tym koszty dla składowiska KSOP, składowiska powierzchniowego NSPOP oraz głębokiego SGOP</w:t>
      </w:r>
    </w:p>
    <w:p w14:paraId="0721E309" w14:textId="77777777" w:rsidR="009A1843" w:rsidRPr="009A1843" w:rsidRDefault="009A1843" w:rsidP="009A1843">
      <w:pPr>
        <w:jc w:val="both"/>
        <w:rPr>
          <w:i/>
        </w:rPr>
      </w:pPr>
      <w:r w:rsidRPr="009A1843">
        <w:rPr>
          <w:i/>
        </w:rPr>
        <w:lastRenderedPageBreak/>
        <w:t>Źródło: Opracowanie własne EY</w:t>
      </w:r>
    </w:p>
    <w:p w14:paraId="2442DEC6" w14:textId="77777777" w:rsidR="009A1843" w:rsidRDefault="009A1843" w:rsidP="009A1843">
      <w:pPr>
        <w:jc w:val="both"/>
      </w:pPr>
    </w:p>
    <w:p w14:paraId="34691CC9" w14:textId="77777777" w:rsidR="009A1843" w:rsidRDefault="009A1843" w:rsidP="009A1843">
      <w:pPr>
        <w:jc w:val="both"/>
      </w:pPr>
    </w:p>
    <w:p w14:paraId="3A0F73A3" w14:textId="77777777" w:rsidR="009A1843" w:rsidRPr="009A1843" w:rsidRDefault="009A1843" w:rsidP="009A1843">
      <w:pPr>
        <w:jc w:val="both"/>
      </w:pPr>
      <w:r w:rsidRPr="009A1843">
        <w:t>W Polsce, podmiotami pokrywającymi te koszty będą:</w:t>
      </w:r>
    </w:p>
    <w:p w14:paraId="7DD40F5D" w14:textId="77777777" w:rsidR="009A1843" w:rsidRPr="009A1843" w:rsidRDefault="009A1843" w:rsidP="009A1843">
      <w:pPr>
        <w:jc w:val="both"/>
      </w:pPr>
      <w:r w:rsidRPr="009A1843">
        <w:t>Operatorzy elektrowni jądrowych,</w:t>
      </w:r>
    </w:p>
    <w:p w14:paraId="4B5E4E88" w14:textId="77777777" w:rsidR="009A1843" w:rsidRPr="009A1843" w:rsidRDefault="009A1843" w:rsidP="009A1843">
      <w:pPr>
        <w:jc w:val="both"/>
      </w:pPr>
      <w:r w:rsidRPr="009A1843">
        <w:t>Podmioty wytwarzające produkty lub świadczące usługi z wykorzystaniem promieniowania jonizującego (medycyna, przemysł i inni),</w:t>
      </w:r>
    </w:p>
    <w:p w14:paraId="7BF79909" w14:textId="77777777" w:rsidR="009A1843" w:rsidRPr="009A1843" w:rsidRDefault="009A1843" w:rsidP="009A1843">
      <w:pPr>
        <w:jc w:val="both"/>
      </w:pPr>
      <w:r w:rsidRPr="009A1843">
        <w:t>Podmioty prowadzące składowiska odpadów promieniotwórczych,</w:t>
      </w:r>
    </w:p>
    <w:p w14:paraId="64B6E21B" w14:textId="77777777" w:rsidR="009A1843" w:rsidRPr="009A1843" w:rsidRDefault="009A1843" w:rsidP="009A1843">
      <w:pPr>
        <w:jc w:val="both"/>
      </w:pPr>
      <w:r w:rsidRPr="009A1843">
        <w:t xml:space="preserve">NCBJ, </w:t>
      </w:r>
    </w:p>
    <w:p w14:paraId="570D1F1E" w14:textId="77777777" w:rsidR="009A1843" w:rsidRPr="009A1843" w:rsidRDefault="009A1843" w:rsidP="009A1843">
      <w:pPr>
        <w:jc w:val="both"/>
      </w:pPr>
      <w:r w:rsidRPr="009A1843">
        <w:t>Koszty dwu ostatnich grup mogą być zaliczone do wydatków sektora publicznego i pokrywane w całości lub części przez budżet.</w:t>
      </w:r>
    </w:p>
    <w:p w14:paraId="2D6F9EA9" w14:textId="2962EC73" w:rsidR="009A1843" w:rsidRPr="009A1843" w:rsidRDefault="009A1843" w:rsidP="009A1843">
      <w:pPr>
        <w:jc w:val="both"/>
        <w:rPr>
          <w:b/>
          <w:bCs/>
        </w:rPr>
      </w:pPr>
      <w:r w:rsidRPr="009A1843">
        <w:rPr>
          <w:b/>
          <w:bCs/>
        </w:rPr>
        <w:t>Wykres</w:t>
      </w:r>
      <w:r>
        <w:rPr>
          <w:b/>
          <w:bCs/>
        </w:rPr>
        <w:t xml:space="preserve"> </w:t>
      </w:r>
      <w:r w:rsidRPr="009A1843">
        <w:rPr>
          <w:b/>
          <w:bCs/>
        </w:rPr>
        <w:fldChar w:fldCharType="begin"/>
      </w:r>
      <w:r w:rsidRPr="009A1843">
        <w:rPr>
          <w:b/>
          <w:bCs/>
        </w:rPr>
        <w:instrText xml:space="preserve"> SEQ Rysunek \* ARABIC \s 1 </w:instrText>
      </w:r>
      <w:r w:rsidRPr="009A1843">
        <w:rPr>
          <w:b/>
          <w:bCs/>
        </w:rPr>
        <w:fldChar w:fldCharType="separate"/>
      </w:r>
      <w:r w:rsidR="00C53D83">
        <w:rPr>
          <w:b/>
          <w:bCs/>
          <w:noProof/>
        </w:rPr>
        <w:t>2</w:t>
      </w:r>
      <w:r w:rsidRPr="009A1843">
        <w:fldChar w:fldCharType="end"/>
      </w:r>
      <w:r w:rsidRPr="009A1843">
        <w:rPr>
          <w:b/>
          <w:bCs/>
        </w:rPr>
        <w:t>. Rozbicie łącznych kosztów na podmioty zaangażowane [%]</w:t>
      </w:r>
    </w:p>
    <w:p w14:paraId="2E268E4A" w14:textId="77777777" w:rsidR="009A1843" w:rsidRPr="009A1843" w:rsidRDefault="009A1843" w:rsidP="009A1843">
      <w:pPr>
        <w:jc w:val="both"/>
      </w:pPr>
      <w:r w:rsidRPr="009A1843">
        <w:rPr>
          <w:noProof/>
        </w:rPr>
        <w:drawing>
          <wp:inline distT="0" distB="0" distL="0" distR="0" wp14:anchorId="0F9D13BB" wp14:editId="180A9EEA">
            <wp:extent cx="5579110" cy="1947333"/>
            <wp:effectExtent l="0" t="0" r="0" b="0"/>
            <wp:docPr id="2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82D7F02" w14:textId="77777777" w:rsidR="009A1843" w:rsidRPr="009A1843" w:rsidRDefault="009A1843" w:rsidP="009A1843">
      <w:pPr>
        <w:jc w:val="both"/>
        <w:rPr>
          <w:i/>
        </w:rPr>
      </w:pPr>
      <w:r w:rsidRPr="009A1843">
        <w:rPr>
          <w:i/>
        </w:rPr>
        <w:t>Źródło: Opracowanie własne EY</w:t>
      </w:r>
    </w:p>
    <w:p w14:paraId="246E2634" w14:textId="77777777" w:rsidR="009A1843" w:rsidRPr="009A1843" w:rsidRDefault="009A1843" w:rsidP="009A1843">
      <w:pPr>
        <w:jc w:val="both"/>
      </w:pPr>
      <w:r w:rsidRPr="009A1843">
        <w:t>Największe koszty w zakresie gospodarki odpadami poniesie operator elektrowni jądrowych ze względu na postępowanie z wypalonym paliwem jądrowym oraz sektor publiczny ze względu na konieczność budowy i eksploatacji składowisk przeznaczonych do składowania odpadów promieniotwórczych.</w:t>
      </w:r>
    </w:p>
    <w:p w14:paraId="4A4E69F3" w14:textId="77777777" w:rsidR="00A566FC" w:rsidRDefault="00A566FC" w:rsidP="00CC772B">
      <w:pPr>
        <w:jc w:val="both"/>
      </w:pPr>
    </w:p>
    <w:p w14:paraId="3D436153" w14:textId="77777777" w:rsidR="00A566FC" w:rsidRPr="00CC772B" w:rsidRDefault="00A566FC" w:rsidP="00CC772B">
      <w:pPr>
        <w:jc w:val="both"/>
      </w:pPr>
    </w:p>
    <w:p w14:paraId="5DABE402" w14:textId="77777777" w:rsidR="00084F8B" w:rsidRDefault="00084F8B" w:rsidP="00F738CD"/>
    <w:p w14:paraId="2656FADE" w14:textId="77777777" w:rsidR="00084F8B" w:rsidRDefault="00084F8B" w:rsidP="002E58C9">
      <w:pPr>
        <w:spacing w:before="120" w:after="120"/>
        <w:jc w:val="both"/>
        <w:sectPr w:rsidR="00084F8B" w:rsidSect="00596CB4"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71E2DDD4" w14:textId="77777777" w:rsidR="00084F8B" w:rsidRDefault="00245720" w:rsidP="0066534F">
      <w:pPr>
        <w:pStyle w:val="Nagwek1"/>
        <w:jc w:val="center"/>
      </w:pPr>
      <w:bookmarkStart w:id="219" w:name="_Toc397697077"/>
      <w:bookmarkStart w:id="220" w:name="_Toc424116774"/>
      <w:r>
        <w:lastRenderedPageBreak/>
        <w:t>Załącznik nr 3</w:t>
      </w:r>
      <w:r w:rsidR="00084F8B">
        <w:t>.</w:t>
      </w:r>
      <w:r w:rsidR="00084F8B" w:rsidRPr="0066534F">
        <w:t xml:space="preserve"> Bilans odpadów promieniotwórczych odebranych przez ZUOP w latach 2000-201</w:t>
      </w:r>
      <w:bookmarkEnd w:id="219"/>
      <w:bookmarkEnd w:id="220"/>
      <w:r w:rsidR="00D30EA0">
        <w:t>8</w:t>
      </w:r>
    </w:p>
    <w:tbl>
      <w:tblPr>
        <w:tblpPr w:leftFromText="141" w:rightFromText="141" w:vertAnchor="page" w:horzAnchor="margin" w:tblpXSpec="center" w:tblpY="2139"/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741"/>
        <w:gridCol w:w="741"/>
        <w:gridCol w:w="741"/>
        <w:gridCol w:w="741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C51575" w:rsidRPr="00C51575" w14:paraId="34F33010" w14:textId="77777777" w:rsidTr="009C22A6">
        <w:trPr>
          <w:cantSplit/>
          <w:trHeight w:val="202"/>
        </w:trPr>
        <w:tc>
          <w:tcPr>
            <w:tcW w:w="3216" w:type="dxa"/>
            <w:vMerge w:val="restart"/>
            <w:shd w:val="clear" w:color="auto" w:fill="92D050"/>
            <w:vAlign w:val="center"/>
          </w:tcPr>
          <w:p w14:paraId="2764FD49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  <w:p w14:paraId="6855A951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br/>
            </w:r>
          </w:p>
          <w:p w14:paraId="394D736D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92D050"/>
            <w:vAlign w:val="center"/>
          </w:tcPr>
          <w:p w14:paraId="6B51DEC2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2000</w:t>
            </w:r>
          </w:p>
        </w:tc>
        <w:tc>
          <w:tcPr>
            <w:tcW w:w="1482" w:type="dxa"/>
            <w:gridSpan w:val="2"/>
            <w:shd w:val="clear" w:color="auto" w:fill="92D050"/>
            <w:vAlign w:val="center"/>
          </w:tcPr>
          <w:p w14:paraId="3EDBA13A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2001</w:t>
            </w:r>
          </w:p>
        </w:tc>
        <w:tc>
          <w:tcPr>
            <w:tcW w:w="1483" w:type="dxa"/>
            <w:gridSpan w:val="2"/>
            <w:shd w:val="clear" w:color="auto" w:fill="92D050"/>
            <w:vAlign w:val="center"/>
          </w:tcPr>
          <w:p w14:paraId="0AC50584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2002</w:t>
            </w:r>
          </w:p>
        </w:tc>
        <w:tc>
          <w:tcPr>
            <w:tcW w:w="1484" w:type="dxa"/>
            <w:gridSpan w:val="2"/>
            <w:shd w:val="clear" w:color="auto" w:fill="92D050"/>
            <w:vAlign w:val="center"/>
          </w:tcPr>
          <w:p w14:paraId="43714B74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2003</w:t>
            </w:r>
          </w:p>
        </w:tc>
        <w:tc>
          <w:tcPr>
            <w:tcW w:w="1484" w:type="dxa"/>
            <w:gridSpan w:val="2"/>
            <w:shd w:val="clear" w:color="auto" w:fill="92D050"/>
            <w:vAlign w:val="center"/>
          </w:tcPr>
          <w:p w14:paraId="6C688B50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2004</w:t>
            </w:r>
          </w:p>
        </w:tc>
        <w:tc>
          <w:tcPr>
            <w:tcW w:w="1484" w:type="dxa"/>
            <w:gridSpan w:val="2"/>
            <w:shd w:val="clear" w:color="auto" w:fill="92D050"/>
            <w:vAlign w:val="center"/>
          </w:tcPr>
          <w:p w14:paraId="01B564AB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2005</w:t>
            </w:r>
          </w:p>
        </w:tc>
        <w:tc>
          <w:tcPr>
            <w:tcW w:w="1484" w:type="dxa"/>
            <w:gridSpan w:val="2"/>
            <w:shd w:val="clear" w:color="auto" w:fill="92D050"/>
            <w:vAlign w:val="center"/>
          </w:tcPr>
          <w:p w14:paraId="26E3971D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2006</w:t>
            </w:r>
          </w:p>
        </w:tc>
        <w:tc>
          <w:tcPr>
            <w:tcW w:w="1484" w:type="dxa"/>
            <w:gridSpan w:val="2"/>
            <w:shd w:val="clear" w:color="auto" w:fill="92D050"/>
            <w:vAlign w:val="center"/>
          </w:tcPr>
          <w:p w14:paraId="042906B6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2007</w:t>
            </w:r>
          </w:p>
        </w:tc>
      </w:tr>
      <w:tr w:rsidR="00C51575" w:rsidRPr="00C51575" w14:paraId="228A1491" w14:textId="77777777" w:rsidTr="009C22A6">
        <w:trPr>
          <w:cantSplit/>
          <w:trHeight w:val="627"/>
        </w:trPr>
        <w:tc>
          <w:tcPr>
            <w:tcW w:w="3216" w:type="dxa"/>
            <w:vMerge/>
            <w:shd w:val="clear" w:color="auto" w:fill="92D050"/>
          </w:tcPr>
          <w:p w14:paraId="70879546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92D050"/>
            <w:vAlign w:val="center"/>
          </w:tcPr>
          <w:p w14:paraId="1C7698DD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stałe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0CD328A3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ciekłe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1BCA9A3B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stałe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468B98EF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ciekłe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7476D7F2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stałe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0E4757ED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Ciekłe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6204E00F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stałe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70148BCB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ciekłe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5F43DD9C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stałe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4999950B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ciekłe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23F7AC00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stałe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6F8E5024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ciekłe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41A5749B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stałe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03773E25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ciekłe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1097D122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stałe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2B3EC7F7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  <w:r w:rsidRPr="00C51575">
              <w:rPr>
                <w:b/>
                <w:color w:val="FFFFFF"/>
                <w:sz w:val="16"/>
                <w:szCs w:val="16"/>
              </w:rPr>
              <w:t>ciekłe</w:t>
            </w:r>
          </w:p>
        </w:tc>
      </w:tr>
      <w:tr w:rsidR="00C51575" w:rsidRPr="00C51575" w14:paraId="5E60CB80" w14:textId="77777777" w:rsidTr="009C22A6">
        <w:trPr>
          <w:trHeight w:val="444"/>
        </w:trPr>
        <w:tc>
          <w:tcPr>
            <w:tcW w:w="3216" w:type="dxa"/>
            <w:vAlign w:val="center"/>
          </w:tcPr>
          <w:p w14:paraId="2643BD3E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</w:rPr>
            </w:pPr>
            <w:r w:rsidRPr="00C51575">
              <w:rPr>
                <w:b/>
              </w:rPr>
              <w:t>Pochodzenie odpadów promieniotwórczych</w:t>
            </w:r>
          </w:p>
        </w:tc>
        <w:tc>
          <w:tcPr>
            <w:tcW w:w="741" w:type="dxa"/>
            <w:vAlign w:val="center"/>
          </w:tcPr>
          <w:p w14:paraId="0FBFC0B4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4A507050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0AF18C60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6FA2F425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597D3543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33713511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90D8BF8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37BF64D0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448B507C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2F9B857B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7C5C90C1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062A2A7D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AAC9FF4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6B81235D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4368AD0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4B783A48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</w:tr>
      <w:tr w:rsidR="00C51575" w:rsidRPr="00C51575" w14:paraId="24ACE451" w14:textId="77777777" w:rsidTr="009C22A6">
        <w:trPr>
          <w:trHeight w:val="464"/>
        </w:trPr>
        <w:tc>
          <w:tcPr>
            <w:tcW w:w="3216" w:type="dxa"/>
            <w:vAlign w:val="center"/>
          </w:tcPr>
          <w:p w14:paraId="426BC431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Reaktor MARIA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741" w:type="dxa"/>
            <w:vAlign w:val="center"/>
          </w:tcPr>
          <w:p w14:paraId="3B526BB6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16,55</w:t>
            </w:r>
          </w:p>
        </w:tc>
        <w:tc>
          <w:tcPr>
            <w:tcW w:w="741" w:type="dxa"/>
            <w:vAlign w:val="center"/>
          </w:tcPr>
          <w:p w14:paraId="63FAEBC6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265,00</w:t>
            </w:r>
          </w:p>
        </w:tc>
        <w:tc>
          <w:tcPr>
            <w:tcW w:w="741" w:type="dxa"/>
            <w:vAlign w:val="center"/>
          </w:tcPr>
          <w:p w14:paraId="2C33EFC9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14,60</w:t>
            </w:r>
          </w:p>
        </w:tc>
        <w:tc>
          <w:tcPr>
            <w:tcW w:w="741" w:type="dxa"/>
            <w:vAlign w:val="center"/>
          </w:tcPr>
          <w:p w14:paraId="5F82B83A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110,00</w:t>
            </w:r>
          </w:p>
        </w:tc>
        <w:tc>
          <w:tcPr>
            <w:tcW w:w="741" w:type="dxa"/>
            <w:vAlign w:val="center"/>
          </w:tcPr>
          <w:p w14:paraId="34E26A7A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8,00</w:t>
            </w:r>
          </w:p>
        </w:tc>
        <w:tc>
          <w:tcPr>
            <w:tcW w:w="742" w:type="dxa"/>
            <w:vAlign w:val="center"/>
          </w:tcPr>
          <w:p w14:paraId="6D1BA941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95,00</w:t>
            </w:r>
          </w:p>
        </w:tc>
        <w:tc>
          <w:tcPr>
            <w:tcW w:w="742" w:type="dxa"/>
            <w:vAlign w:val="center"/>
          </w:tcPr>
          <w:p w14:paraId="593901C5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6,00</w:t>
            </w:r>
          </w:p>
        </w:tc>
        <w:tc>
          <w:tcPr>
            <w:tcW w:w="742" w:type="dxa"/>
            <w:vAlign w:val="center"/>
          </w:tcPr>
          <w:p w14:paraId="7B05D6C7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742" w:type="dxa"/>
            <w:vAlign w:val="center"/>
          </w:tcPr>
          <w:p w14:paraId="2A0D85EF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6,00</w:t>
            </w:r>
          </w:p>
        </w:tc>
        <w:tc>
          <w:tcPr>
            <w:tcW w:w="742" w:type="dxa"/>
            <w:vAlign w:val="center"/>
          </w:tcPr>
          <w:p w14:paraId="63D7DC31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98,21</w:t>
            </w:r>
          </w:p>
        </w:tc>
        <w:tc>
          <w:tcPr>
            <w:tcW w:w="742" w:type="dxa"/>
            <w:vAlign w:val="center"/>
          </w:tcPr>
          <w:p w14:paraId="6B2730BF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5,030</w:t>
            </w:r>
          </w:p>
        </w:tc>
        <w:tc>
          <w:tcPr>
            <w:tcW w:w="742" w:type="dxa"/>
            <w:vAlign w:val="center"/>
          </w:tcPr>
          <w:p w14:paraId="5985ED45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21,00</w:t>
            </w:r>
          </w:p>
        </w:tc>
        <w:tc>
          <w:tcPr>
            <w:tcW w:w="742" w:type="dxa"/>
            <w:vAlign w:val="center"/>
          </w:tcPr>
          <w:p w14:paraId="01EC60D6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12,92</w:t>
            </w:r>
          </w:p>
        </w:tc>
        <w:tc>
          <w:tcPr>
            <w:tcW w:w="742" w:type="dxa"/>
            <w:vAlign w:val="center"/>
          </w:tcPr>
          <w:p w14:paraId="644BB361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152,09</w:t>
            </w:r>
          </w:p>
        </w:tc>
        <w:tc>
          <w:tcPr>
            <w:tcW w:w="742" w:type="dxa"/>
            <w:vAlign w:val="center"/>
          </w:tcPr>
          <w:p w14:paraId="472D6E93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5,50</w:t>
            </w:r>
          </w:p>
        </w:tc>
        <w:tc>
          <w:tcPr>
            <w:tcW w:w="742" w:type="dxa"/>
            <w:vAlign w:val="center"/>
          </w:tcPr>
          <w:p w14:paraId="34F7E22F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84,00</w:t>
            </w:r>
          </w:p>
        </w:tc>
      </w:tr>
      <w:tr w:rsidR="00C51575" w:rsidRPr="00C51575" w14:paraId="528C4A14" w14:textId="77777777" w:rsidTr="009C22A6">
        <w:trPr>
          <w:trHeight w:val="465"/>
        </w:trPr>
        <w:tc>
          <w:tcPr>
            <w:tcW w:w="3216" w:type="dxa"/>
            <w:vAlign w:val="center"/>
          </w:tcPr>
          <w:p w14:paraId="17BFB698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Reaktor EWA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741" w:type="dxa"/>
            <w:vAlign w:val="center"/>
          </w:tcPr>
          <w:p w14:paraId="30CC9D6B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4,65</w:t>
            </w:r>
          </w:p>
        </w:tc>
        <w:tc>
          <w:tcPr>
            <w:tcW w:w="741" w:type="dxa"/>
            <w:vAlign w:val="center"/>
          </w:tcPr>
          <w:p w14:paraId="34BFCE30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1" w:type="dxa"/>
            <w:vAlign w:val="center"/>
          </w:tcPr>
          <w:p w14:paraId="3D55E9BE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1,20</w:t>
            </w:r>
          </w:p>
        </w:tc>
        <w:tc>
          <w:tcPr>
            <w:tcW w:w="741" w:type="dxa"/>
            <w:vAlign w:val="center"/>
          </w:tcPr>
          <w:p w14:paraId="23F503DA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1" w:type="dxa"/>
            <w:vAlign w:val="center"/>
          </w:tcPr>
          <w:p w14:paraId="09A19645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170E80E7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2273DB5C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51B3302A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624B89A2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06EBE58B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22D1C93C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6521BE10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5A855FA6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49B35C77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00EF100F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6E47C638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</w:tr>
      <w:tr w:rsidR="00C51575" w:rsidRPr="00C51575" w14:paraId="63F7BDAB" w14:textId="77777777" w:rsidTr="009C22A6">
        <w:trPr>
          <w:trHeight w:val="465"/>
        </w:trPr>
        <w:tc>
          <w:tcPr>
            <w:tcW w:w="3216" w:type="dxa"/>
            <w:vAlign w:val="center"/>
          </w:tcPr>
          <w:p w14:paraId="6B02D0AF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OR POLATOM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741" w:type="dxa"/>
            <w:vAlign w:val="center"/>
          </w:tcPr>
          <w:p w14:paraId="660CA73C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11,85</w:t>
            </w:r>
          </w:p>
        </w:tc>
        <w:tc>
          <w:tcPr>
            <w:tcW w:w="741" w:type="dxa"/>
            <w:vAlign w:val="center"/>
          </w:tcPr>
          <w:p w14:paraId="0E7884BD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0,41</w:t>
            </w:r>
          </w:p>
        </w:tc>
        <w:tc>
          <w:tcPr>
            <w:tcW w:w="741" w:type="dxa"/>
            <w:vAlign w:val="center"/>
          </w:tcPr>
          <w:p w14:paraId="4088F544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10,75</w:t>
            </w:r>
          </w:p>
        </w:tc>
        <w:tc>
          <w:tcPr>
            <w:tcW w:w="741" w:type="dxa"/>
            <w:vAlign w:val="center"/>
          </w:tcPr>
          <w:p w14:paraId="61360ACB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0,34</w:t>
            </w:r>
          </w:p>
        </w:tc>
        <w:tc>
          <w:tcPr>
            <w:tcW w:w="741" w:type="dxa"/>
            <w:vAlign w:val="center"/>
          </w:tcPr>
          <w:p w14:paraId="7148E675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7,200</w:t>
            </w:r>
          </w:p>
        </w:tc>
        <w:tc>
          <w:tcPr>
            <w:tcW w:w="742" w:type="dxa"/>
            <w:vAlign w:val="center"/>
          </w:tcPr>
          <w:p w14:paraId="14BE191B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0,26</w:t>
            </w:r>
          </w:p>
        </w:tc>
        <w:tc>
          <w:tcPr>
            <w:tcW w:w="742" w:type="dxa"/>
            <w:vAlign w:val="center"/>
          </w:tcPr>
          <w:p w14:paraId="5BD5EB5C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7,80</w:t>
            </w:r>
          </w:p>
        </w:tc>
        <w:tc>
          <w:tcPr>
            <w:tcW w:w="742" w:type="dxa"/>
            <w:vAlign w:val="center"/>
          </w:tcPr>
          <w:p w14:paraId="38B31E5C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0,23</w:t>
            </w:r>
          </w:p>
        </w:tc>
        <w:tc>
          <w:tcPr>
            <w:tcW w:w="742" w:type="dxa"/>
            <w:vAlign w:val="center"/>
          </w:tcPr>
          <w:p w14:paraId="4AA08584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8,03</w:t>
            </w:r>
          </w:p>
        </w:tc>
        <w:tc>
          <w:tcPr>
            <w:tcW w:w="742" w:type="dxa"/>
            <w:vAlign w:val="center"/>
          </w:tcPr>
          <w:p w14:paraId="0B2EE77B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0,13</w:t>
            </w:r>
          </w:p>
        </w:tc>
        <w:tc>
          <w:tcPr>
            <w:tcW w:w="742" w:type="dxa"/>
            <w:vAlign w:val="center"/>
          </w:tcPr>
          <w:p w14:paraId="21731AF3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8,60</w:t>
            </w:r>
          </w:p>
        </w:tc>
        <w:tc>
          <w:tcPr>
            <w:tcW w:w="742" w:type="dxa"/>
            <w:vAlign w:val="center"/>
          </w:tcPr>
          <w:p w14:paraId="57DD97C5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0,02</w:t>
            </w:r>
          </w:p>
        </w:tc>
        <w:tc>
          <w:tcPr>
            <w:tcW w:w="742" w:type="dxa"/>
            <w:vAlign w:val="center"/>
          </w:tcPr>
          <w:p w14:paraId="6B1442F2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7,75</w:t>
            </w:r>
          </w:p>
        </w:tc>
        <w:tc>
          <w:tcPr>
            <w:tcW w:w="742" w:type="dxa"/>
            <w:vAlign w:val="center"/>
          </w:tcPr>
          <w:p w14:paraId="03592AB7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742" w:type="dxa"/>
            <w:vAlign w:val="center"/>
          </w:tcPr>
          <w:p w14:paraId="0EC85812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6,20</w:t>
            </w:r>
          </w:p>
        </w:tc>
        <w:tc>
          <w:tcPr>
            <w:tcW w:w="742" w:type="dxa"/>
            <w:vAlign w:val="center"/>
          </w:tcPr>
          <w:p w14:paraId="36E756BF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0,02</w:t>
            </w:r>
          </w:p>
        </w:tc>
      </w:tr>
      <w:tr w:rsidR="00C51575" w:rsidRPr="00C51575" w14:paraId="050D6E14" w14:textId="77777777" w:rsidTr="009C22A6">
        <w:trPr>
          <w:trHeight w:val="465"/>
        </w:trPr>
        <w:tc>
          <w:tcPr>
            <w:tcW w:w="3216" w:type="dxa"/>
            <w:vAlign w:val="center"/>
          </w:tcPr>
          <w:p w14:paraId="3234329F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ZUOP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741" w:type="dxa"/>
            <w:vAlign w:val="center"/>
          </w:tcPr>
          <w:p w14:paraId="1786CE03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5,89</w:t>
            </w:r>
          </w:p>
        </w:tc>
        <w:tc>
          <w:tcPr>
            <w:tcW w:w="741" w:type="dxa"/>
            <w:vAlign w:val="center"/>
          </w:tcPr>
          <w:p w14:paraId="299A112C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8,50</w:t>
            </w:r>
          </w:p>
        </w:tc>
        <w:tc>
          <w:tcPr>
            <w:tcW w:w="741" w:type="dxa"/>
            <w:vAlign w:val="center"/>
          </w:tcPr>
          <w:p w14:paraId="169194C9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76,95</w:t>
            </w:r>
          </w:p>
        </w:tc>
        <w:tc>
          <w:tcPr>
            <w:tcW w:w="741" w:type="dxa"/>
            <w:vAlign w:val="center"/>
          </w:tcPr>
          <w:p w14:paraId="6A05A7A7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8,00</w:t>
            </w:r>
          </w:p>
        </w:tc>
        <w:tc>
          <w:tcPr>
            <w:tcW w:w="741" w:type="dxa"/>
            <w:vAlign w:val="center"/>
          </w:tcPr>
          <w:p w14:paraId="75FD9A31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3,10</w:t>
            </w:r>
          </w:p>
        </w:tc>
        <w:tc>
          <w:tcPr>
            <w:tcW w:w="742" w:type="dxa"/>
            <w:vAlign w:val="center"/>
          </w:tcPr>
          <w:p w14:paraId="1D11328E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742" w:type="dxa"/>
            <w:vAlign w:val="center"/>
          </w:tcPr>
          <w:p w14:paraId="37CD22AA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18,95</w:t>
            </w:r>
          </w:p>
        </w:tc>
        <w:tc>
          <w:tcPr>
            <w:tcW w:w="742" w:type="dxa"/>
            <w:vAlign w:val="center"/>
          </w:tcPr>
          <w:p w14:paraId="53B7AC9F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8,00</w:t>
            </w:r>
          </w:p>
        </w:tc>
        <w:tc>
          <w:tcPr>
            <w:tcW w:w="742" w:type="dxa"/>
            <w:vAlign w:val="center"/>
          </w:tcPr>
          <w:p w14:paraId="486639EF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7,06</w:t>
            </w:r>
          </w:p>
        </w:tc>
        <w:tc>
          <w:tcPr>
            <w:tcW w:w="742" w:type="dxa"/>
            <w:vAlign w:val="center"/>
          </w:tcPr>
          <w:p w14:paraId="14C96E6D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0E9E14F5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2,56</w:t>
            </w:r>
          </w:p>
        </w:tc>
        <w:tc>
          <w:tcPr>
            <w:tcW w:w="742" w:type="dxa"/>
            <w:vAlign w:val="center"/>
          </w:tcPr>
          <w:p w14:paraId="6196A7CF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742" w:type="dxa"/>
            <w:vAlign w:val="center"/>
          </w:tcPr>
          <w:p w14:paraId="6BB0A1DD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0,33</w:t>
            </w:r>
          </w:p>
        </w:tc>
        <w:tc>
          <w:tcPr>
            <w:tcW w:w="742" w:type="dxa"/>
            <w:vAlign w:val="center"/>
          </w:tcPr>
          <w:p w14:paraId="723E8A2D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42" w:type="dxa"/>
            <w:vAlign w:val="center"/>
          </w:tcPr>
          <w:p w14:paraId="6447D9F4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1,51</w:t>
            </w:r>
          </w:p>
        </w:tc>
        <w:tc>
          <w:tcPr>
            <w:tcW w:w="742" w:type="dxa"/>
            <w:vAlign w:val="center"/>
          </w:tcPr>
          <w:p w14:paraId="33815E5A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</w:t>
            </w:r>
          </w:p>
        </w:tc>
      </w:tr>
      <w:tr w:rsidR="00C51575" w:rsidRPr="00C51575" w14:paraId="555288CF" w14:textId="77777777" w:rsidTr="009C22A6">
        <w:trPr>
          <w:trHeight w:val="465"/>
        </w:trPr>
        <w:tc>
          <w:tcPr>
            <w:tcW w:w="3216" w:type="dxa"/>
            <w:vAlign w:val="center"/>
          </w:tcPr>
          <w:p w14:paraId="6F449E66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w w:val="90"/>
                <w:sz w:val="16"/>
                <w:szCs w:val="16"/>
              </w:rPr>
            </w:pPr>
            <w:r w:rsidRPr="00C51575">
              <w:rPr>
                <w:rFonts w:cs="Arial"/>
                <w:b/>
                <w:w w:val="90"/>
                <w:sz w:val="16"/>
                <w:szCs w:val="16"/>
              </w:rPr>
              <w:t>Instytucje spoza NCBJ (zastosowania medyczne, przemysłowe, naukowe) [m</w:t>
            </w:r>
            <w:r w:rsidRPr="00C51575">
              <w:rPr>
                <w:rFonts w:cs="Arial"/>
                <w:b/>
                <w:w w:val="90"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w w:val="90"/>
                <w:sz w:val="16"/>
                <w:szCs w:val="16"/>
              </w:rPr>
              <w:t>]</w:t>
            </w:r>
          </w:p>
        </w:tc>
        <w:tc>
          <w:tcPr>
            <w:tcW w:w="741" w:type="dxa"/>
            <w:vAlign w:val="center"/>
          </w:tcPr>
          <w:p w14:paraId="367DA48B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45,83</w:t>
            </w:r>
          </w:p>
        </w:tc>
        <w:tc>
          <w:tcPr>
            <w:tcW w:w="741" w:type="dxa"/>
            <w:vAlign w:val="center"/>
          </w:tcPr>
          <w:p w14:paraId="0D1E3B25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1,30</w:t>
            </w:r>
          </w:p>
        </w:tc>
        <w:tc>
          <w:tcPr>
            <w:tcW w:w="741" w:type="dxa"/>
            <w:vAlign w:val="center"/>
          </w:tcPr>
          <w:p w14:paraId="5BCFBB54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41,98</w:t>
            </w:r>
          </w:p>
        </w:tc>
        <w:tc>
          <w:tcPr>
            <w:tcW w:w="741" w:type="dxa"/>
            <w:vAlign w:val="center"/>
          </w:tcPr>
          <w:p w14:paraId="4B526AE5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1,39</w:t>
            </w:r>
          </w:p>
        </w:tc>
        <w:tc>
          <w:tcPr>
            <w:tcW w:w="741" w:type="dxa"/>
            <w:vAlign w:val="center"/>
          </w:tcPr>
          <w:p w14:paraId="33DBA3D1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29,73</w:t>
            </w:r>
          </w:p>
        </w:tc>
        <w:tc>
          <w:tcPr>
            <w:tcW w:w="742" w:type="dxa"/>
            <w:vAlign w:val="center"/>
          </w:tcPr>
          <w:p w14:paraId="0C284D7D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1,59</w:t>
            </w:r>
          </w:p>
        </w:tc>
        <w:tc>
          <w:tcPr>
            <w:tcW w:w="742" w:type="dxa"/>
            <w:vAlign w:val="center"/>
          </w:tcPr>
          <w:p w14:paraId="01316F9C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26,79</w:t>
            </w:r>
          </w:p>
        </w:tc>
        <w:tc>
          <w:tcPr>
            <w:tcW w:w="742" w:type="dxa"/>
            <w:vAlign w:val="center"/>
          </w:tcPr>
          <w:p w14:paraId="609353D1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1,45</w:t>
            </w:r>
          </w:p>
        </w:tc>
        <w:tc>
          <w:tcPr>
            <w:tcW w:w="742" w:type="dxa"/>
            <w:vAlign w:val="center"/>
          </w:tcPr>
          <w:p w14:paraId="0F034FD9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31,39</w:t>
            </w:r>
          </w:p>
        </w:tc>
        <w:tc>
          <w:tcPr>
            <w:tcW w:w="742" w:type="dxa"/>
            <w:vAlign w:val="center"/>
          </w:tcPr>
          <w:p w14:paraId="0D1AEB63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2,88</w:t>
            </w:r>
          </w:p>
        </w:tc>
        <w:tc>
          <w:tcPr>
            <w:tcW w:w="742" w:type="dxa"/>
            <w:vAlign w:val="center"/>
          </w:tcPr>
          <w:p w14:paraId="5CC4E73E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26,13</w:t>
            </w:r>
          </w:p>
        </w:tc>
        <w:tc>
          <w:tcPr>
            <w:tcW w:w="742" w:type="dxa"/>
            <w:vAlign w:val="center"/>
          </w:tcPr>
          <w:p w14:paraId="08E80ACC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1,66</w:t>
            </w:r>
          </w:p>
        </w:tc>
        <w:tc>
          <w:tcPr>
            <w:tcW w:w="742" w:type="dxa"/>
            <w:vAlign w:val="center"/>
          </w:tcPr>
          <w:p w14:paraId="48F2DC58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21,17</w:t>
            </w:r>
          </w:p>
        </w:tc>
        <w:tc>
          <w:tcPr>
            <w:tcW w:w="742" w:type="dxa"/>
            <w:vAlign w:val="center"/>
          </w:tcPr>
          <w:p w14:paraId="27FC0A91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0,96</w:t>
            </w:r>
          </w:p>
        </w:tc>
        <w:tc>
          <w:tcPr>
            <w:tcW w:w="742" w:type="dxa"/>
            <w:vAlign w:val="center"/>
          </w:tcPr>
          <w:p w14:paraId="0B2E140D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17,27</w:t>
            </w:r>
          </w:p>
        </w:tc>
        <w:tc>
          <w:tcPr>
            <w:tcW w:w="742" w:type="dxa"/>
            <w:vAlign w:val="center"/>
          </w:tcPr>
          <w:p w14:paraId="01C3F31E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0,48</w:t>
            </w:r>
          </w:p>
        </w:tc>
      </w:tr>
      <w:tr w:rsidR="00C51575" w:rsidRPr="00C51575" w14:paraId="2CD90386" w14:textId="77777777" w:rsidTr="009C22A6">
        <w:trPr>
          <w:trHeight w:val="465"/>
        </w:trPr>
        <w:tc>
          <w:tcPr>
            <w:tcW w:w="3216" w:type="dxa"/>
            <w:vAlign w:val="center"/>
          </w:tcPr>
          <w:p w14:paraId="5A574EE8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Ogółem [m</w:t>
            </w:r>
            <w:r w:rsidRPr="00C51575">
              <w:rPr>
                <w:b/>
                <w:i/>
                <w:sz w:val="16"/>
                <w:szCs w:val="16"/>
                <w:vertAlign w:val="superscript"/>
              </w:rPr>
              <w:t>3</w:t>
            </w:r>
            <w:r w:rsidRPr="00C51575">
              <w:rPr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741" w:type="dxa"/>
            <w:vAlign w:val="center"/>
          </w:tcPr>
          <w:p w14:paraId="627B05BA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84,76</w:t>
            </w:r>
          </w:p>
        </w:tc>
        <w:tc>
          <w:tcPr>
            <w:tcW w:w="741" w:type="dxa"/>
            <w:vAlign w:val="center"/>
          </w:tcPr>
          <w:p w14:paraId="24979C8B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275,20</w:t>
            </w:r>
          </w:p>
        </w:tc>
        <w:tc>
          <w:tcPr>
            <w:tcW w:w="741" w:type="dxa"/>
            <w:vAlign w:val="center"/>
          </w:tcPr>
          <w:p w14:paraId="675D5084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145,48</w:t>
            </w:r>
          </w:p>
        </w:tc>
        <w:tc>
          <w:tcPr>
            <w:tcW w:w="741" w:type="dxa"/>
            <w:vAlign w:val="center"/>
          </w:tcPr>
          <w:p w14:paraId="01E6D7DC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119,73</w:t>
            </w:r>
          </w:p>
        </w:tc>
        <w:tc>
          <w:tcPr>
            <w:tcW w:w="741" w:type="dxa"/>
            <w:vAlign w:val="center"/>
          </w:tcPr>
          <w:p w14:paraId="0FF3C8B9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48,03</w:t>
            </w:r>
          </w:p>
        </w:tc>
        <w:tc>
          <w:tcPr>
            <w:tcW w:w="742" w:type="dxa"/>
            <w:vAlign w:val="center"/>
          </w:tcPr>
          <w:p w14:paraId="166824B9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100,85</w:t>
            </w:r>
          </w:p>
        </w:tc>
        <w:tc>
          <w:tcPr>
            <w:tcW w:w="742" w:type="dxa"/>
            <w:vAlign w:val="center"/>
          </w:tcPr>
          <w:p w14:paraId="34558A93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59,54</w:t>
            </w:r>
          </w:p>
        </w:tc>
        <w:tc>
          <w:tcPr>
            <w:tcW w:w="742" w:type="dxa"/>
            <w:vAlign w:val="center"/>
          </w:tcPr>
          <w:p w14:paraId="50B1FA2D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39,68</w:t>
            </w:r>
          </w:p>
        </w:tc>
        <w:tc>
          <w:tcPr>
            <w:tcW w:w="742" w:type="dxa"/>
            <w:vAlign w:val="center"/>
          </w:tcPr>
          <w:p w14:paraId="56D762D8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52,48</w:t>
            </w:r>
          </w:p>
        </w:tc>
        <w:tc>
          <w:tcPr>
            <w:tcW w:w="742" w:type="dxa"/>
            <w:vAlign w:val="center"/>
          </w:tcPr>
          <w:p w14:paraId="1FF7D1C9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101,22</w:t>
            </w:r>
          </w:p>
        </w:tc>
        <w:tc>
          <w:tcPr>
            <w:tcW w:w="742" w:type="dxa"/>
            <w:vAlign w:val="center"/>
          </w:tcPr>
          <w:p w14:paraId="0137D348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42,32</w:t>
            </w:r>
          </w:p>
        </w:tc>
        <w:tc>
          <w:tcPr>
            <w:tcW w:w="742" w:type="dxa"/>
            <w:vAlign w:val="center"/>
          </w:tcPr>
          <w:p w14:paraId="55B11AAA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26,68</w:t>
            </w:r>
          </w:p>
        </w:tc>
        <w:tc>
          <w:tcPr>
            <w:tcW w:w="742" w:type="dxa"/>
            <w:vAlign w:val="center"/>
          </w:tcPr>
          <w:p w14:paraId="0658DDBB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42,17</w:t>
            </w:r>
          </w:p>
        </w:tc>
        <w:tc>
          <w:tcPr>
            <w:tcW w:w="742" w:type="dxa"/>
            <w:vAlign w:val="center"/>
          </w:tcPr>
          <w:p w14:paraId="1A3EF214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153,08</w:t>
            </w:r>
          </w:p>
        </w:tc>
        <w:tc>
          <w:tcPr>
            <w:tcW w:w="742" w:type="dxa"/>
            <w:vAlign w:val="center"/>
          </w:tcPr>
          <w:p w14:paraId="7BD9A402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30,48</w:t>
            </w:r>
          </w:p>
        </w:tc>
        <w:tc>
          <w:tcPr>
            <w:tcW w:w="742" w:type="dxa"/>
            <w:vAlign w:val="center"/>
          </w:tcPr>
          <w:p w14:paraId="6775CA26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84,50</w:t>
            </w:r>
          </w:p>
        </w:tc>
      </w:tr>
      <w:tr w:rsidR="00C51575" w:rsidRPr="00C51575" w14:paraId="5FB9409B" w14:textId="77777777" w:rsidTr="009C22A6">
        <w:trPr>
          <w:trHeight w:val="465"/>
        </w:trPr>
        <w:tc>
          <w:tcPr>
            <w:tcW w:w="3216" w:type="dxa"/>
            <w:vAlign w:val="center"/>
          </w:tcPr>
          <w:p w14:paraId="1C68FEDA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</w:rPr>
            </w:pPr>
            <w:r w:rsidRPr="00C51575">
              <w:rPr>
                <w:b/>
              </w:rPr>
              <w:t>Kategoria odpadów promieniotwórczych</w:t>
            </w:r>
          </w:p>
        </w:tc>
        <w:tc>
          <w:tcPr>
            <w:tcW w:w="741" w:type="dxa"/>
            <w:vAlign w:val="center"/>
          </w:tcPr>
          <w:p w14:paraId="0305BC81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0E1D4309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13A15D28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307F8A72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27EEF2C2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4E3D0EC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02D2BC6A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6992D757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415C2496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06F46244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686A8106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8E4B778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95F4CD6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38138A34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60A9CC46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6D0E7C08" w14:textId="77777777" w:rsidR="00C51575" w:rsidRPr="00C51575" w:rsidRDefault="00C51575" w:rsidP="00C51575">
            <w:pPr>
              <w:spacing w:line="240" w:lineRule="auto"/>
              <w:ind w:firstLine="45"/>
              <w:rPr>
                <w:b/>
                <w:sz w:val="16"/>
                <w:szCs w:val="16"/>
              </w:rPr>
            </w:pPr>
          </w:p>
        </w:tc>
      </w:tr>
      <w:tr w:rsidR="00C51575" w:rsidRPr="00C51575" w14:paraId="5F1E1C81" w14:textId="77777777" w:rsidTr="009C22A6">
        <w:trPr>
          <w:trHeight w:val="301"/>
        </w:trPr>
        <w:tc>
          <w:tcPr>
            <w:tcW w:w="3216" w:type="dxa"/>
            <w:vAlign w:val="center"/>
          </w:tcPr>
          <w:p w14:paraId="60F06455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niskoaktywne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741" w:type="dxa"/>
            <w:vAlign w:val="center"/>
          </w:tcPr>
          <w:p w14:paraId="0145EB8C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63,22</w:t>
            </w:r>
          </w:p>
        </w:tc>
        <w:tc>
          <w:tcPr>
            <w:tcW w:w="741" w:type="dxa"/>
            <w:vAlign w:val="center"/>
          </w:tcPr>
          <w:p w14:paraId="726A0517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274,81</w:t>
            </w:r>
          </w:p>
        </w:tc>
        <w:tc>
          <w:tcPr>
            <w:tcW w:w="741" w:type="dxa"/>
            <w:vAlign w:val="center"/>
          </w:tcPr>
          <w:p w14:paraId="68523C24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128,14</w:t>
            </w:r>
          </w:p>
        </w:tc>
        <w:tc>
          <w:tcPr>
            <w:tcW w:w="741" w:type="dxa"/>
            <w:vAlign w:val="center"/>
          </w:tcPr>
          <w:p w14:paraId="35DA0EF7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119,40</w:t>
            </w:r>
          </w:p>
        </w:tc>
        <w:tc>
          <w:tcPr>
            <w:tcW w:w="741" w:type="dxa"/>
            <w:vAlign w:val="center"/>
          </w:tcPr>
          <w:p w14:paraId="097CE410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39,77</w:t>
            </w:r>
          </w:p>
        </w:tc>
        <w:tc>
          <w:tcPr>
            <w:tcW w:w="742" w:type="dxa"/>
            <w:vAlign w:val="center"/>
          </w:tcPr>
          <w:p w14:paraId="1745F47C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100,64</w:t>
            </w:r>
          </w:p>
        </w:tc>
        <w:tc>
          <w:tcPr>
            <w:tcW w:w="742" w:type="dxa"/>
            <w:vAlign w:val="center"/>
          </w:tcPr>
          <w:p w14:paraId="71C0F523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47,62</w:t>
            </w:r>
          </w:p>
        </w:tc>
        <w:tc>
          <w:tcPr>
            <w:tcW w:w="742" w:type="dxa"/>
            <w:vAlign w:val="center"/>
          </w:tcPr>
          <w:p w14:paraId="1289337B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39,66</w:t>
            </w:r>
          </w:p>
        </w:tc>
        <w:tc>
          <w:tcPr>
            <w:tcW w:w="742" w:type="dxa"/>
            <w:vAlign w:val="center"/>
          </w:tcPr>
          <w:p w14:paraId="3488C196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40,17</w:t>
            </w:r>
          </w:p>
        </w:tc>
        <w:tc>
          <w:tcPr>
            <w:tcW w:w="742" w:type="dxa"/>
            <w:vAlign w:val="center"/>
          </w:tcPr>
          <w:p w14:paraId="7D777167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101,19</w:t>
            </w:r>
          </w:p>
        </w:tc>
        <w:tc>
          <w:tcPr>
            <w:tcW w:w="742" w:type="dxa"/>
            <w:vAlign w:val="center"/>
          </w:tcPr>
          <w:p w14:paraId="6A467B6B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31,26</w:t>
            </w:r>
          </w:p>
        </w:tc>
        <w:tc>
          <w:tcPr>
            <w:tcW w:w="742" w:type="dxa"/>
            <w:vAlign w:val="center"/>
          </w:tcPr>
          <w:p w14:paraId="2CF9B394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26,68</w:t>
            </w:r>
          </w:p>
        </w:tc>
        <w:tc>
          <w:tcPr>
            <w:tcW w:w="742" w:type="dxa"/>
            <w:vAlign w:val="center"/>
          </w:tcPr>
          <w:p w14:paraId="026B0A56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41,57</w:t>
            </w:r>
          </w:p>
        </w:tc>
        <w:tc>
          <w:tcPr>
            <w:tcW w:w="742" w:type="dxa"/>
            <w:vAlign w:val="center"/>
          </w:tcPr>
          <w:p w14:paraId="5F78495A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153,08</w:t>
            </w:r>
          </w:p>
        </w:tc>
        <w:tc>
          <w:tcPr>
            <w:tcW w:w="742" w:type="dxa"/>
            <w:vAlign w:val="center"/>
          </w:tcPr>
          <w:p w14:paraId="24A2DFCF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29,92</w:t>
            </w:r>
          </w:p>
        </w:tc>
        <w:tc>
          <w:tcPr>
            <w:tcW w:w="742" w:type="dxa"/>
            <w:vAlign w:val="center"/>
          </w:tcPr>
          <w:p w14:paraId="1770D813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84,48</w:t>
            </w:r>
          </w:p>
        </w:tc>
      </w:tr>
      <w:tr w:rsidR="00C51575" w:rsidRPr="00C51575" w14:paraId="28BBD4D9" w14:textId="77777777" w:rsidTr="009C22A6">
        <w:trPr>
          <w:trHeight w:val="302"/>
        </w:trPr>
        <w:tc>
          <w:tcPr>
            <w:tcW w:w="3216" w:type="dxa"/>
            <w:vAlign w:val="center"/>
          </w:tcPr>
          <w:p w14:paraId="21386545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średnioaktywne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741" w:type="dxa"/>
            <w:vAlign w:val="center"/>
          </w:tcPr>
          <w:p w14:paraId="0B91CAD5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1" w:type="dxa"/>
            <w:vAlign w:val="center"/>
          </w:tcPr>
          <w:p w14:paraId="731EFAC8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0,40</w:t>
            </w:r>
          </w:p>
        </w:tc>
        <w:tc>
          <w:tcPr>
            <w:tcW w:w="741" w:type="dxa"/>
            <w:vAlign w:val="center"/>
          </w:tcPr>
          <w:p w14:paraId="0687CDB6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1" w:type="dxa"/>
            <w:vAlign w:val="center"/>
          </w:tcPr>
          <w:p w14:paraId="22EB66C2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0,33</w:t>
            </w:r>
          </w:p>
        </w:tc>
        <w:tc>
          <w:tcPr>
            <w:tcW w:w="741" w:type="dxa"/>
            <w:vAlign w:val="center"/>
          </w:tcPr>
          <w:p w14:paraId="3BD1D753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7C3E637D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0,21</w:t>
            </w:r>
          </w:p>
        </w:tc>
        <w:tc>
          <w:tcPr>
            <w:tcW w:w="742" w:type="dxa"/>
            <w:vAlign w:val="center"/>
          </w:tcPr>
          <w:p w14:paraId="007BB889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1,88</w:t>
            </w:r>
          </w:p>
        </w:tc>
        <w:tc>
          <w:tcPr>
            <w:tcW w:w="742" w:type="dxa"/>
            <w:vAlign w:val="center"/>
          </w:tcPr>
          <w:p w14:paraId="256318A4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0,02</w:t>
            </w:r>
          </w:p>
        </w:tc>
        <w:tc>
          <w:tcPr>
            <w:tcW w:w="742" w:type="dxa"/>
            <w:vAlign w:val="center"/>
          </w:tcPr>
          <w:p w14:paraId="65B5203F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1,35</w:t>
            </w:r>
          </w:p>
        </w:tc>
        <w:tc>
          <w:tcPr>
            <w:tcW w:w="742" w:type="dxa"/>
            <w:vAlign w:val="center"/>
          </w:tcPr>
          <w:p w14:paraId="70A2FFF7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742" w:type="dxa"/>
            <w:vAlign w:val="center"/>
          </w:tcPr>
          <w:p w14:paraId="38429E9E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0,65</w:t>
            </w:r>
          </w:p>
        </w:tc>
        <w:tc>
          <w:tcPr>
            <w:tcW w:w="742" w:type="dxa"/>
            <w:vAlign w:val="center"/>
          </w:tcPr>
          <w:p w14:paraId="6ECBDED9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14:paraId="1E3127AA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0,60</w:t>
            </w:r>
          </w:p>
        </w:tc>
        <w:tc>
          <w:tcPr>
            <w:tcW w:w="742" w:type="dxa"/>
            <w:vAlign w:val="center"/>
          </w:tcPr>
          <w:p w14:paraId="5ECB6FE9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0,02</w:t>
            </w:r>
          </w:p>
        </w:tc>
        <w:tc>
          <w:tcPr>
            <w:tcW w:w="742" w:type="dxa"/>
            <w:vAlign w:val="center"/>
          </w:tcPr>
          <w:p w14:paraId="3D911E9A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0,60</w:t>
            </w:r>
          </w:p>
        </w:tc>
        <w:tc>
          <w:tcPr>
            <w:tcW w:w="742" w:type="dxa"/>
            <w:vAlign w:val="center"/>
          </w:tcPr>
          <w:p w14:paraId="034FD570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0,02</w:t>
            </w:r>
          </w:p>
        </w:tc>
      </w:tr>
      <w:tr w:rsidR="00C51575" w:rsidRPr="00C51575" w14:paraId="76D2BD7E" w14:textId="77777777" w:rsidTr="009C22A6">
        <w:trPr>
          <w:trHeight w:val="302"/>
        </w:trPr>
        <w:tc>
          <w:tcPr>
            <w:tcW w:w="3216" w:type="dxa"/>
            <w:vAlign w:val="center"/>
          </w:tcPr>
          <w:p w14:paraId="48E15449" w14:textId="77777777" w:rsidR="00C51575" w:rsidRPr="00C51575" w:rsidRDefault="00C51575" w:rsidP="00C51575">
            <w:pPr>
              <w:spacing w:line="240" w:lineRule="auto"/>
              <w:ind w:left="426" w:hanging="66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zużyte zamknięte źródła promieniotwórcze [szt.]</w:t>
            </w:r>
          </w:p>
        </w:tc>
        <w:tc>
          <w:tcPr>
            <w:tcW w:w="1482" w:type="dxa"/>
            <w:gridSpan w:val="2"/>
            <w:vAlign w:val="center"/>
          </w:tcPr>
          <w:p w14:paraId="076B61FE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898</w:t>
            </w:r>
          </w:p>
        </w:tc>
        <w:tc>
          <w:tcPr>
            <w:tcW w:w="1482" w:type="dxa"/>
            <w:gridSpan w:val="2"/>
            <w:vAlign w:val="center"/>
          </w:tcPr>
          <w:p w14:paraId="3D9B0F36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875</w:t>
            </w:r>
          </w:p>
        </w:tc>
        <w:tc>
          <w:tcPr>
            <w:tcW w:w="1483" w:type="dxa"/>
            <w:gridSpan w:val="2"/>
            <w:vAlign w:val="center"/>
          </w:tcPr>
          <w:p w14:paraId="00A35E77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1235</w:t>
            </w:r>
          </w:p>
        </w:tc>
        <w:tc>
          <w:tcPr>
            <w:tcW w:w="1484" w:type="dxa"/>
            <w:gridSpan w:val="2"/>
            <w:vAlign w:val="center"/>
          </w:tcPr>
          <w:p w14:paraId="166BB886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1195</w:t>
            </w:r>
          </w:p>
        </w:tc>
        <w:tc>
          <w:tcPr>
            <w:tcW w:w="1484" w:type="dxa"/>
            <w:gridSpan w:val="2"/>
            <w:vAlign w:val="center"/>
          </w:tcPr>
          <w:p w14:paraId="3D92B67C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619</w:t>
            </w:r>
          </w:p>
        </w:tc>
        <w:tc>
          <w:tcPr>
            <w:tcW w:w="1484" w:type="dxa"/>
            <w:gridSpan w:val="2"/>
            <w:vAlign w:val="center"/>
          </w:tcPr>
          <w:p w14:paraId="406F952A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825</w:t>
            </w:r>
          </w:p>
        </w:tc>
        <w:tc>
          <w:tcPr>
            <w:tcW w:w="1484" w:type="dxa"/>
            <w:gridSpan w:val="2"/>
            <w:vAlign w:val="center"/>
          </w:tcPr>
          <w:p w14:paraId="13BA53D0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1 397</w:t>
            </w:r>
          </w:p>
        </w:tc>
        <w:tc>
          <w:tcPr>
            <w:tcW w:w="1484" w:type="dxa"/>
            <w:gridSpan w:val="2"/>
            <w:vAlign w:val="center"/>
          </w:tcPr>
          <w:p w14:paraId="6E2E0716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1 508</w:t>
            </w:r>
          </w:p>
        </w:tc>
      </w:tr>
      <w:tr w:rsidR="00C51575" w:rsidRPr="00C51575" w14:paraId="51A588E8" w14:textId="77777777" w:rsidTr="009C22A6">
        <w:trPr>
          <w:trHeight w:val="464"/>
        </w:trPr>
        <w:tc>
          <w:tcPr>
            <w:tcW w:w="3216" w:type="dxa"/>
            <w:vAlign w:val="center"/>
          </w:tcPr>
          <w:p w14:paraId="0DBC7733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</w:rPr>
            </w:pPr>
            <w:r w:rsidRPr="00C51575">
              <w:rPr>
                <w:b/>
              </w:rPr>
              <w:t>Odpady przekazane do składowania/przechowywania w KSOP Różan</w:t>
            </w:r>
          </w:p>
        </w:tc>
        <w:tc>
          <w:tcPr>
            <w:tcW w:w="1482" w:type="dxa"/>
            <w:gridSpan w:val="2"/>
            <w:vAlign w:val="center"/>
          </w:tcPr>
          <w:p w14:paraId="12358CB6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2B63E9E6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3310F6D8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CDA9197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8100E84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B09D4C9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335265E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90DCE05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</w:p>
        </w:tc>
      </w:tr>
      <w:tr w:rsidR="00C51575" w:rsidRPr="00C51575" w14:paraId="4F1923B4" w14:textId="77777777" w:rsidTr="009C22A6">
        <w:trPr>
          <w:trHeight w:val="465"/>
        </w:trPr>
        <w:tc>
          <w:tcPr>
            <w:tcW w:w="3216" w:type="dxa"/>
            <w:vAlign w:val="center"/>
          </w:tcPr>
          <w:p w14:paraId="5682061F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Objętość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1482" w:type="dxa"/>
            <w:gridSpan w:val="2"/>
            <w:vAlign w:val="center"/>
          </w:tcPr>
          <w:p w14:paraId="5531A4EF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44,87</w:t>
            </w:r>
          </w:p>
        </w:tc>
        <w:tc>
          <w:tcPr>
            <w:tcW w:w="1482" w:type="dxa"/>
            <w:gridSpan w:val="2"/>
            <w:vAlign w:val="center"/>
          </w:tcPr>
          <w:p w14:paraId="6C913E36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137,16</w:t>
            </w:r>
          </w:p>
        </w:tc>
        <w:tc>
          <w:tcPr>
            <w:tcW w:w="1483" w:type="dxa"/>
            <w:gridSpan w:val="2"/>
            <w:vAlign w:val="center"/>
          </w:tcPr>
          <w:p w14:paraId="1B0C9235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40,72</w:t>
            </w:r>
          </w:p>
        </w:tc>
        <w:tc>
          <w:tcPr>
            <w:tcW w:w="1484" w:type="dxa"/>
            <w:gridSpan w:val="2"/>
            <w:vAlign w:val="center"/>
          </w:tcPr>
          <w:p w14:paraId="4C51C702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40,99</w:t>
            </w:r>
          </w:p>
        </w:tc>
        <w:tc>
          <w:tcPr>
            <w:tcW w:w="1484" w:type="dxa"/>
            <w:gridSpan w:val="2"/>
            <w:vAlign w:val="center"/>
          </w:tcPr>
          <w:p w14:paraId="784C63B3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33,03</w:t>
            </w:r>
          </w:p>
        </w:tc>
        <w:tc>
          <w:tcPr>
            <w:tcW w:w="1484" w:type="dxa"/>
            <w:gridSpan w:val="2"/>
            <w:vAlign w:val="center"/>
          </w:tcPr>
          <w:p w14:paraId="2599D146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36,30</w:t>
            </w:r>
          </w:p>
        </w:tc>
        <w:tc>
          <w:tcPr>
            <w:tcW w:w="1484" w:type="dxa"/>
            <w:gridSpan w:val="2"/>
            <w:vAlign w:val="center"/>
          </w:tcPr>
          <w:p w14:paraId="18FE3F07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67,95</w:t>
            </w:r>
          </w:p>
        </w:tc>
        <w:tc>
          <w:tcPr>
            <w:tcW w:w="1484" w:type="dxa"/>
            <w:gridSpan w:val="2"/>
            <w:vAlign w:val="center"/>
          </w:tcPr>
          <w:p w14:paraId="6CC4A5CA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48,88</w:t>
            </w:r>
          </w:p>
        </w:tc>
      </w:tr>
      <w:tr w:rsidR="00C51575" w:rsidRPr="00C51575" w14:paraId="6D2B3F49" w14:textId="77777777" w:rsidTr="009C22A6">
        <w:trPr>
          <w:trHeight w:val="465"/>
        </w:trPr>
        <w:tc>
          <w:tcPr>
            <w:tcW w:w="3216" w:type="dxa"/>
          </w:tcPr>
          <w:p w14:paraId="127B8AD5" w14:textId="77777777" w:rsidR="00C51575" w:rsidRPr="00C51575" w:rsidRDefault="00C51575" w:rsidP="00C51575">
            <w:pPr>
              <w:rPr>
                <w:b/>
                <w:sz w:val="16"/>
              </w:rPr>
            </w:pPr>
            <w:r w:rsidRPr="00C51575">
              <w:rPr>
                <w:b/>
                <w:sz w:val="16"/>
              </w:rPr>
              <w:t>Aktywność (na dzień 31 grudnia w danym roku) [TBq]</w:t>
            </w:r>
          </w:p>
        </w:tc>
        <w:tc>
          <w:tcPr>
            <w:tcW w:w="1482" w:type="dxa"/>
            <w:gridSpan w:val="2"/>
            <w:vAlign w:val="center"/>
          </w:tcPr>
          <w:p w14:paraId="2889CA13" w14:textId="77777777" w:rsidR="00C51575" w:rsidRPr="00C51575" w:rsidRDefault="00C51575" w:rsidP="00C51575">
            <w:pPr>
              <w:jc w:val="center"/>
              <w:rPr>
                <w:b/>
                <w:sz w:val="16"/>
              </w:rPr>
            </w:pPr>
            <w:r w:rsidRPr="00C51575">
              <w:rPr>
                <w:b/>
                <w:sz w:val="16"/>
              </w:rPr>
              <w:t>1,40</w:t>
            </w:r>
          </w:p>
        </w:tc>
        <w:tc>
          <w:tcPr>
            <w:tcW w:w="1482" w:type="dxa"/>
            <w:gridSpan w:val="2"/>
            <w:vAlign w:val="center"/>
          </w:tcPr>
          <w:p w14:paraId="4919F353" w14:textId="77777777" w:rsidR="00C51575" w:rsidRPr="00C51575" w:rsidRDefault="00C51575" w:rsidP="00C51575">
            <w:pPr>
              <w:jc w:val="center"/>
              <w:rPr>
                <w:b/>
                <w:sz w:val="16"/>
              </w:rPr>
            </w:pPr>
            <w:r w:rsidRPr="00C51575">
              <w:rPr>
                <w:b/>
                <w:sz w:val="16"/>
              </w:rPr>
              <w:t>1,57</w:t>
            </w:r>
          </w:p>
        </w:tc>
        <w:tc>
          <w:tcPr>
            <w:tcW w:w="1483" w:type="dxa"/>
            <w:gridSpan w:val="2"/>
            <w:vAlign w:val="center"/>
          </w:tcPr>
          <w:p w14:paraId="03988861" w14:textId="77777777" w:rsidR="00C51575" w:rsidRPr="00C51575" w:rsidRDefault="00C51575" w:rsidP="00C51575">
            <w:pPr>
              <w:jc w:val="center"/>
              <w:rPr>
                <w:b/>
                <w:sz w:val="16"/>
              </w:rPr>
            </w:pPr>
            <w:r w:rsidRPr="00C51575">
              <w:rPr>
                <w:b/>
                <w:sz w:val="16"/>
              </w:rPr>
              <w:t>2,41</w:t>
            </w:r>
          </w:p>
        </w:tc>
        <w:tc>
          <w:tcPr>
            <w:tcW w:w="1484" w:type="dxa"/>
            <w:gridSpan w:val="2"/>
            <w:vAlign w:val="center"/>
          </w:tcPr>
          <w:p w14:paraId="0DB4A0D2" w14:textId="77777777" w:rsidR="00C51575" w:rsidRPr="00C51575" w:rsidRDefault="00C51575" w:rsidP="00C51575">
            <w:pPr>
              <w:jc w:val="center"/>
              <w:rPr>
                <w:b/>
                <w:sz w:val="16"/>
              </w:rPr>
            </w:pPr>
            <w:r w:rsidRPr="00C51575">
              <w:rPr>
                <w:b/>
                <w:sz w:val="16"/>
              </w:rPr>
              <w:t>1,24</w:t>
            </w:r>
          </w:p>
        </w:tc>
        <w:tc>
          <w:tcPr>
            <w:tcW w:w="1484" w:type="dxa"/>
            <w:gridSpan w:val="2"/>
            <w:vAlign w:val="center"/>
          </w:tcPr>
          <w:p w14:paraId="658A58E0" w14:textId="77777777" w:rsidR="00C51575" w:rsidRPr="00C51575" w:rsidRDefault="00C51575" w:rsidP="00C51575">
            <w:pPr>
              <w:jc w:val="center"/>
              <w:rPr>
                <w:b/>
                <w:sz w:val="16"/>
              </w:rPr>
            </w:pPr>
            <w:r w:rsidRPr="00C51575">
              <w:rPr>
                <w:b/>
                <w:sz w:val="16"/>
              </w:rPr>
              <w:t>0,52</w:t>
            </w:r>
          </w:p>
        </w:tc>
        <w:tc>
          <w:tcPr>
            <w:tcW w:w="1484" w:type="dxa"/>
            <w:gridSpan w:val="2"/>
            <w:vAlign w:val="center"/>
          </w:tcPr>
          <w:p w14:paraId="0780793F" w14:textId="77777777" w:rsidR="00C51575" w:rsidRPr="00C51575" w:rsidRDefault="00C51575" w:rsidP="00C51575">
            <w:pPr>
              <w:jc w:val="center"/>
              <w:rPr>
                <w:b/>
                <w:sz w:val="16"/>
              </w:rPr>
            </w:pPr>
            <w:r w:rsidRPr="00C51575">
              <w:rPr>
                <w:b/>
                <w:sz w:val="16"/>
              </w:rPr>
              <w:t>1,87</w:t>
            </w:r>
          </w:p>
        </w:tc>
        <w:tc>
          <w:tcPr>
            <w:tcW w:w="1484" w:type="dxa"/>
            <w:gridSpan w:val="2"/>
            <w:vAlign w:val="center"/>
          </w:tcPr>
          <w:p w14:paraId="66B820A1" w14:textId="77777777" w:rsidR="00C51575" w:rsidRPr="00C51575" w:rsidRDefault="00C51575" w:rsidP="00C51575">
            <w:pPr>
              <w:jc w:val="center"/>
              <w:rPr>
                <w:b/>
                <w:sz w:val="16"/>
              </w:rPr>
            </w:pPr>
            <w:r w:rsidRPr="00C51575">
              <w:rPr>
                <w:b/>
                <w:sz w:val="16"/>
              </w:rPr>
              <w:t>1,74</w:t>
            </w:r>
          </w:p>
        </w:tc>
        <w:tc>
          <w:tcPr>
            <w:tcW w:w="1484" w:type="dxa"/>
            <w:gridSpan w:val="2"/>
            <w:vAlign w:val="center"/>
          </w:tcPr>
          <w:p w14:paraId="40C8A9EA" w14:textId="77777777" w:rsidR="00C51575" w:rsidRPr="00C51575" w:rsidRDefault="00C51575" w:rsidP="00C51575">
            <w:pPr>
              <w:jc w:val="center"/>
              <w:rPr>
                <w:b/>
                <w:sz w:val="16"/>
              </w:rPr>
            </w:pPr>
            <w:r w:rsidRPr="00C51575">
              <w:rPr>
                <w:b/>
                <w:sz w:val="16"/>
              </w:rPr>
              <w:t>1,37</w:t>
            </w:r>
          </w:p>
        </w:tc>
      </w:tr>
    </w:tbl>
    <w:p w14:paraId="2F27C616" w14:textId="77777777" w:rsidR="00C51575" w:rsidRDefault="00C51575" w:rsidP="008530B2">
      <w:pPr>
        <w:spacing w:after="120"/>
        <w:jc w:val="both"/>
        <w:rPr>
          <w:b/>
        </w:rPr>
      </w:pPr>
    </w:p>
    <w:p w14:paraId="23E7097E" w14:textId="77777777" w:rsidR="00C51575" w:rsidRDefault="00C51575" w:rsidP="008530B2">
      <w:pPr>
        <w:spacing w:after="120"/>
        <w:jc w:val="both"/>
        <w:rPr>
          <w:b/>
        </w:rPr>
        <w:sectPr w:rsidR="00C51575" w:rsidSect="00AF66AF">
          <w:pgSz w:w="16838" w:h="11906" w:orient="landscape"/>
          <w:pgMar w:top="1418" w:right="1418" w:bottom="1418" w:left="1701" w:header="709" w:footer="709" w:gutter="0"/>
          <w:cols w:space="708"/>
          <w:rtlGutter/>
          <w:docGrid w:linePitch="360"/>
        </w:sectPr>
      </w:pPr>
    </w:p>
    <w:tbl>
      <w:tblPr>
        <w:tblpPr w:leftFromText="141" w:rightFromText="141" w:vertAnchor="page" w:horzAnchor="margin" w:tblpXSpec="center" w:tblpY="2139"/>
        <w:tblW w:w="14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805"/>
        <w:gridCol w:w="805"/>
        <w:gridCol w:w="805"/>
        <w:gridCol w:w="804"/>
        <w:gridCol w:w="804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C51575" w:rsidRPr="00C51575" w14:paraId="3739023A" w14:textId="77777777" w:rsidTr="009C22A6">
        <w:trPr>
          <w:cantSplit/>
          <w:trHeight w:val="202"/>
        </w:trPr>
        <w:tc>
          <w:tcPr>
            <w:tcW w:w="3491" w:type="dxa"/>
            <w:vMerge w:val="restart"/>
            <w:shd w:val="clear" w:color="auto" w:fill="92D050"/>
            <w:vAlign w:val="center"/>
          </w:tcPr>
          <w:p w14:paraId="7163F5E5" w14:textId="77777777" w:rsidR="00C51575" w:rsidRPr="00C51575" w:rsidRDefault="00C51575" w:rsidP="00C51575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shd w:val="clear" w:color="auto" w:fill="92D050"/>
            <w:vAlign w:val="center"/>
          </w:tcPr>
          <w:p w14:paraId="22DD4B34" w14:textId="77777777" w:rsidR="00C51575" w:rsidRPr="00955BC2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609" w:type="dxa"/>
            <w:gridSpan w:val="2"/>
            <w:shd w:val="clear" w:color="auto" w:fill="92D050"/>
            <w:vAlign w:val="center"/>
          </w:tcPr>
          <w:p w14:paraId="1E9ACADB" w14:textId="77777777" w:rsidR="00C51575" w:rsidRPr="00955BC2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1609" w:type="dxa"/>
            <w:gridSpan w:val="2"/>
            <w:shd w:val="clear" w:color="auto" w:fill="92D050"/>
            <w:vAlign w:val="center"/>
          </w:tcPr>
          <w:p w14:paraId="3364F98B" w14:textId="77777777" w:rsidR="00C51575" w:rsidRPr="00955BC2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610" w:type="dxa"/>
            <w:gridSpan w:val="2"/>
            <w:shd w:val="clear" w:color="auto" w:fill="92D050"/>
            <w:vAlign w:val="center"/>
          </w:tcPr>
          <w:p w14:paraId="43C615FF" w14:textId="77777777" w:rsidR="00C51575" w:rsidRPr="00955BC2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610" w:type="dxa"/>
            <w:gridSpan w:val="2"/>
            <w:shd w:val="clear" w:color="auto" w:fill="92D050"/>
            <w:vAlign w:val="center"/>
          </w:tcPr>
          <w:p w14:paraId="2146C2F0" w14:textId="77777777" w:rsidR="00C51575" w:rsidRPr="00955BC2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1610" w:type="dxa"/>
            <w:gridSpan w:val="2"/>
            <w:shd w:val="clear" w:color="auto" w:fill="92D050"/>
          </w:tcPr>
          <w:p w14:paraId="32B128DC" w14:textId="77777777" w:rsidR="00C51575" w:rsidRPr="00955BC2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1795830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2014</w:t>
            </w:r>
          </w:p>
        </w:tc>
      </w:tr>
      <w:tr w:rsidR="00C51575" w:rsidRPr="00C51575" w14:paraId="36C7286D" w14:textId="77777777" w:rsidTr="009C22A6">
        <w:trPr>
          <w:cantSplit/>
          <w:trHeight w:val="341"/>
        </w:trPr>
        <w:tc>
          <w:tcPr>
            <w:tcW w:w="3491" w:type="dxa"/>
            <w:vMerge/>
            <w:shd w:val="clear" w:color="auto" w:fill="92D050"/>
          </w:tcPr>
          <w:p w14:paraId="21174E47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92D050"/>
            <w:vAlign w:val="center"/>
          </w:tcPr>
          <w:p w14:paraId="1622C027" w14:textId="77777777" w:rsidR="00C51575" w:rsidRPr="00955BC2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4E326126" w14:textId="77777777" w:rsidR="00C51575" w:rsidRPr="00955BC2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ciekłe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7DC5C57E" w14:textId="77777777" w:rsidR="00C51575" w:rsidRPr="00955BC2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04" w:type="dxa"/>
            <w:shd w:val="clear" w:color="auto" w:fill="92D050"/>
            <w:vAlign w:val="center"/>
          </w:tcPr>
          <w:p w14:paraId="2736790C" w14:textId="77777777" w:rsidR="00C51575" w:rsidRPr="00955BC2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ciekłe</w:t>
            </w:r>
          </w:p>
        </w:tc>
        <w:tc>
          <w:tcPr>
            <w:tcW w:w="804" w:type="dxa"/>
            <w:shd w:val="clear" w:color="auto" w:fill="92D050"/>
            <w:vAlign w:val="center"/>
          </w:tcPr>
          <w:p w14:paraId="6FCE8804" w14:textId="77777777" w:rsidR="00C51575" w:rsidRPr="00955BC2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6144E64E" w14:textId="77777777" w:rsidR="00C51575" w:rsidRPr="00955BC2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Ciekłe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2B442B0F" w14:textId="77777777" w:rsidR="00C51575" w:rsidRPr="00955BC2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7134A76D" w14:textId="77777777" w:rsidR="00C51575" w:rsidRPr="00955BC2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ciekłe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0C07FDA8" w14:textId="77777777" w:rsidR="00C51575" w:rsidRPr="00955BC2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299ACFA7" w14:textId="77777777" w:rsidR="00C51575" w:rsidRPr="00955BC2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ciekłe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331D074B" w14:textId="77777777" w:rsidR="00C51575" w:rsidRPr="00955BC2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7BADA8FA" w14:textId="4C018D53" w:rsidR="00C51575" w:rsidRPr="00955BC2" w:rsidRDefault="00955BC2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955BC2">
              <w:rPr>
                <w:b/>
                <w:sz w:val="16"/>
                <w:szCs w:val="16"/>
              </w:rPr>
              <w:t>ciekłe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50386BC4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F8B1C3E" w14:textId="77777777" w:rsidR="00C51575" w:rsidRPr="00C51575" w:rsidRDefault="00C51575" w:rsidP="00C51575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ciekłe</w:t>
            </w:r>
          </w:p>
        </w:tc>
      </w:tr>
      <w:tr w:rsidR="00C51575" w:rsidRPr="00C51575" w14:paraId="0E5BCB71" w14:textId="77777777" w:rsidTr="009C22A6">
        <w:trPr>
          <w:trHeight w:val="444"/>
        </w:trPr>
        <w:tc>
          <w:tcPr>
            <w:tcW w:w="3491" w:type="dxa"/>
            <w:vAlign w:val="center"/>
          </w:tcPr>
          <w:p w14:paraId="1166B664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</w:rPr>
            </w:pPr>
            <w:r w:rsidRPr="00C51575">
              <w:rPr>
                <w:b/>
              </w:rPr>
              <w:t>Pochodzenie odpadów promieniotwórczych</w:t>
            </w:r>
          </w:p>
        </w:tc>
        <w:tc>
          <w:tcPr>
            <w:tcW w:w="805" w:type="dxa"/>
            <w:vAlign w:val="center"/>
          </w:tcPr>
          <w:p w14:paraId="2C6FD72C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599E7957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2FA1EDF3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23259F7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0B25F01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25F37006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071D54AC" w14:textId="77777777" w:rsidR="00C51575" w:rsidRPr="00C51575" w:rsidRDefault="00C51575" w:rsidP="00C51575">
            <w:pPr>
              <w:spacing w:line="240" w:lineRule="auto"/>
              <w:ind w:hanging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0B4610B2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19FB37B6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5594F9B0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4F3BB419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4078F0C8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7ABA105B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4F125BE2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</w:tr>
      <w:tr w:rsidR="00C51575" w:rsidRPr="00C51575" w14:paraId="620431D1" w14:textId="77777777" w:rsidTr="009C22A6">
        <w:trPr>
          <w:trHeight w:val="464"/>
        </w:trPr>
        <w:tc>
          <w:tcPr>
            <w:tcW w:w="3491" w:type="dxa"/>
            <w:vAlign w:val="center"/>
          </w:tcPr>
          <w:p w14:paraId="72985576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Reaktor MARIA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59137E89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6,76</w:t>
            </w:r>
          </w:p>
        </w:tc>
        <w:tc>
          <w:tcPr>
            <w:tcW w:w="805" w:type="dxa"/>
            <w:vAlign w:val="center"/>
          </w:tcPr>
          <w:p w14:paraId="5BEA328C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29,00</w:t>
            </w:r>
          </w:p>
        </w:tc>
        <w:tc>
          <w:tcPr>
            <w:tcW w:w="805" w:type="dxa"/>
            <w:vAlign w:val="center"/>
          </w:tcPr>
          <w:p w14:paraId="42A20A76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3,00</w:t>
            </w:r>
          </w:p>
        </w:tc>
        <w:tc>
          <w:tcPr>
            <w:tcW w:w="804" w:type="dxa"/>
            <w:vAlign w:val="center"/>
          </w:tcPr>
          <w:p w14:paraId="5D783665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53,00</w:t>
            </w:r>
          </w:p>
        </w:tc>
        <w:tc>
          <w:tcPr>
            <w:tcW w:w="804" w:type="dxa"/>
            <w:vAlign w:val="center"/>
          </w:tcPr>
          <w:p w14:paraId="67CB9F40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3,00</w:t>
            </w:r>
          </w:p>
        </w:tc>
        <w:tc>
          <w:tcPr>
            <w:tcW w:w="805" w:type="dxa"/>
            <w:vAlign w:val="center"/>
          </w:tcPr>
          <w:p w14:paraId="09A93CEF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25,50</w:t>
            </w:r>
          </w:p>
        </w:tc>
        <w:tc>
          <w:tcPr>
            <w:tcW w:w="805" w:type="dxa"/>
            <w:vAlign w:val="center"/>
          </w:tcPr>
          <w:p w14:paraId="3C9358C4" w14:textId="77777777" w:rsidR="00C51575" w:rsidRPr="00C51575" w:rsidRDefault="00C51575" w:rsidP="00C51575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3,8</w:t>
            </w:r>
          </w:p>
        </w:tc>
        <w:tc>
          <w:tcPr>
            <w:tcW w:w="805" w:type="dxa"/>
            <w:vAlign w:val="center"/>
          </w:tcPr>
          <w:p w14:paraId="7BC13D07" w14:textId="77777777" w:rsidR="00C51575" w:rsidRPr="00C51575" w:rsidRDefault="00C51575" w:rsidP="00C51575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22,0</w:t>
            </w:r>
          </w:p>
        </w:tc>
        <w:tc>
          <w:tcPr>
            <w:tcW w:w="805" w:type="dxa"/>
            <w:vAlign w:val="center"/>
          </w:tcPr>
          <w:p w14:paraId="3F4F2FFA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4,8</w:t>
            </w:r>
          </w:p>
        </w:tc>
        <w:tc>
          <w:tcPr>
            <w:tcW w:w="805" w:type="dxa"/>
            <w:vAlign w:val="center"/>
          </w:tcPr>
          <w:p w14:paraId="5BF05C2A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22,0</w:t>
            </w:r>
          </w:p>
        </w:tc>
        <w:tc>
          <w:tcPr>
            <w:tcW w:w="805" w:type="dxa"/>
            <w:vAlign w:val="center"/>
          </w:tcPr>
          <w:p w14:paraId="2F0CA900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10,8</w:t>
            </w:r>
          </w:p>
        </w:tc>
        <w:tc>
          <w:tcPr>
            <w:tcW w:w="805" w:type="dxa"/>
            <w:vAlign w:val="center"/>
          </w:tcPr>
          <w:p w14:paraId="13BC3480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27,00</w:t>
            </w:r>
          </w:p>
        </w:tc>
        <w:tc>
          <w:tcPr>
            <w:tcW w:w="805" w:type="dxa"/>
            <w:vAlign w:val="center"/>
          </w:tcPr>
          <w:p w14:paraId="3636E1A0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4,00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727A89C5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20,00</w:t>
            </w:r>
          </w:p>
        </w:tc>
      </w:tr>
      <w:tr w:rsidR="00C51575" w:rsidRPr="00C51575" w14:paraId="6EE5D222" w14:textId="77777777" w:rsidTr="009C22A6">
        <w:trPr>
          <w:trHeight w:val="465"/>
        </w:trPr>
        <w:tc>
          <w:tcPr>
            <w:tcW w:w="3491" w:type="dxa"/>
            <w:vAlign w:val="center"/>
          </w:tcPr>
          <w:p w14:paraId="55F80474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Reaktor EWA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26CFB4B4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095419B6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7A6B170E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79608046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0625F7F1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79A58B6D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5EE2BB3F" w14:textId="77777777" w:rsidR="00C51575" w:rsidRPr="00C51575" w:rsidRDefault="00C51575" w:rsidP="00C51575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3B365A65" w14:textId="77777777" w:rsidR="00C51575" w:rsidRPr="00C51575" w:rsidRDefault="00C51575" w:rsidP="00C51575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2F36ADDC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5FB88A3E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14:paraId="459C44A4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14:paraId="1702126F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14:paraId="4589F168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14:paraId="57FF0EC0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</w:tr>
      <w:tr w:rsidR="00C51575" w:rsidRPr="00C51575" w14:paraId="300707B9" w14:textId="77777777" w:rsidTr="009C22A6">
        <w:trPr>
          <w:trHeight w:val="465"/>
        </w:trPr>
        <w:tc>
          <w:tcPr>
            <w:tcW w:w="3491" w:type="dxa"/>
            <w:vAlign w:val="center"/>
          </w:tcPr>
          <w:p w14:paraId="01BB6242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OR POLATOM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0CB533DA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1E92FCAE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805" w:type="dxa"/>
            <w:vAlign w:val="center"/>
          </w:tcPr>
          <w:p w14:paraId="07F45873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13,60</w:t>
            </w:r>
          </w:p>
        </w:tc>
        <w:tc>
          <w:tcPr>
            <w:tcW w:w="804" w:type="dxa"/>
            <w:vAlign w:val="center"/>
          </w:tcPr>
          <w:p w14:paraId="43F1F5AD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804" w:type="dxa"/>
            <w:vAlign w:val="center"/>
          </w:tcPr>
          <w:p w14:paraId="346AD164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22,00</w:t>
            </w:r>
          </w:p>
        </w:tc>
        <w:tc>
          <w:tcPr>
            <w:tcW w:w="805" w:type="dxa"/>
            <w:vAlign w:val="center"/>
          </w:tcPr>
          <w:p w14:paraId="00EFBBE7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805" w:type="dxa"/>
            <w:vAlign w:val="center"/>
          </w:tcPr>
          <w:p w14:paraId="080846D7" w14:textId="77777777" w:rsidR="00C51575" w:rsidRPr="00C51575" w:rsidRDefault="00C51575" w:rsidP="00C51575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24,2</w:t>
            </w:r>
          </w:p>
        </w:tc>
        <w:tc>
          <w:tcPr>
            <w:tcW w:w="805" w:type="dxa"/>
            <w:vAlign w:val="center"/>
          </w:tcPr>
          <w:p w14:paraId="4092693E" w14:textId="77777777" w:rsidR="00C51575" w:rsidRPr="00C51575" w:rsidRDefault="00C51575" w:rsidP="00C51575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</w:tcPr>
          <w:p w14:paraId="4BDC4B46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32,3</w:t>
            </w:r>
          </w:p>
        </w:tc>
        <w:tc>
          <w:tcPr>
            <w:tcW w:w="805" w:type="dxa"/>
            <w:vAlign w:val="center"/>
          </w:tcPr>
          <w:p w14:paraId="5D409332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805" w:type="dxa"/>
            <w:vAlign w:val="center"/>
          </w:tcPr>
          <w:p w14:paraId="115BCC0B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8,8</w:t>
            </w:r>
          </w:p>
        </w:tc>
        <w:tc>
          <w:tcPr>
            <w:tcW w:w="805" w:type="dxa"/>
            <w:vAlign w:val="center"/>
          </w:tcPr>
          <w:p w14:paraId="09AF8489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0,38</w:t>
            </w:r>
          </w:p>
        </w:tc>
        <w:tc>
          <w:tcPr>
            <w:tcW w:w="805" w:type="dxa"/>
            <w:vAlign w:val="center"/>
          </w:tcPr>
          <w:p w14:paraId="2D7C3AA3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18,20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11E241E7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0,15</w:t>
            </w:r>
          </w:p>
        </w:tc>
      </w:tr>
      <w:tr w:rsidR="00C51575" w:rsidRPr="00C51575" w14:paraId="5D497FE0" w14:textId="77777777" w:rsidTr="009C22A6">
        <w:trPr>
          <w:trHeight w:val="465"/>
        </w:trPr>
        <w:tc>
          <w:tcPr>
            <w:tcW w:w="3491" w:type="dxa"/>
            <w:vAlign w:val="center"/>
          </w:tcPr>
          <w:p w14:paraId="18BFFEA7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ZUOP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18991A39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3,35</w:t>
            </w:r>
          </w:p>
        </w:tc>
        <w:tc>
          <w:tcPr>
            <w:tcW w:w="805" w:type="dxa"/>
            <w:vAlign w:val="center"/>
          </w:tcPr>
          <w:p w14:paraId="448FB01C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6,00</w:t>
            </w:r>
          </w:p>
        </w:tc>
        <w:tc>
          <w:tcPr>
            <w:tcW w:w="805" w:type="dxa"/>
            <w:vAlign w:val="center"/>
          </w:tcPr>
          <w:p w14:paraId="5763ECE0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4,11</w:t>
            </w:r>
          </w:p>
        </w:tc>
        <w:tc>
          <w:tcPr>
            <w:tcW w:w="804" w:type="dxa"/>
            <w:vAlign w:val="center"/>
          </w:tcPr>
          <w:p w14:paraId="2F832AE3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6,01</w:t>
            </w:r>
          </w:p>
        </w:tc>
        <w:tc>
          <w:tcPr>
            <w:tcW w:w="804" w:type="dxa"/>
            <w:vAlign w:val="center"/>
          </w:tcPr>
          <w:p w14:paraId="56111450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5,05</w:t>
            </w:r>
          </w:p>
        </w:tc>
        <w:tc>
          <w:tcPr>
            <w:tcW w:w="805" w:type="dxa"/>
            <w:vAlign w:val="center"/>
          </w:tcPr>
          <w:p w14:paraId="684536B3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805" w:type="dxa"/>
            <w:vAlign w:val="center"/>
          </w:tcPr>
          <w:p w14:paraId="4250519C" w14:textId="77777777" w:rsidR="00C51575" w:rsidRPr="00C51575" w:rsidRDefault="00C51575" w:rsidP="00C51575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5,2</w:t>
            </w:r>
          </w:p>
        </w:tc>
        <w:tc>
          <w:tcPr>
            <w:tcW w:w="805" w:type="dxa"/>
            <w:vAlign w:val="center"/>
          </w:tcPr>
          <w:p w14:paraId="1E57ACAF" w14:textId="77777777" w:rsidR="00C51575" w:rsidRPr="00C51575" w:rsidRDefault="00C51575" w:rsidP="00C51575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4,0</w:t>
            </w:r>
          </w:p>
        </w:tc>
        <w:tc>
          <w:tcPr>
            <w:tcW w:w="805" w:type="dxa"/>
            <w:vAlign w:val="center"/>
          </w:tcPr>
          <w:p w14:paraId="24887557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10,4</w:t>
            </w:r>
          </w:p>
        </w:tc>
        <w:tc>
          <w:tcPr>
            <w:tcW w:w="805" w:type="dxa"/>
            <w:vAlign w:val="center"/>
          </w:tcPr>
          <w:p w14:paraId="220A5430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26,0</w:t>
            </w:r>
          </w:p>
        </w:tc>
        <w:tc>
          <w:tcPr>
            <w:tcW w:w="805" w:type="dxa"/>
            <w:vAlign w:val="center"/>
          </w:tcPr>
          <w:p w14:paraId="014C7727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7,02</w:t>
            </w:r>
          </w:p>
        </w:tc>
        <w:tc>
          <w:tcPr>
            <w:tcW w:w="805" w:type="dxa"/>
            <w:vAlign w:val="center"/>
          </w:tcPr>
          <w:p w14:paraId="6D83D21B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0,0</w:t>
            </w:r>
          </w:p>
        </w:tc>
        <w:tc>
          <w:tcPr>
            <w:tcW w:w="805" w:type="dxa"/>
            <w:vAlign w:val="center"/>
          </w:tcPr>
          <w:p w14:paraId="752045D3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8,58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7223AA4F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0,00</w:t>
            </w:r>
          </w:p>
        </w:tc>
      </w:tr>
      <w:tr w:rsidR="00C51575" w:rsidRPr="00C51575" w14:paraId="04EA8AC6" w14:textId="77777777" w:rsidTr="009C22A6">
        <w:trPr>
          <w:trHeight w:val="465"/>
        </w:trPr>
        <w:tc>
          <w:tcPr>
            <w:tcW w:w="3491" w:type="dxa"/>
            <w:vAlign w:val="center"/>
          </w:tcPr>
          <w:p w14:paraId="67BB92DC" w14:textId="2C41DE28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w w:val="90"/>
                <w:sz w:val="16"/>
                <w:szCs w:val="16"/>
              </w:rPr>
            </w:pPr>
            <w:r w:rsidRPr="00C51575">
              <w:rPr>
                <w:rFonts w:cs="Arial"/>
                <w:b/>
                <w:w w:val="90"/>
                <w:sz w:val="16"/>
                <w:szCs w:val="16"/>
              </w:rPr>
              <w:t>Instytucje spoza NCBJ (</w:t>
            </w:r>
            <w:r w:rsidR="00FA31C1" w:rsidRPr="00C51575">
              <w:rPr>
                <w:rFonts w:cs="Arial"/>
                <w:b/>
                <w:w w:val="90"/>
                <w:sz w:val="16"/>
                <w:szCs w:val="16"/>
              </w:rPr>
              <w:t>zastosowania</w:t>
            </w:r>
            <w:r w:rsidRPr="00C51575">
              <w:rPr>
                <w:rFonts w:cs="Arial"/>
                <w:b/>
                <w:w w:val="90"/>
                <w:sz w:val="16"/>
                <w:szCs w:val="16"/>
              </w:rPr>
              <w:t xml:space="preserve"> medyczne, przemysłowe, naukowe) [m</w:t>
            </w:r>
            <w:r w:rsidRPr="00C51575">
              <w:rPr>
                <w:rFonts w:cs="Arial"/>
                <w:b/>
                <w:w w:val="90"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w w:val="90"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21FDDDA3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12,68</w:t>
            </w:r>
          </w:p>
        </w:tc>
        <w:tc>
          <w:tcPr>
            <w:tcW w:w="805" w:type="dxa"/>
            <w:vAlign w:val="center"/>
          </w:tcPr>
          <w:p w14:paraId="232C7648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2,59</w:t>
            </w:r>
          </w:p>
        </w:tc>
        <w:tc>
          <w:tcPr>
            <w:tcW w:w="805" w:type="dxa"/>
            <w:vAlign w:val="center"/>
          </w:tcPr>
          <w:p w14:paraId="7BC2673E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9,21</w:t>
            </w:r>
          </w:p>
        </w:tc>
        <w:tc>
          <w:tcPr>
            <w:tcW w:w="804" w:type="dxa"/>
            <w:vAlign w:val="center"/>
          </w:tcPr>
          <w:p w14:paraId="6BFFB37A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0,83</w:t>
            </w:r>
          </w:p>
        </w:tc>
        <w:tc>
          <w:tcPr>
            <w:tcW w:w="804" w:type="dxa"/>
            <w:vAlign w:val="center"/>
          </w:tcPr>
          <w:p w14:paraId="4B953632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21,25</w:t>
            </w:r>
          </w:p>
        </w:tc>
        <w:tc>
          <w:tcPr>
            <w:tcW w:w="805" w:type="dxa"/>
            <w:vAlign w:val="center"/>
          </w:tcPr>
          <w:p w14:paraId="364D0524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0,55</w:t>
            </w:r>
          </w:p>
        </w:tc>
        <w:tc>
          <w:tcPr>
            <w:tcW w:w="805" w:type="dxa"/>
            <w:vAlign w:val="center"/>
          </w:tcPr>
          <w:p w14:paraId="43CAFBE9" w14:textId="77777777" w:rsidR="00C51575" w:rsidRPr="00C51575" w:rsidRDefault="00C51575" w:rsidP="00C51575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14,9</w:t>
            </w:r>
          </w:p>
        </w:tc>
        <w:tc>
          <w:tcPr>
            <w:tcW w:w="805" w:type="dxa"/>
            <w:vAlign w:val="center"/>
          </w:tcPr>
          <w:p w14:paraId="5D2EFE92" w14:textId="77777777" w:rsidR="00C51575" w:rsidRPr="00C51575" w:rsidRDefault="00C51575" w:rsidP="00C51575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805" w:type="dxa"/>
            <w:vAlign w:val="center"/>
          </w:tcPr>
          <w:p w14:paraId="6EE91A93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8,9</w:t>
            </w:r>
          </w:p>
        </w:tc>
        <w:tc>
          <w:tcPr>
            <w:tcW w:w="805" w:type="dxa"/>
            <w:vAlign w:val="center"/>
          </w:tcPr>
          <w:p w14:paraId="7FAD7D0C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805" w:type="dxa"/>
            <w:vAlign w:val="center"/>
          </w:tcPr>
          <w:p w14:paraId="3DA33B1B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18,06</w:t>
            </w:r>
          </w:p>
        </w:tc>
        <w:tc>
          <w:tcPr>
            <w:tcW w:w="805" w:type="dxa"/>
            <w:vAlign w:val="center"/>
          </w:tcPr>
          <w:p w14:paraId="3A1F5D7D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0,99</w:t>
            </w:r>
          </w:p>
        </w:tc>
        <w:tc>
          <w:tcPr>
            <w:tcW w:w="805" w:type="dxa"/>
            <w:vAlign w:val="center"/>
          </w:tcPr>
          <w:p w14:paraId="605266B7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7,36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543B604F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0,78</w:t>
            </w:r>
          </w:p>
        </w:tc>
      </w:tr>
      <w:tr w:rsidR="00C51575" w:rsidRPr="00C51575" w14:paraId="0290F9FA" w14:textId="77777777" w:rsidTr="009C22A6">
        <w:trPr>
          <w:trHeight w:val="465"/>
        </w:trPr>
        <w:tc>
          <w:tcPr>
            <w:tcW w:w="3491" w:type="dxa"/>
            <w:vAlign w:val="center"/>
          </w:tcPr>
          <w:p w14:paraId="34DA79C4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Ogółem [m</w:t>
            </w:r>
            <w:r w:rsidRPr="00C51575">
              <w:rPr>
                <w:b/>
                <w:i/>
                <w:sz w:val="16"/>
                <w:szCs w:val="16"/>
                <w:vertAlign w:val="superscript"/>
              </w:rPr>
              <w:t>3</w:t>
            </w:r>
            <w:r w:rsidRPr="00C51575">
              <w:rPr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3C7E11A5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22,79</w:t>
            </w:r>
          </w:p>
        </w:tc>
        <w:tc>
          <w:tcPr>
            <w:tcW w:w="805" w:type="dxa"/>
            <w:vAlign w:val="center"/>
          </w:tcPr>
          <w:p w14:paraId="4B77BEAF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37,64</w:t>
            </w:r>
          </w:p>
        </w:tc>
        <w:tc>
          <w:tcPr>
            <w:tcW w:w="805" w:type="dxa"/>
            <w:vAlign w:val="center"/>
          </w:tcPr>
          <w:p w14:paraId="4BDB0DF3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29,92</w:t>
            </w:r>
          </w:p>
        </w:tc>
        <w:tc>
          <w:tcPr>
            <w:tcW w:w="804" w:type="dxa"/>
            <w:vAlign w:val="center"/>
          </w:tcPr>
          <w:p w14:paraId="2DB2FCF8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59,88</w:t>
            </w:r>
          </w:p>
        </w:tc>
        <w:tc>
          <w:tcPr>
            <w:tcW w:w="804" w:type="dxa"/>
            <w:vAlign w:val="center"/>
          </w:tcPr>
          <w:p w14:paraId="469F79D4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51,30</w:t>
            </w:r>
          </w:p>
        </w:tc>
        <w:tc>
          <w:tcPr>
            <w:tcW w:w="805" w:type="dxa"/>
            <w:vAlign w:val="center"/>
          </w:tcPr>
          <w:p w14:paraId="6F119BA5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36,09</w:t>
            </w:r>
          </w:p>
        </w:tc>
        <w:tc>
          <w:tcPr>
            <w:tcW w:w="805" w:type="dxa"/>
            <w:vAlign w:val="center"/>
          </w:tcPr>
          <w:p w14:paraId="118CFCC9" w14:textId="77777777" w:rsidR="00C51575" w:rsidRPr="00C51575" w:rsidRDefault="00C51575" w:rsidP="00C51575">
            <w:pPr>
              <w:spacing w:line="240" w:lineRule="auto"/>
              <w:ind w:right="205" w:hanging="8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48,1</w:t>
            </w:r>
          </w:p>
        </w:tc>
        <w:tc>
          <w:tcPr>
            <w:tcW w:w="805" w:type="dxa"/>
            <w:vAlign w:val="center"/>
          </w:tcPr>
          <w:p w14:paraId="68CA579A" w14:textId="77777777" w:rsidR="00C51575" w:rsidRPr="00C51575" w:rsidRDefault="00C51575" w:rsidP="00C51575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26,2</w:t>
            </w:r>
          </w:p>
        </w:tc>
        <w:tc>
          <w:tcPr>
            <w:tcW w:w="805" w:type="dxa"/>
            <w:vAlign w:val="center"/>
          </w:tcPr>
          <w:p w14:paraId="358F8BB5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56,3</w:t>
            </w:r>
          </w:p>
        </w:tc>
        <w:tc>
          <w:tcPr>
            <w:tcW w:w="805" w:type="dxa"/>
            <w:vAlign w:val="center"/>
          </w:tcPr>
          <w:p w14:paraId="5EEF73A5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48,7</w:t>
            </w:r>
          </w:p>
        </w:tc>
        <w:tc>
          <w:tcPr>
            <w:tcW w:w="805" w:type="dxa"/>
            <w:vAlign w:val="center"/>
          </w:tcPr>
          <w:p w14:paraId="2334796E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51575">
              <w:rPr>
                <w:rFonts w:cs="Arial"/>
                <w:b/>
                <w:i/>
                <w:sz w:val="16"/>
                <w:szCs w:val="16"/>
              </w:rPr>
              <w:t>44,68</w:t>
            </w:r>
          </w:p>
        </w:tc>
        <w:tc>
          <w:tcPr>
            <w:tcW w:w="805" w:type="dxa"/>
            <w:vAlign w:val="center"/>
          </w:tcPr>
          <w:p w14:paraId="2F23276F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51575">
              <w:rPr>
                <w:rFonts w:cs="Arial"/>
                <w:b/>
                <w:i/>
                <w:sz w:val="16"/>
                <w:szCs w:val="16"/>
              </w:rPr>
              <w:t>28,37</w:t>
            </w:r>
          </w:p>
        </w:tc>
        <w:tc>
          <w:tcPr>
            <w:tcW w:w="805" w:type="dxa"/>
            <w:vAlign w:val="center"/>
          </w:tcPr>
          <w:p w14:paraId="72ACA92F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51575">
              <w:rPr>
                <w:rFonts w:cs="Arial"/>
                <w:b/>
                <w:i/>
                <w:sz w:val="16"/>
                <w:szCs w:val="16"/>
              </w:rPr>
              <w:t>38,14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64E36470" w14:textId="77777777" w:rsidR="00C51575" w:rsidRPr="00C51575" w:rsidRDefault="00C51575" w:rsidP="00C51575">
            <w:pPr>
              <w:spacing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51575">
              <w:rPr>
                <w:rFonts w:cs="Arial"/>
                <w:b/>
                <w:i/>
                <w:sz w:val="16"/>
                <w:szCs w:val="16"/>
              </w:rPr>
              <w:t>20,93</w:t>
            </w:r>
          </w:p>
        </w:tc>
      </w:tr>
      <w:tr w:rsidR="00C51575" w:rsidRPr="00C51575" w14:paraId="465D1B70" w14:textId="77777777" w:rsidTr="009C22A6">
        <w:trPr>
          <w:trHeight w:val="465"/>
        </w:trPr>
        <w:tc>
          <w:tcPr>
            <w:tcW w:w="3491" w:type="dxa"/>
            <w:vAlign w:val="center"/>
          </w:tcPr>
          <w:p w14:paraId="0ED2A4C5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</w:rPr>
            </w:pPr>
            <w:r w:rsidRPr="00C51575">
              <w:rPr>
                <w:b/>
              </w:rPr>
              <w:t>Kategoria odpadów promieniotwórczych</w:t>
            </w:r>
          </w:p>
        </w:tc>
        <w:tc>
          <w:tcPr>
            <w:tcW w:w="805" w:type="dxa"/>
            <w:vAlign w:val="center"/>
          </w:tcPr>
          <w:p w14:paraId="4207CED8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40970491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7C970F2E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A2E561D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EAA80DB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1E1E4819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0AC0A859" w14:textId="77777777" w:rsidR="00C51575" w:rsidRPr="00C51575" w:rsidRDefault="00C51575" w:rsidP="00C51575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1C0719D4" w14:textId="77777777" w:rsidR="00C51575" w:rsidRPr="00C51575" w:rsidRDefault="00C51575" w:rsidP="00C51575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57769608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7B669DB3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14:paraId="2ABCD257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14:paraId="28DE2641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14:paraId="6D6E4C80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3B79AFE1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</w:tr>
      <w:tr w:rsidR="00C51575" w:rsidRPr="00C51575" w14:paraId="140338AA" w14:textId="77777777" w:rsidTr="009C22A6">
        <w:trPr>
          <w:trHeight w:val="301"/>
        </w:trPr>
        <w:tc>
          <w:tcPr>
            <w:tcW w:w="3491" w:type="dxa"/>
            <w:vAlign w:val="center"/>
          </w:tcPr>
          <w:p w14:paraId="7CF26336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niskoaktywne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79D5126A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22,38</w:t>
            </w:r>
          </w:p>
        </w:tc>
        <w:tc>
          <w:tcPr>
            <w:tcW w:w="805" w:type="dxa"/>
            <w:vAlign w:val="center"/>
          </w:tcPr>
          <w:p w14:paraId="7E3059D3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37,63</w:t>
            </w:r>
          </w:p>
        </w:tc>
        <w:tc>
          <w:tcPr>
            <w:tcW w:w="805" w:type="dxa"/>
            <w:vAlign w:val="center"/>
          </w:tcPr>
          <w:p w14:paraId="1FF2F475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29,72</w:t>
            </w:r>
          </w:p>
        </w:tc>
        <w:tc>
          <w:tcPr>
            <w:tcW w:w="804" w:type="dxa"/>
            <w:vAlign w:val="center"/>
          </w:tcPr>
          <w:p w14:paraId="4698E945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59,88</w:t>
            </w:r>
          </w:p>
        </w:tc>
        <w:tc>
          <w:tcPr>
            <w:tcW w:w="804" w:type="dxa"/>
            <w:vAlign w:val="center"/>
          </w:tcPr>
          <w:p w14:paraId="7339E1D1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51,30</w:t>
            </w:r>
          </w:p>
        </w:tc>
        <w:tc>
          <w:tcPr>
            <w:tcW w:w="805" w:type="dxa"/>
            <w:vAlign w:val="center"/>
          </w:tcPr>
          <w:p w14:paraId="0E990265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36,05</w:t>
            </w:r>
          </w:p>
        </w:tc>
        <w:tc>
          <w:tcPr>
            <w:tcW w:w="805" w:type="dxa"/>
            <w:vAlign w:val="center"/>
          </w:tcPr>
          <w:p w14:paraId="1EFD8CB9" w14:textId="77777777" w:rsidR="00C51575" w:rsidRPr="00C51575" w:rsidRDefault="00C51575" w:rsidP="00C51575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48,1</w:t>
            </w:r>
          </w:p>
        </w:tc>
        <w:tc>
          <w:tcPr>
            <w:tcW w:w="805" w:type="dxa"/>
            <w:vAlign w:val="center"/>
          </w:tcPr>
          <w:p w14:paraId="000C593F" w14:textId="77777777" w:rsidR="00C51575" w:rsidRPr="00C51575" w:rsidRDefault="00C51575" w:rsidP="00C51575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26,2</w:t>
            </w:r>
          </w:p>
        </w:tc>
        <w:tc>
          <w:tcPr>
            <w:tcW w:w="805" w:type="dxa"/>
            <w:vAlign w:val="center"/>
          </w:tcPr>
          <w:p w14:paraId="74C876AA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56,3</w:t>
            </w:r>
          </w:p>
        </w:tc>
        <w:tc>
          <w:tcPr>
            <w:tcW w:w="805" w:type="dxa"/>
            <w:vAlign w:val="center"/>
          </w:tcPr>
          <w:p w14:paraId="497D3B1D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48,6</w:t>
            </w:r>
          </w:p>
        </w:tc>
        <w:tc>
          <w:tcPr>
            <w:tcW w:w="805" w:type="dxa"/>
            <w:vAlign w:val="center"/>
          </w:tcPr>
          <w:p w14:paraId="6451A99D" w14:textId="77777777" w:rsidR="00C51575" w:rsidRPr="00C51575" w:rsidRDefault="00C51575" w:rsidP="00C51575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44,68</w:t>
            </w:r>
          </w:p>
        </w:tc>
        <w:tc>
          <w:tcPr>
            <w:tcW w:w="805" w:type="dxa"/>
            <w:vAlign w:val="center"/>
          </w:tcPr>
          <w:p w14:paraId="2BE4E353" w14:textId="77777777" w:rsidR="00C51575" w:rsidRPr="00C51575" w:rsidRDefault="00C51575" w:rsidP="00C51575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28,37</w:t>
            </w:r>
          </w:p>
        </w:tc>
        <w:tc>
          <w:tcPr>
            <w:tcW w:w="805" w:type="dxa"/>
            <w:vAlign w:val="center"/>
          </w:tcPr>
          <w:p w14:paraId="06F1A13A" w14:textId="77777777" w:rsidR="00C51575" w:rsidRPr="00C51575" w:rsidRDefault="00C51575" w:rsidP="00C51575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38,14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7EC2D8C7" w14:textId="77777777" w:rsidR="00C51575" w:rsidRPr="00C51575" w:rsidRDefault="00C51575" w:rsidP="00C51575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20,93</w:t>
            </w:r>
          </w:p>
        </w:tc>
      </w:tr>
      <w:tr w:rsidR="00C51575" w:rsidRPr="00C51575" w14:paraId="275D8F0D" w14:textId="77777777" w:rsidTr="009C22A6">
        <w:trPr>
          <w:trHeight w:val="302"/>
        </w:trPr>
        <w:tc>
          <w:tcPr>
            <w:tcW w:w="3491" w:type="dxa"/>
            <w:vAlign w:val="center"/>
          </w:tcPr>
          <w:p w14:paraId="5AA19AA9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średnioaktywne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04B73B7C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0,40</w:t>
            </w:r>
          </w:p>
        </w:tc>
        <w:tc>
          <w:tcPr>
            <w:tcW w:w="805" w:type="dxa"/>
            <w:vAlign w:val="center"/>
          </w:tcPr>
          <w:p w14:paraId="0471C1B8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0,01</w:t>
            </w:r>
          </w:p>
        </w:tc>
        <w:tc>
          <w:tcPr>
            <w:tcW w:w="805" w:type="dxa"/>
            <w:vAlign w:val="center"/>
          </w:tcPr>
          <w:p w14:paraId="1B214FC4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0,20</w:t>
            </w:r>
          </w:p>
        </w:tc>
        <w:tc>
          <w:tcPr>
            <w:tcW w:w="804" w:type="dxa"/>
            <w:vAlign w:val="center"/>
          </w:tcPr>
          <w:p w14:paraId="67FDD436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0FC31CCC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4B347748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805" w:type="dxa"/>
            <w:vAlign w:val="center"/>
          </w:tcPr>
          <w:p w14:paraId="36D0CF56" w14:textId="77777777" w:rsidR="00C51575" w:rsidRPr="00C51575" w:rsidRDefault="00C51575" w:rsidP="00C51575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03AEE957" w14:textId="77777777" w:rsidR="00C51575" w:rsidRPr="00C51575" w:rsidRDefault="00C51575" w:rsidP="00C51575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683A72F0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25585434" w14:textId="77777777" w:rsidR="00C51575" w:rsidRPr="00C51575" w:rsidRDefault="00C51575" w:rsidP="00C51575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805" w:type="dxa"/>
            <w:vAlign w:val="center"/>
          </w:tcPr>
          <w:p w14:paraId="48A321C3" w14:textId="77777777" w:rsidR="00C51575" w:rsidRPr="00C51575" w:rsidRDefault="00C51575" w:rsidP="00C51575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35530BA2" w14:textId="77777777" w:rsidR="00C51575" w:rsidRPr="00C51575" w:rsidRDefault="00C51575" w:rsidP="00C51575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4DF21EDE" w14:textId="77777777" w:rsidR="00C51575" w:rsidRPr="00C51575" w:rsidRDefault="00C51575" w:rsidP="00C51575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5C96FC65" w14:textId="77777777" w:rsidR="00C51575" w:rsidRPr="00C51575" w:rsidRDefault="00C51575" w:rsidP="00C51575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-</w:t>
            </w:r>
          </w:p>
        </w:tc>
      </w:tr>
      <w:tr w:rsidR="00C51575" w:rsidRPr="00C51575" w14:paraId="65CCAFC9" w14:textId="77777777" w:rsidTr="009C22A6">
        <w:trPr>
          <w:trHeight w:val="302"/>
        </w:trPr>
        <w:tc>
          <w:tcPr>
            <w:tcW w:w="3491" w:type="dxa"/>
            <w:vAlign w:val="center"/>
          </w:tcPr>
          <w:p w14:paraId="4B45AFD4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 xml:space="preserve">zużyte zamknięte źródła </w:t>
            </w:r>
          </w:p>
          <w:p w14:paraId="4B772424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promieniotwórcze [szt.]</w:t>
            </w:r>
          </w:p>
        </w:tc>
        <w:tc>
          <w:tcPr>
            <w:tcW w:w="1610" w:type="dxa"/>
            <w:gridSpan w:val="2"/>
            <w:vAlign w:val="center"/>
          </w:tcPr>
          <w:p w14:paraId="34B267E6" w14:textId="77777777" w:rsidR="00C51575" w:rsidRPr="00C51575" w:rsidRDefault="00C51575" w:rsidP="00C51575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2675</w:t>
            </w:r>
          </w:p>
        </w:tc>
        <w:tc>
          <w:tcPr>
            <w:tcW w:w="1609" w:type="dxa"/>
            <w:gridSpan w:val="2"/>
            <w:vAlign w:val="center"/>
          </w:tcPr>
          <w:p w14:paraId="3B48AED5" w14:textId="77777777" w:rsidR="00C51575" w:rsidRPr="00C51575" w:rsidRDefault="00C51575" w:rsidP="00C51575">
            <w:pPr>
              <w:spacing w:line="240" w:lineRule="auto"/>
              <w:ind w:hanging="2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3 802</w:t>
            </w:r>
          </w:p>
        </w:tc>
        <w:tc>
          <w:tcPr>
            <w:tcW w:w="1609" w:type="dxa"/>
            <w:gridSpan w:val="2"/>
            <w:vAlign w:val="center"/>
          </w:tcPr>
          <w:p w14:paraId="6E67F7C5" w14:textId="77777777" w:rsidR="00C51575" w:rsidRPr="00C51575" w:rsidRDefault="00C51575" w:rsidP="00C5157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5 328</w:t>
            </w:r>
          </w:p>
        </w:tc>
        <w:tc>
          <w:tcPr>
            <w:tcW w:w="1610" w:type="dxa"/>
            <w:gridSpan w:val="2"/>
            <w:vAlign w:val="center"/>
          </w:tcPr>
          <w:p w14:paraId="25992AF7" w14:textId="77777777" w:rsidR="00C51575" w:rsidRPr="00C51575" w:rsidRDefault="00C51575" w:rsidP="00C51575">
            <w:pPr>
              <w:spacing w:line="240" w:lineRule="auto"/>
              <w:ind w:right="20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7 616</w:t>
            </w:r>
          </w:p>
        </w:tc>
        <w:tc>
          <w:tcPr>
            <w:tcW w:w="1610" w:type="dxa"/>
            <w:gridSpan w:val="2"/>
            <w:vAlign w:val="center"/>
          </w:tcPr>
          <w:p w14:paraId="00121CE0" w14:textId="77777777" w:rsidR="00C51575" w:rsidRPr="00C51575" w:rsidRDefault="00C51575" w:rsidP="00C51575">
            <w:pPr>
              <w:spacing w:line="240" w:lineRule="auto"/>
              <w:ind w:hanging="7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3 170</w:t>
            </w:r>
          </w:p>
        </w:tc>
        <w:tc>
          <w:tcPr>
            <w:tcW w:w="1610" w:type="dxa"/>
            <w:gridSpan w:val="2"/>
            <w:vAlign w:val="center"/>
          </w:tcPr>
          <w:p w14:paraId="51EA7A5E" w14:textId="77777777" w:rsidR="00C51575" w:rsidRPr="00C51575" w:rsidRDefault="00C51575" w:rsidP="00C51575">
            <w:pPr>
              <w:spacing w:line="240" w:lineRule="auto"/>
              <w:ind w:firstLine="1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1 335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14:paraId="2B653C72" w14:textId="77777777" w:rsidR="00C51575" w:rsidRPr="00C51575" w:rsidRDefault="00C51575" w:rsidP="00C51575">
            <w:pPr>
              <w:spacing w:line="240" w:lineRule="auto"/>
              <w:ind w:firstLine="1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1 658</w:t>
            </w:r>
          </w:p>
        </w:tc>
      </w:tr>
      <w:tr w:rsidR="00C51575" w:rsidRPr="00C51575" w14:paraId="301ED37A" w14:textId="77777777" w:rsidTr="009C22A6">
        <w:trPr>
          <w:trHeight w:val="464"/>
        </w:trPr>
        <w:tc>
          <w:tcPr>
            <w:tcW w:w="3491" w:type="dxa"/>
            <w:vAlign w:val="center"/>
          </w:tcPr>
          <w:p w14:paraId="7880B212" w14:textId="77777777" w:rsidR="00C51575" w:rsidRPr="00C51575" w:rsidRDefault="00C51575" w:rsidP="00C51575">
            <w:pPr>
              <w:spacing w:line="240" w:lineRule="auto"/>
              <w:ind w:firstLine="360"/>
              <w:rPr>
                <w:b/>
              </w:rPr>
            </w:pPr>
            <w:r w:rsidRPr="00C51575">
              <w:rPr>
                <w:b/>
              </w:rPr>
              <w:t>Odpady przekazane do składowania/przechowywania w KSOP Różan</w:t>
            </w:r>
          </w:p>
        </w:tc>
        <w:tc>
          <w:tcPr>
            <w:tcW w:w="1610" w:type="dxa"/>
            <w:gridSpan w:val="2"/>
          </w:tcPr>
          <w:p w14:paraId="7C3C46A2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F6EBCD9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64F9E62" w14:textId="77777777" w:rsidR="00C51575" w:rsidRPr="00C51575" w:rsidRDefault="00C51575" w:rsidP="00C5157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777BEF5D" w14:textId="77777777" w:rsidR="00C51575" w:rsidRPr="00C51575" w:rsidRDefault="00C51575" w:rsidP="00C51575">
            <w:pPr>
              <w:spacing w:line="240" w:lineRule="auto"/>
              <w:ind w:right="205"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689AB3DA" w14:textId="77777777" w:rsidR="00C51575" w:rsidRPr="00C51575" w:rsidRDefault="00C51575" w:rsidP="00C51575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11F28FC9" w14:textId="77777777" w:rsidR="00C51575" w:rsidRPr="00C51575" w:rsidRDefault="00C51575" w:rsidP="00C51575">
            <w:pPr>
              <w:spacing w:line="240" w:lineRule="auto"/>
              <w:ind w:firstLine="360"/>
              <w:jc w:val="right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14:paraId="2182C07A" w14:textId="77777777" w:rsidR="00C51575" w:rsidRPr="00C51575" w:rsidRDefault="00C51575" w:rsidP="00C51575">
            <w:pPr>
              <w:spacing w:line="240" w:lineRule="auto"/>
              <w:ind w:firstLine="360"/>
              <w:jc w:val="right"/>
              <w:rPr>
                <w:rFonts w:cs="Calibri"/>
                <w:b/>
                <w:sz w:val="16"/>
                <w:szCs w:val="16"/>
              </w:rPr>
            </w:pPr>
          </w:p>
        </w:tc>
      </w:tr>
      <w:tr w:rsidR="00C51575" w:rsidRPr="00C51575" w14:paraId="0D4E2DED" w14:textId="77777777" w:rsidTr="009C22A6">
        <w:trPr>
          <w:trHeight w:val="465"/>
        </w:trPr>
        <w:tc>
          <w:tcPr>
            <w:tcW w:w="3491" w:type="dxa"/>
            <w:vAlign w:val="center"/>
          </w:tcPr>
          <w:p w14:paraId="29A3A9EA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Objętość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1610" w:type="dxa"/>
            <w:gridSpan w:val="2"/>
            <w:vAlign w:val="center"/>
          </w:tcPr>
          <w:p w14:paraId="06BA5180" w14:textId="77777777" w:rsidR="00C51575" w:rsidRPr="00C51575" w:rsidRDefault="00C51575" w:rsidP="00C5157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73,41</w:t>
            </w:r>
          </w:p>
        </w:tc>
        <w:tc>
          <w:tcPr>
            <w:tcW w:w="1609" w:type="dxa"/>
            <w:gridSpan w:val="2"/>
            <w:vAlign w:val="center"/>
          </w:tcPr>
          <w:p w14:paraId="34D546A9" w14:textId="77777777" w:rsidR="00C51575" w:rsidRPr="00C51575" w:rsidRDefault="00C51575" w:rsidP="00C51575">
            <w:pPr>
              <w:spacing w:line="240" w:lineRule="auto"/>
              <w:ind w:hanging="2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42,79</w:t>
            </w:r>
          </w:p>
        </w:tc>
        <w:tc>
          <w:tcPr>
            <w:tcW w:w="1609" w:type="dxa"/>
            <w:gridSpan w:val="2"/>
            <w:vAlign w:val="center"/>
          </w:tcPr>
          <w:p w14:paraId="75048CD8" w14:textId="77777777" w:rsidR="00C51575" w:rsidRPr="00C51575" w:rsidRDefault="00C51575" w:rsidP="00C5157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57,71</w:t>
            </w:r>
          </w:p>
        </w:tc>
        <w:tc>
          <w:tcPr>
            <w:tcW w:w="1610" w:type="dxa"/>
            <w:gridSpan w:val="2"/>
            <w:vAlign w:val="center"/>
          </w:tcPr>
          <w:p w14:paraId="4A9C374D" w14:textId="77777777" w:rsidR="00C51575" w:rsidRPr="00C51575" w:rsidRDefault="00C51575" w:rsidP="00C51575">
            <w:pPr>
              <w:spacing w:line="240" w:lineRule="auto"/>
              <w:ind w:right="20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52,4</w:t>
            </w:r>
          </w:p>
        </w:tc>
        <w:tc>
          <w:tcPr>
            <w:tcW w:w="1610" w:type="dxa"/>
            <w:gridSpan w:val="2"/>
            <w:vAlign w:val="center"/>
          </w:tcPr>
          <w:p w14:paraId="66025020" w14:textId="77777777" w:rsidR="00C51575" w:rsidRPr="00C51575" w:rsidRDefault="00C51575" w:rsidP="00C5157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34,2</w:t>
            </w:r>
          </w:p>
        </w:tc>
        <w:tc>
          <w:tcPr>
            <w:tcW w:w="1610" w:type="dxa"/>
            <w:gridSpan w:val="2"/>
            <w:vAlign w:val="center"/>
          </w:tcPr>
          <w:p w14:paraId="01C8BC96" w14:textId="77777777" w:rsidR="00C51575" w:rsidRPr="00C51575" w:rsidRDefault="00C51575" w:rsidP="00C51575">
            <w:pPr>
              <w:spacing w:line="240" w:lineRule="auto"/>
              <w:ind w:firstLine="1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28,99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14:paraId="0CF77B9F" w14:textId="77777777" w:rsidR="00C51575" w:rsidRPr="00C51575" w:rsidRDefault="00C51575" w:rsidP="00C51575">
            <w:pPr>
              <w:spacing w:line="240" w:lineRule="auto"/>
              <w:ind w:firstLine="1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19,77</w:t>
            </w:r>
          </w:p>
        </w:tc>
      </w:tr>
      <w:tr w:rsidR="00C51575" w:rsidRPr="00C51575" w14:paraId="41CCDDAE" w14:textId="77777777" w:rsidTr="009C22A6">
        <w:trPr>
          <w:trHeight w:val="465"/>
        </w:trPr>
        <w:tc>
          <w:tcPr>
            <w:tcW w:w="3491" w:type="dxa"/>
            <w:vAlign w:val="center"/>
          </w:tcPr>
          <w:p w14:paraId="0B44992F" w14:textId="77777777" w:rsidR="00C51575" w:rsidRPr="00C51575" w:rsidRDefault="00C51575" w:rsidP="00C51575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Aktywność (na dzień 31 grudnia w danym roku) [TBq]</w:t>
            </w:r>
          </w:p>
        </w:tc>
        <w:tc>
          <w:tcPr>
            <w:tcW w:w="1610" w:type="dxa"/>
            <w:gridSpan w:val="2"/>
            <w:vAlign w:val="center"/>
          </w:tcPr>
          <w:p w14:paraId="61B55E37" w14:textId="77777777" w:rsidR="00C51575" w:rsidRPr="00C51575" w:rsidRDefault="00C51575" w:rsidP="00C5157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1,26</w:t>
            </w:r>
          </w:p>
        </w:tc>
        <w:tc>
          <w:tcPr>
            <w:tcW w:w="1609" w:type="dxa"/>
            <w:gridSpan w:val="2"/>
            <w:vAlign w:val="center"/>
          </w:tcPr>
          <w:p w14:paraId="05EC5B7C" w14:textId="77777777" w:rsidR="00C51575" w:rsidRPr="00C51575" w:rsidRDefault="00C51575" w:rsidP="00C51575">
            <w:pPr>
              <w:spacing w:line="240" w:lineRule="auto"/>
              <w:ind w:hanging="2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5,64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 w14:paraId="577E63BC" w14:textId="77777777" w:rsidR="00C51575" w:rsidRPr="00C51575" w:rsidRDefault="00C51575" w:rsidP="00C5157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9,46</w:t>
            </w:r>
          </w:p>
        </w:tc>
        <w:tc>
          <w:tcPr>
            <w:tcW w:w="1610" w:type="dxa"/>
            <w:gridSpan w:val="2"/>
            <w:vAlign w:val="center"/>
          </w:tcPr>
          <w:p w14:paraId="26C50C46" w14:textId="77777777" w:rsidR="00C51575" w:rsidRPr="00C51575" w:rsidRDefault="00C51575" w:rsidP="00C51575">
            <w:pPr>
              <w:spacing w:line="240" w:lineRule="auto"/>
              <w:ind w:hanging="15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15,6</w:t>
            </w:r>
          </w:p>
        </w:tc>
        <w:tc>
          <w:tcPr>
            <w:tcW w:w="1610" w:type="dxa"/>
            <w:gridSpan w:val="2"/>
            <w:vAlign w:val="center"/>
          </w:tcPr>
          <w:p w14:paraId="70749F43" w14:textId="77777777" w:rsidR="00C51575" w:rsidRPr="00C51575" w:rsidRDefault="00C51575" w:rsidP="00C5157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28,2</w:t>
            </w:r>
          </w:p>
        </w:tc>
        <w:tc>
          <w:tcPr>
            <w:tcW w:w="1610" w:type="dxa"/>
            <w:gridSpan w:val="2"/>
            <w:vAlign w:val="center"/>
          </w:tcPr>
          <w:p w14:paraId="450EB245" w14:textId="77777777" w:rsidR="00C51575" w:rsidRPr="00C51575" w:rsidRDefault="00C51575" w:rsidP="00C51575">
            <w:pPr>
              <w:spacing w:line="240" w:lineRule="auto"/>
              <w:ind w:firstLine="1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1,85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14:paraId="5FD9CE51" w14:textId="77777777" w:rsidR="00C51575" w:rsidRPr="00C51575" w:rsidRDefault="00C51575" w:rsidP="00C51575">
            <w:pPr>
              <w:spacing w:line="240" w:lineRule="auto"/>
              <w:ind w:firstLine="1"/>
              <w:jc w:val="center"/>
              <w:rPr>
                <w:rFonts w:cs="Calibri"/>
                <w:b/>
                <w:sz w:val="16"/>
                <w:szCs w:val="16"/>
              </w:rPr>
            </w:pPr>
            <w:r w:rsidRPr="00C51575">
              <w:rPr>
                <w:rFonts w:cs="Calibri"/>
                <w:b/>
                <w:sz w:val="16"/>
                <w:szCs w:val="16"/>
              </w:rPr>
              <w:t>1,62</w:t>
            </w:r>
          </w:p>
        </w:tc>
      </w:tr>
    </w:tbl>
    <w:p w14:paraId="6B613765" w14:textId="77777777" w:rsidR="00C51575" w:rsidRPr="00C51575" w:rsidRDefault="00C51575" w:rsidP="00C51575">
      <w:pPr>
        <w:spacing w:after="120"/>
        <w:jc w:val="both"/>
        <w:rPr>
          <w:b/>
        </w:rPr>
      </w:pPr>
    </w:p>
    <w:p w14:paraId="0B972012" w14:textId="77777777" w:rsidR="00C51575" w:rsidRPr="00C51575" w:rsidRDefault="00C51575" w:rsidP="00C51575">
      <w:pPr>
        <w:spacing w:after="120"/>
        <w:jc w:val="both"/>
        <w:rPr>
          <w:b/>
        </w:rPr>
      </w:pPr>
    </w:p>
    <w:p w14:paraId="3FB6081D" w14:textId="77777777" w:rsidR="00C51575" w:rsidRPr="00C51575" w:rsidRDefault="00C51575" w:rsidP="00C51575">
      <w:pPr>
        <w:spacing w:before="120" w:after="120"/>
        <w:jc w:val="both"/>
      </w:pPr>
    </w:p>
    <w:p w14:paraId="0C09A88E" w14:textId="77777777" w:rsidR="00084F8B" w:rsidRDefault="00084F8B" w:rsidP="002E58C9">
      <w:pPr>
        <w:spacing w:before="120" w:after="120"/>
        <w:jc w:val="both"/>
      </w:pPr>
    </w:p>
    <w:p w14:paraId="36637F57" w14:textId="77777777" w:rsidR="00955BC2" w:rsidRDefault="00955BC2" w:rsidP="002E58C9">
      <w:pPr>
        <w:spacing w:before="120" w:after="120"/>
        <w:jc w:val="both"/>
      </w:pPr>
    </w:p>
    <w:tbl>
      <w:tblPr>
        <w:tblpPr w:leftFromText="141" w:rightFromText="141" w:vertAnchor="page" w:horzAnchor="margin" w:tblpXSpec="center" w:tblpY="2139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805"/>
        <w:gridCol w:w="805"/>
        <w:gridCol w:w="805"/>
        <w:gridCol w:w="804"/>
        <w:gridCol w:w="804"/>
        <w:gridCol w:w="805"/>
        <w:gridCol w:w="805"/>
        <w:gridCol w:w="805"/>
        <w:gridCol w:w="794"/>
        <w:gridCol w:w="896"/>
      </w:tblGrid>
      <w:tr w:rsidR="00955BC2" w:rsidRPr="00C51575" w14:paraId="243F9091" w14:textId="77777777" w:rsidTr="003A36BC">
        <w:trPr>
          <w:cantSplit/>
          <w:trHeight w:val="202"/>
        </w:trPr>
        <w:tc>
          <w:tcPr>
            <w:tcW w:w="3491" w:type="dxa"/>
            <w:vMerge w:val="restart"/>
            <w:shd w:val="clear" w:color="auto" w:fill="92D050"/>
            <w:vAlign w:val="center"/>
          </w:tcPr>
          <w:p w14:paraId="6CC93133" w14:textId="77777777" w:rsidR="00955BC2" w:rsidRPr="00C51575" w:rsidRDefault="00955BC2" w:rsidP="003A36BC">
            <w:pPr>
              <w:spacing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shd w:val="clear" w:color="auto" w:fill="92D050"/>
            <w:vAlign w:val="center"/>
          </w:tcPr>
          <w:p w14:paraId="7D715A46" w14:textId="77777777" w:rsidR="00955BC2" w:rsidRPr="00C51575" w:rsidRDefault="00955BC2" w:rsidP="003A36BC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609" w:type="dxa"/>
            <w:gridSpan w:val="2"/>
            <w:shd w:val="clear" w:color="auto" w:fill="92D050"/>
            <w:vAlign w:val="center"/>
          </w:tcPr>
          <w:p w14:paraId="00A12D3D" w14:textId="77777777" w:rsidR="00955BC2" w:rsidRPr="00C51575" w:rsidRDefault="00955BC2" w:rsidP="003A36BC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609" w:type="dxa"/>
            <w:gridSpan w:val="2"/>
            <w:shd w:val="clear" w:color="auto" w:fill="92D050"/>
            <w:vAlign w:val="center"/>
          </w:tcPr>
          <w:p w14:paraId="42512FBD" w14:textId="77777777" w:rsidR="00955BC2" w:rsidRPr="00C51575" w:rsidRDefault="00955BC2" w:rsidP="003A36BC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610" w:type="dxa"/>
            <w:gridSpan w:val="2"/>
            <w:shd w:val="clear" w:color="auto" w:fill="92D050"/>
            <w:vAlign w:val="center"/>
          </w:tcPr>
          <w:p w14:paraId="3FA13071" w14:textId="77777777" w:rsidR="00955BC2" w:rsidRPr="00C51575" w:rsidRDefault="00955BC2" w:rsidP="003A36BC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690" w:type="dxa"/>
            <w:gridSpan w:val="2"/>
            <w:shd w:val="clear" w:color="auto" w:fill="92D050"/>
          </w:tcPr>
          <w:p w14:paraId="25CC28A2" w14:textId="77777777" w:rsidR="00955BC2" w:rsidRPr="00C51575" w:rsidRDefault="00955BC2" w:rsidP="003A36BC">
            <w:pPr>
              <w:spacing w:line="240" w:lineRule="auto"/>
              <w:ind w:firstLine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</w:tr>
      <w:tr w:rsidR="00955BC2" w:rsidRPr="00C51575" w14:paraId="18874A75" w14:textId="77777777" w:rsidTr="003A36BC">
        <w:trPr>
          <w:trHeight w:val="341"/>
        </w:trPr>
        <w:tc>
          <w:tcPr>
            <w:tcW w:w="3491" w:type="dxa"/>
            <w:vMerge/>
            <w:shd w:val="clear" w:color="auto" w:fill="92D050"/>
          </w:tcPr>
          <w:p w14:paraId="3599C99E" w14:textId="77777777" w:rsidR="00955BC2" w:rsidRPr="00C51575" w:rsidRDefault="00955BC2" w:rsidP="003A36BC">
            <w:pPr>
              <w:spacing w:line="240" w:lineRule="auto"/>
              <w:ind w:firstLine="36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92D050"/>
            <w:vAlign w:val="center"/>
          </w:tcPr>
          <w:p w14:paraId="67D87C0D" w14:textId="77777777" w:rsidR="00955BC2" w:rsidRPr="00C51575" w:rsidRDefault="00955BC2" w:rsidP="003A36BC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771BEDC3" w14:textId="77777777" w:rsidR="00955BC2" w:rsidRPr="00C51575" w:rsidRDefault="00955BC2" w:rsidP="003A36BC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ciekłe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057D5964" w14:textId="77777777" w:rsidR="00955BC2" w:rsidRPr="00C51575" w:rsidRDefault="00955BC2" w:rsidP="003A36BC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04" w:type="dxa"/>
            <w:shd w:val="clear" w:color="auto" w:fill="92D050"/>
            <w:vAlign w:val="center"/>
          </w:tcPr>
          <w:p w14:paraId="34DAF512" w14:textId="77777777" w:rsidR="00955BC2" w:rsidRPr="00C51575" w:rsidRDefault="00955BC2" w:rsidP="003A36BC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ciekłe</w:t>
            </w:r>
          </w:p>
        </w:tc>
        <w:tc>
          <w:tcPr>
            <w:tcW w:w="804" w:type="dxa"/>
            <w:shd w:val="clear" w:color="auto" w:fill="92D050"/>
            <w:vAlign w:val="center"/>
          </w:tcPr>
          <w:p w14:paraId="4EF87FAA" w14:textId="77777777" w:rsidR="00955BC2" w:rsidRPr="00C51575" w:rsidRDefault="00955BC2" w:rsidP="003A36BC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2E468B94" w14:textId="77777777" w:rsidR="00955BC2" w:rsidRPr="00C51575" w:rsidRDefault="00955BC2" w:rsidP="003A36B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C51575">
              <w:rPr>
                <w:b/>
                <w:sz w:val="16"/>
                <w:szCs w:val="16"/>
              </w:rPr>
              <w:t>iekłe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6365790A" w14:textId="77777777" w:rsidR="00955BC2" w:rsidRPr="00C51575" w:rsidRDefault="00955BC2" w:rsidP="003A36BC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05" w:type="dxa"/>
            <w:shd w:val="clear" w:color="auto" w:fill="92D050"/>
            <w:vAlign w:val="center"/>
          </w:tcPr>
          <w:p w14:paraId="46E17163" w14:textId="77777777" w:rsidR="00955BC2" w:rsidRPr="00C51575" w:rsidRDefault="00955BC2" w:rsidP="003A36BC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ciekłe</w:t>
            </w:r>
          </w:p>
        </w:tc>
        <w:tc>
          <w:tcPr>
            <w:tcW w:w="794" w:type="dxa"/>
            <w:shd w:val="clear" w:color="auto" w:fill="92D050"/>
            <w:vAlign w:val="center"/>
          </w:tcPr>
          <w:p w14:paraId="51C7CD5D" w14:textId="77777777" w:rsidR="00955BC2" w:rsidRPr="009E2C3E" w:rsidRDefault="00955BC2" w:rsidP="003A36BC">
            <w:pPr>
              <w:spacing w:line="240" w:lineRule="auto"/>
              <w:rPr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stałe</w:t>
            </w:r>
          </w:p>
        </w:tc>
        <w:tc>
          <w:tcPr>
            <w:tcW w:w="896" w:type="dxa"/>
            <w:shd w:val="clear" w:color="auto" w:fill="92D050"/>
            <w:vAlign w:val="center"/>
          </w:tcPr>
          <w:p w14:paraId="791E3FEC" w14:textId="77777777" w:rsidR="00955BC2" w:rsidRPr="00C51575" w:rsidRDefault="00955BC2" w:rsidP="003A36BC">
            <w:pPr>
              <w:spacing w:line="240" w:lineRule="auto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ciekłe</w:t>
            </w:r>
          </w:p>
        </w:tc>
      </w:tr>
      <w:tr w:rsidR="00955BC2" w:rsidRPr="00C51575" w14:paraId="65C93DD8" w14:textId="77777777" w:rsidTr="003A36BC">
        <w:trPr>
          <w:trHeight w:val="444"/>
        </w:trPr>
        <w:tc>
          <w:tcPr>
            <w:tcW w:w="3491" w:type="dxa"/>
            <w:vAlign w:val="center"/>
          </w:tcPr>
          <w:p w14:paraId="19401896" w14:textId="284D829F" w:rsidR="00955BC2" w:rsidRPr="00C51575" w:rsidRDefault="00955BC2" w:rsidP="003A36BC">
            <w:pPr>
              <w:spacing w:line="240" w:lineRule="auto"/>
              <w:ind w:firstLine="360"/>
              <w:rPr>
                <w:b/>
              </w:rPr>
            </w:pPr>
            <w:r w:rsidRPr="00C51575">
              <w:rPr>
                <w:b/>
              </w:rPr>
              <w:t>Pochodzenie odpadów promieniotwórczych</w:t>
            </w:r>
          </w:p>
        </w:tc>
        <w:tc>
          <w:tcPr>
            <w:tcW w:w="805" w:type="dxa"/>
            <w:vAlign w:val="center"/>
          </w:tcPr>
          <w:p w14:paraId="4AFC012B" w14:textId="77777777" w:rsidR="00955BC2" w:rsidRPr="00C51575" w:rsidRDefault="00955BC2" w:rsidP="003A36BC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40C59DD2" w14:textId="77777777" w:rsidR="00955BC2" w:rsidRPr="00C51575" w:rsidRDefault="00955BC2" w:rsidP="003A36BC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78445AE6" w14:textId="77777777" w:rsidR="00955BC2" w:rsidRPr="00C51575" w:rsidRDefault="00955BC2" w:rsidP="003A36BC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160330C" w14:textId="77777777" w:rsidR="00955BC2" w:rsidRPr="00C51575" w:rsidRDefault="00955BC2" w:rsidP="003A36BC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2933931" w14:textId="77777777" w:rsidR="00955BC2" w:rsidRPr="00C51575" w:rsidRDefault="00955BC2" w:rsidP="003A36BC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3505BA95" w14:textId="77777777" w:rsidR="00955BC2" w:rsidRPr="00C51575" w:rsidRDefault="00955BC2" w:rsidP="003A36BC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37D3BF4B" w14:textId="77777777" w:rsidR="00955BC2" w:rsidRPr="00C51575" w:rsidRDefault="00955BC2" w:rsidP="003A36BC">
            <w:pPr>
              <w:spacing w:line="240" w:lineRule="auto"/>
              <w:ind w:hanging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515E7FEE" w14:textId="77777777" w:rsidR="00955BC2" w:rsidRPr="00C51575" w:rsidRDefault="00955BC2" w:rsidP="003A36BC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15EA594" w14:textId="77777777" w:rsidR="00955BC2" w:rsidRPr="00C51575" w:rsidRDefault="00955BC2" w:rsidP="003A36BC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dxa"/>
          </w:tcPr>
          <w:p w14:paraId="1702E99F" w14:textId="77777777" w:rsidR="00955BC2" w:rsidRPr="00C51575" w:rsidRDefault="00955BC2" w:rsidP="003A36BC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</w:tr>
      <w:tr w:rsidR="00955BC2" w:rsidRPr="00C51575" w14:paraId="3F7C2F9F" w14:textId="77777777" w:rsidTr="003A36BC">
        <w:trPr>
          <w:trHeight w:val="464"/>
        </w:trPr>
        <w:tc>
          <w:tcPr>
            <w:tcW w:w="3491" w:type="dxa"/>
            <w:vAlign w:val="center"/>
          </w:tcPr>
          <w:p w14:paraId="74567370" w14:textId="77777777" w:rsidR="00955BC2" w:rsidRPr="00C51575" w:rsidRDefault="00955BC2" w:rsidP="003A36BC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Reaktor MARIA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33978613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4,96</w:t>
            </w:r>
          </w:p>
        </w:tc>
        <w:tc>
          <w:tcPr>
            <w:tcW w:w="805" w:type="dxa"/>
            <w:vAlign w:val="center"/>
          </w:tcPr>
          <w:p w14:paraId="56FF6071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49,00</w:t>
            </w:r>
          </w:p>
        </w:tc>
        <w:tc>
          <w:tcPr>
            <w:tcW w:w="805" w:type="dxa"/>
            <w:vAlign w:val="center"/>
          </w:tcPr>
          <w:p w14:paraId="1E23AB37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5,13</w:t>
            </w:r>
          </w:p>
        </w:tc>
        <w:tc>
          <w:tcPr>
            <w:tcW w:w="804" w:type="dxa"/>
            <w:vAlign w:val="center"/>
          </w:tcPr>
          <w:p w14:paraId="596C207D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18,00</w:t>
            </w:r>
          </w:p>
        </w:tc>
        <w:tc>
          <w:tcPr>
            <w:tcW w:w="804" w:type="dxa"/>
            <w:vAlign w:val="center"/>
          </w:tcPr>
          <w:p w14:paraId="24274E81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6,69</w:t>
            </w:r>
          </w:p>
        </w:tc>
        <w:tc>
          <w:tcPr>
            <w:tcW w:w="805" w:type="dxa"/>
            <w:vAlign w:val="center"/>
          </w:tcPr>
          <w:p w14:paraId="12FB5E58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23,00</w:t>
            </w:r>
          </w:p>
        </w:tc>
        <w:tc>
          <w:tcPr>
            <w:tcW w:w="805" w:type="dxa"/>
            <w:vAlign w:val="center"/>
          </w:tcPr>
          <w:p w14:paraId="505F0147" w14:textId="77777777" w:rsidR="00955BC2" w:rsidRPr="00C51575" w:rsidRDefault="00955BC2" w:rsidP="003A36BC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7,02</w:t>
            </w:r>
          </w:p>
        </w:tc>
        <w:tc>
          <w:tcPr>
            <w:tcW w:w="805" w:type="dxa"/>
            <w:vAlign w:val="center"/>
          </w:tcPr>
          <w:p w14:paraId="67C0DA2E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794" w:type="dxa"/>
            <w:vAlign w:val="center"/>
          </w:tcPr>
          <w:p w14:paraId="6C7F0B4C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5,51</w:t>
            </w:r>
          </w:p>
        </w:tc>
        <w:tc>
          <w:tcPr>
            <w:tcW w:w="896" w:type="dxa"/>
            <w:vAlign w:val="center"/>
          </w:tcPr>
          <w:p w14:paraId="60E154B9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26,00</w:t>
            </w:r>
          </w:p>
        </w:tc>
      </w:tr>
      <w:tr w:rsidR="00955BC2" w:rsidRPr="00C51575" w14:paraId="1D98EE25" w14:textId="77777777" w:rsidTr="003A36BC">
        <w:trPr>
          <w:trHeight w:val="465"/>
        </w:trPr>
        <w:tc>
          <w:tcPr>
            <w:tcW w:w="3491" w:type="dxa"/>
            <w:vAlign w:val="center"/>
          </w:tcPr>
          <w:p w14:paraId="1A3BCE9D" w14:textId="77777777" w:rsidR="00955BC2" w:rsidRPr="00C51575" w:rsidRDefault="00955BC2" w:rsidP="003A36BC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Reaktor EWA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03722D70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4E45D157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677CE486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3D57D46D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6D7D3B14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7850542A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3CB9D0A9" w14:textId="77777777" w:rsidR="00955BC2" w:rsidRPr="00C51575" w:rsidRDefault="00955BC2" w:rsidP="003A36BC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3F86B18C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14:paraId="2D560CA5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14:paraId="592FE60A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55BC2" w:rsidRPr="00C51575" w14:paraId="3F981AB4" w14:textId="77777777" w:rsidTr="003A36BC">
        <w:trPr>
          <w:trHeight w:val="465"/>
        </w:trPr>
        <w:tc>
          <w:tcPr>
            <w:tcW w:w="3491" w:type="dxa"/>
            <w:vAlign w:val="center"/>
          </w:tcPr>
          <w:p w14:paraId="0EF4B31F" w14:textId="77777777" w:rsidR="00955BC2" w:rsidRPr="00C51575" w:rsidRDefault="00955BC2" w:rsidP="003A36BC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OR POLATOM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5C887025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78,90</w:t>
            </w:r>
          </w:p>
        </w:tc>
        <w:tc>
          <w:tcPr>
            <w:tcW w:w="805" w:type="dxa"/>
            <w:vAlign w:val="center"/>
          </w:tcPr>
          <w:p w14:paraId="79432B02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0,20</w:t>
            </w:r>
          </w:p>
        </w:tc>
        <w:tc>
          <w:tcPr>
            <w:tcW w:w="805" w:type="dxa"/>
            <w:vAlign w:val="center"/>
          </w:tcPr>
          <w:p w14:paraId="20D5D753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18,17</w:t>
            </w:r>
          </w:p>
        </w:tc>
        <w:tc>
          <w:tcPr>
            <w:tcW w:w="804" w:type="dxa"/>
            <w:vAlign w:val="center"/>
          </w:tcPr>
          <w:p w14:paraId="46B25EB3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0,16</w:t>
            </w:r>
          </w:p>
        </w:tc>
        <w:tc>
          <w:tcPr>
            <w:tcW w:w="804" w:type="dxa"/>
            <w:vAlign w:val="center"/>
          </w:tcPr>
          <w:p w14:paraId="43E7C0CF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17,93</w:t>
            </w:r>
          </w:p>
        </w:tc>
        <w:tc>
          <w:tcPr>
            <w:tcW w:w="805" w:type="dxa"/>
            <w:vAlign w:val="center"/>
          </w:tcPr>
          <w:p w14:paraId="2CDC9F7D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0,19</w:t>
            </w:r>
          </w:p>
        </w:tc>
        <w:tc>
          <w:tcPr>
            <w:tcW w:w="805" w:type="dxa"/>
            <w:vAlign w:val="center"/>
          </w:tcPr>
          <w:p w14:paraId="26DF5388" w14:textId="77777777" w:rsidR="00955BC2" w:rsidRPr="00C51575" w:rsidRDefault="00955BC2" w:rsidP="003A36BC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16,99</w:t>
            </w:r>
          </w:p>
        </w:tc>
        <w:tc>
          <w:tcPr>
            <w:tcW w:w="805" w:type="dxa"/>
            <w:vAlign w:val="center"/>
          </w:tcPr>
          <w:p w14:paraId="60944911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0,19</w:t>
            </w:r>
          </w:p>
        </w:tc>
        <w:tc>
          <w:tcPr>
            <w:tcW w:w="794" w:type="dxa"/>
            <w:vAlign w:val="center"/>
          </w:tcPr>
          <w:p w14:paraId="33C40803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20,59</w:t>
            </w:r>
          </w:p>
        </w:tc>
        <w:tc>
          <w:tcPr>
            <w:tcW w:w="896" w:type="dxa"/>
            <w:vAlign w:val="center"/>
          </w:tcPr>
          <w:p w14:paraId="02743814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0,19</w:t>
            </w:r>
          </w:p>
        </w:tc>
      </w:tr>
      <w:tr w:rsidR="00955BC2" w:rsidRPr="00C51575" w14:paraId="3BF3D431" w14:textId="77777777" w:rsidTr="003A36BC">
        <w:trPr>
          <w:trHeight w:val="465"/>
        </w:trPr>
        <w:tc>
          <w:tcPr>
            <w:tcW w:w="3491" w:type="dxa"/>
            <w:vAlign w:val="center"/>
          </w:tcPr>
          <w:p w14:paraId="49453127" w14:textId="77777777" w:rsidR="00955BC2" w:rsidRPr="00C51575" w:rsidRDefault="00955BC2" w:rsidP="003A36BC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ZUOP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7E7B73C4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2,51</w:t>
            </w:r>
          </w:p>
        </w:tc>
        <w:tc>
          <w:tcPr>
            <w:tcW w:w="805" w:type="dxa"/>
            <w:vAlign w:val="center"/>
          </w:tcPr>
          <w:p w14:paraId="611514CC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00CBB3D9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1,15</w:t>
            </w:r>
          </w:p>
        </w:tc>
        <w:tc>
          <w:tcPr>
            <w:tcW w:w="804" w:type="dxa"/>
            <w:vAlign w:val="center"/>
          </w:tcPr>
          <w:p w14:paraId="21BF483A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42429BFC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1,77</w:t>
            </w:r>
          </w:p>
        </w:tc>
        <w:tc>
          <w:tcPr>
            <w:tcW w:w="805" w:type="dxa"/>
            <w:vAlign w:val="center"/>
          </w:tcPr>
          <w:p w14:paraId="1066D965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54AEB462" w14:textId="77777777" w:rsidR="00955BC2" w:rsidRPr="00C51575" w:rsidRDefault="00955BC2" w:rsidP="003A36BC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0,95</w:t>
            </w:r>
          </w:p>
        </w:tc>
        <w:tc>
          <w:tcPr>
            <w:tcW w:w="805" w:type="dxa"/>
            <w:vAlign w:val="center"/>
          </w:tcPr>
          <w:p w14:paraId="4D4AF263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14:paraId="4F419130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3,32</w:t>
            </w:r>
          </w:p>
        </w:tc>
        <w:tc>
          <w:tcPr>
            <w:tcW w:w="896" w:type="dxa"/>
            <w:vAlign w:val="center"/>
          </w:tcPr>
          <w:p w14:paraId="216BB462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55BC2" w:rsidRPr="00C51575" w14:paraId="5332810B" w14:textId="77777777" w:rsidTr="003A36BC">
        <w:trPr>
          <w:trHeight w:val="465"/>
        </w:trPr>
        <w:tc>
          <w:tcPr>
            <w:tcW w:w="3491" w:type="dxa"/>
            <w:vAlign w:val="center"/>
          </w:tcPr>
          <w:p w14:paraId="1420254F" w14:textId="77777777" w:rsidR="00955BC2" w:rsidRPr="00C51575" w:rsidRDefault="00955BC2" w:rsidP="003A36BC">
            <w:pPr>
              <w:spacing w:line="240" w:lineRule="auto"/>
              <w:ind w:firstLine="360"/>
              <w:rPr>
                <w:rFonts w:cs="Arial"/>
                <w:b/>
                <w:w w:val="90"/>
                <w:sz w:val="16"/>
                <w:szCs w:val="16"/>
              </w:rPr>
            </w:pPr>
            <w:r w:rsidRPr="00C51575">
              <w:rPr>
                <w:rFonts w:cs="Arial"/>
                <w:b/>
                <w:w w:val="90"/>
                <w:sz w:val="16"/>
                <w:szCs w:val="16"/>
              </w:rPr>
              <w:t>Instytucje spoza NCBJ (zastosowania medyczne, przemysłowe, naukowe) [m</w:t>
            </w:r>
            <w:r w:rsidRPr="00C51575">
              <w:rPr>
                <w:rFonts w:cs="Arial"/>
                <w:b/>
                <w:w w:val="90"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w w:val="90"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30440272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13,03</w:t>
            </w:r>
          </w:p>
        </w:tc>
        <w:tc>
          <w:tcPr>
            <w:tcW w:w="805" w:type="dxa"/>
            <w:vAlign w:val="center"/>
          </w:tcPr>
          <w:p w14:paraId="3C1E927A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0,35</w:t>
            </w:r>
          </w:p>
        </w:tc>
        <w:tc>
          <w:tcPr>
            <w:tcW w:w="805" w:type="dxa"/>
            <w:vAlign w:val="center"/>
          </w:tcPr>
          <w:p w14:paraId="7BE61B99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5,47</w:t>
            </w:r>
          </w:p>
        </w:tc>
        <w:tc>
          <w:tcPr>
            <w:tcW w:w="804" w:type="dxa"/>
            <w:vAlign w:val="center"/>
          </w:tcPr>
          <w:p w14:paraId="45BDAF26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0,43</w:t>
            </w:r>
          </w:p>
        </w:tc>
        <w:tc>
          <w:tcPr>
            <w:tcW w:w="804" w:type="dxa"/>
            <w:vAlign w:val="center"/>
          </w:tcPr>
          <w:p w14:paraId="18F5144E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11,0</w:t>
            </w:r>
          </w:p>
        </w:tc>
        <w:tc>
          <w:tcPr>
            <w:tcW w:w="805" w:type="dxa"/>
            <w:vAlign w:val="center"/>
          </w:tcPr>
          <w:p w14:paraId="0D18C377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0,74</w:t>
            </w:r>
          </w:p>
        </w:tc>
        <w:tc>
          <w:tcPr>
            <w:tcW w:w="805" w:type="dxa"/>
            <w:vAlign w:val="center"/>
          </w:tcPr>
          <w:p w14:paraId="0A0F5884" w14:textId="77777777" w:rsidR="00955BC2" w:rsidRPr="00C51575" w:rsidRDefault="00955BC2" w:rsidP="003A36BC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3,91</w:t>
            </w:r>
          </w:p>
        </w:tc>
        <w:tc>
          <w:tcPr>
            <w:tcW w:w="805" w:type="dxa"/>
            <w:vAlign w:val="center"/>
          </w:tcPr>
          <w:p w14:paraId="09C380D8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794" w:type="dxa"/>
            <w:vAlign w:val="center"/>
          </w:tcPr>
          <w:p w14:paraId="2C329D7C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9,32</w:t>
            </w:r>
          </w:p>
        </w:tc>
        <w:tc>
          <w:tcPr>
            <w:tcW w:w="896" w:type="dxa"/>
            <w:vAlign w:val="center"/>
          </w:tcPr>
          <w:p w14:paraId="2CD06EAC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0,78</w:t>
            </w:r>
          </w:p>
        </w:tc>
      </w:tr>
      <w:tr w:rsidR="00955BC2" w:rsidRPr="00C51575" w14:paraId="31577ADE" w14:textId="77777777" w:rsidTr="003A36BC">
        <w:trPr>
          <w:trHeight w:val="465"/>
        </w:trPr>
        <w:tc>
          <w:tcPr>
            <w:tcW w:w="3491" w:type="dxa"/>
            <w:vAlign w:val="center"/>
          </w:tcPr>
          <w:p w14:paraId="538D648D" w14:textId="77777777" w:rsidR="00955BC2" w:rsidRPr="00C51575" w:rsidRDefault="00955BC2" w:rsidP="003A36BC">
            <w:pPr>
              <w:spacing w:line="240" w:lineRule="auto"/>
              <w:ind w:firstLine="360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Ogółem [m</w:t>
            </w:r>
            <w:r w:rsidRPr="00C51575">
              <w:rPr>
                <w:b/>
                <w:i/>
                <w:sz w:val="16"/>
                <w:szCs w:val="16"/>
                <w:vertAlign w:val="superscript"/>
              </w:rPr>
              <w:t>3</w:t>
            </w:r>
            <w:r w:rsidRPr="00C51575">
              <w:rPr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72576217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99,40</w:t>
            </w:r>
          </w:p>
        </w:tc>
        <w:tc>
          <w:tcPr>
            <w:tcW w:w="805" w:type="dxa"/>
            <w:vAlign w:val="center"/>
          </w:tcPr>
          <w:p w14:paraId="1D5B09A3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49,55</w:t>
            </w:r>
          </w:p>
        </w:tc>
        <w:tc>
          <w:tcPr>
            <w:tcW w:w="805" w:type="dxa"/>
            <w:vAlign w:val="center"/>
          </w:tcPr>
          <w:p w14:paraId="488D80AA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29,92</w:t>
            </w:r>
          </w:p>
        </w:tc>
        <w:tc>
          <w:tcPr>
            <w:tcW w:w="804" w:type="dxa"/>
            <w:vAlign w:val="center"/>
          </w:tcPr>
          <w:p w14:paraId="778DDA6A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18,58</w:t>
            </w:r>
          </w:p>
        </w:tc>
        <w:tc>
          <w:tcPr>
            <w:tcW w:w="804" w:type="dxa"/>
            <w:vAlign w:val="center"/>
          </w:tcPr>
          <w:p w14:paraId="1800FA7D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37,49</w:t>
            </w:r>
          </w:p>
        </w:tc>
        <w:tc>
          <w:tcPr>
            <w:tcW w:w="805" w:type="dxa"/>
            <w:vAlign w:val="center"/>
          </w:tcPr>
          <w:p w14:paraId="78964920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23,93</w:t>
            </w:r>
          </w:p>
        </w:tc>
        <w:tc>
          <w:tcPr>
            <w:tcW w:w="805" w:type="dxa"/>
            <w:vAlign w:val="center"/>
          </w:tcPr>
          <w:p w14:paraId="388047E9" w14:textId="77777777" w:rsidR="00955BC2" w:rsidRPr="00C51575" w:rsidRDefault="00955BC2" w:rsidP="003A36BC">
            <w:pPr>
              <w:spacing w:line="240" w:lineRule="auto"/>
              <w:ind w:right="205" w:hanging="8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28,87</w:t>
            </w:r>
          </w:p>
        </w:tc>
        <w:tc>
          <w:tcPr>
            <w:tcW w:w="805" w:type="dxa"/>
            <w:vAlign w:val="center"/>
          </w:tcPr>
          <w:p w14:paraId="2C539614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 w:rsidRPr="00C51575">
              <w:rPr>
                <w:b/>
                <w:i/>
                <w:sz w:val="16"/>
                <w:szCs w:val="16"/>
              </w:rPr>
              <w:t>50,24</w:t>
            </w:r>
          </w:p>
        </w:tc>
        <w:tc>
          <w:tcPr>
            <w:tcW w:w="794" w:type="dxa"/>
            <w:vAlign w:val="center"/>
          </w:tcPr>
          <w:p w14:paraId="1DB14E57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38,74</w:t>
            </w:r>
          </w:p>
        </w:tc>
        <w:tc>
          <w:tcPr>
            <w:tcW w:w="896" w:type="dxa"/>
            <w:vAlign w:val="center"/>
          </w:tcPr>
          <w:p w14:paraId="3617279D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26,97</w:t>
            </w:r>
          </w:p>
        </w:tc>
      </w:tr>
      <w:tr w:rsidR="00955BC2" w:rsidRPr="00C51575" w14:paraId="082C89F9" w14:textId="77777777" w:rsidTr="003A36BC">
        <w:trPr>
          <w:trHeight w:val="465"/>
        </w:trPr>
        <w:tc>
          <w:tcPr>
            <w:tcW w:w="3491" w:type="dxa"/>
            <w:vAlign w:val="center"/>
          </w:tcPr>
          <w:p w14:paraId="04115F68" w14:textId="77777777" w:rsidR="00955BC2" w:rsidRPr="00C51575" w:rsidRDefault="00955BC2" w:rsidP="003A36BC">
            <w:pPr>
              <w:spacing w:line="240" w:lineRule="auto"/>
              <w:ind w:firstLine="360"/>
              <w:rPr>
                <w:b/>
              </w:rPr>
            </w:pPr>
            <w:r w:rsidRPr="00C51575">
              <w:rPr>
                <w:b/>
              </w:rPr>
              <w:t>Kategoria odpadów promieniotwórczych</w:t>
            </w:r>
          </w:p>
        </w:tc>
        <w:tc>
          <w:tcPr>
            <w:tcW w:w="805" w:type="dxa"/>
            <w:vAlign w:val="center"/>
          </w:tcPr>
          <w:p w14:paraId="2985DA92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0F1ED8F3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2D75A7D0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5B39F9F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6FF4E10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2B62713D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7A9EF830" w14:textId="77777777" w:rsidR="00955BC2" w:rsidRPr="00C51575" w:rsidRDefault="00955BC2" w:rsidP="003A36BC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3FA45122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1DC95D65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5110AF93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</w:p>
        </w:tc>
      </w:tr>
      <w:tr w:rsidR="00955BC2" w:rsidRPr="00C51575" w14:paraId="2022FEAF" w14:textId="77777777" w:rsidTr="003A36BC">
        <w:trPr>
          <w:trHeight w:val="301"/>
        </w:trPr>
        <w:tc>
          <w:tcPr>
            <w:tcW w:w="3491" w:type="dxa"/>
            <w:vAlign w:val="center"/>
          </w:tcPr>
          <w:p w14:paraId="2FB5DAB1" w14:textId="77777777" w:rsidR="00955BC2" w:rsidRPr="00C51575" w:rsidRDefault="00955BC2" w:rsidP="003A36BC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niskoaktywne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6E938BD8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99,35</w:t>
            </w:r>
          </w:p>
        </w:tc>
        <w:tc>
          <w:tcPr>
            <w:tcW w:w="805" w:type="dxa"/>
            <w:vAlign w:val="center"/>
          </w:tcPr>
          <w:p w14:paraId="2D68CB9D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49,55</w:t>
            </w:r>
          </w:p>
        </w:tc>
        <w:tc>
          <w:tcPr>
            <w:tcW w:w="805" w:type="dxa"/>
            <w:vAlign w:val="center"/>
          </w:tcPr>
          <w:p w14:paraId="2858207A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29,76</w:t>
            </w:r>
          </w:p>
        </w:tc>
        <w:tc>
          <w:tcPr>
            <w:tcW w:w="804" w:type="dxa"/>
            <w:vAlign w:val="center"/>
          </w:tcPr>
          <w:p w14:paraId="57E2A503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18,58</w:t>
            </w:r>
          </w:p>
        </w:tc>
        <w:tc>
          <w:tcPr>
            <w:tcW w:w="804" w:type="dxa"/>
            <w:vAlign w:val="center"/>
          </w:tcPr>
          <w:p w14:paraId="2CE142E0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37,46</w:t>
            </w:r>
          </w:p>
        </w:tc>
        <w:tc>
          <w:tcPr>
            <w:tcW w:w="805" w:type="dxa"/>
            <w:vAlign w:val="center"/>
          </w:tcPr>
          <w:p w14:paraId="58CF5C99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23,93</w:t>
            </w:r>
          </w:p>
        </w:tc>
        <w:tc>
          <w:tcPr>
            <w:tcW w:w="805" w:type="dxa"/>
            <w:vAlign w:val="center"/>
          </w:tcPr>
          <w:p w14:paraId="26202F87" w14:textId="77777777" w:rsidR="00955BC2" w:rsidRPr="00C51575" w:rsidRDefault="00955BC2" w:rsidP="003A36BC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28,81</w:t>
            </w:r>
          </w:p>
        </w:tc>
        <w:tc>
          <w:tcPr>
            <w:tcW w:w="805" w:type="dxa"/>
            <w:vAlign w:val="center"/>
          </w:tcPr>
          <w:p w14:paraId="3BCC0EA2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50,24</w:t>
            </w:r>
          </w:p>
        </w:tc>
        <w:tc>
          <w:tcPr>
            <w:tcW w:w="794" w:type="dxa"/>
            <w:vAlign w:val="center"/>
          </w:tcPr>
          <w:p w14:paraId="1E5A265C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38,72</w:t>
            </w:r>
          </w:p>
        </w:tc>
        <w:tc>
          <w:tcPr>
            <w:tcW w:w="896" w:type="dxa"/>
            <w:vAlign w:val="center"/>
          </w:tcPr>
          <w:p w14:paraId="037E522B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55BC2" w:rsidRPr="00C51575" w14:paraId="25D25708" w14:textId="77777777" w:rsidTr="003A36BC">
        <w:trPr>
          <w:trHeight w:val="302"/>
        </w:trPr>
        <w:tc>
          <w:tcPr>
            <w:tcW w:w="3491" w:type="dxa"/>
            <w:vAlign w:val="center"/>
          </w:tcPr>
          <w:p w14:paraId="799148DA" w14:textId="77777777" w:rsidR="00955BC2" w:rsidRPr="00C51575" w:rsidRDefault="00955BC2" w:rsidP="003A36BC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średnioaktywne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805" w:type="dxa"/>
            <w:vAlign w:val="center"/>
          </w:tcPr>
          <w:p w14:paraId="55A4C5C2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805" w:type="dxa"/>
            <w:vAlign w:val="center"/>
          </w:tcPr>
          <w:p w14:paraId="2D439957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155E6DBC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0,16</w:t>
            </w:r>
          </w:p>
        </w:tc>
        <w:tc>
          <w:tcPr>
            <w:tcW w:w="804" w:type="dxa"/>
            <w:vAlign w:val="center"/>
          </w:tcPr>
          <w:p w14:paraId="62A47194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59A62204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805" w:type="dxa"/>
            <w:vAlign w:val="center"/>
          </w:tcPr>
          <w:p w14:paraId="5573D8D5" w14:textId="77777777" w:rsidR="00955BC2" w:rsidRPr="00C51575" w:rsidRDefault="00955BC2" w:rsidP="003A36BC">
            <w:pPr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5" w:type="dxa"/>
            <w:vAlign w:val="center"/>
          </w:tcPr>
          <w:p w14:paraId="58523400" w14:textId="77777777" w:rsidR="00955BC2" w:rsidRPr="00C51575" w:rsidRDefault="00955BC2" w:rsidP="003A36BC">
            <w:pPr>
              <w:spacing w:line="240" w:lineRule="auto"/>
              <w:ind w:right="205" w:hanging="8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805" w:type="dxa"/>
            <w:vAlign w:val="center"/>
          </w:tcPr>
          <w:p w14:paraId="64A1CEEC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14:paraId="2E8C154B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0,02</w:t>
            </w:r>
          </w:p>
        </w:tc>
        <w:tc>
          <w:tcPr>
            <w:tcW w:w="896" w:type="dxa"/>
            <w:vAlign w:val="center"/>
          </w:tcPr>
          <w:p w14:paraId="4F19A4C1" w14:textId="77777777" w:rsidR="00955BC2" w:rsidRPr="00C51575" w:rsidRDefault="00955BC2" w:rsidP="003A36BC">
            <w:pPr>
              <w:tabs>
                <w:tab w:val="left" w:pos="526"/>
              </w:tabs>
              <w:spacing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55BC2" w:rsidRPr="00C51575" w14:paraId="4EEDF481" w14:textId="77777777" w:rsidTr="003A36BC">
        <w:trPr>
          <w:trHeight w:val="302"/>
        </w:trPr>
        <w:tc>
          <w:tcPr>
            <w:tcW w:w="3491" w:type="dxa"/>
            <w:vAlign w:val="center"/>
          </w:tcPr>
          <w:p w14:paraId="11619C5C" w14:textId="77777777" w:rsidR="00955BC2" w:rsidRPr="00C51575" w:rsidRDefault="00955BC2" w:rsidP="003A36BC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 xml:space="preserve">zużyte zamknięte źródła </w:t>
            </w:r>
          </w:p>
          <w:p w14:paraId="68B82FB7" w14:textId="77777777" w:rsidR="00955BC2" w:rsidRPr="00C51575" w:rsidRDefault="00955BC2" w:rsidP="003A36BC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promieniotwórcze [szt.]</w:t>
            </w:r>
          </w:p>
        </w:tc>
        <w:tc>
          <w:tcPr>
            <w:tcW w:w="1610" w:type="dxa"/>
            <w:gridSpan w:val="2"/>
            <w:vAlign w:val="center"/>
          </w:tcPr>
          <w:p w14:paraId="7D0B6574" w14:textId="77777777" w:rsidR="00955BC2" w:rsidRPr="00C51575" w:rsidRDefault="00955BC2" w:rsidP="003A36BC">
            <w:pPr>
              <w:spacing w:line="240" w:lineRule="auto"/>
              <w:ind w:firstLine="4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1 615</w:t>
            </w:r>
          </w:p>
        </w:tc>
        <w:tc>
          <w:tcPr>
            <w:tcW w:w="1609" w:type="dxa"/>
            <w:gridSpan w:val="2"/>
            <w:vAlign w:val="center"/>
          </w:tcPr>
          <w:p w14:paraId="39401B83" w14:textId="77777777" w:rsidR="00955BC2" w:rsidRPr="00C51575" w:rsidRDefault="00955BC2" w:rsidP="003A36BC">
            <w:pPr>
              <w:spacing w:line="240" w:lineRule="auto"/>
              <w:ind w:hanging="2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1 285</w:t>
            </w:r>
          </w:p>
        </w:tc>
        <w:tc>
          <w:tcPr>
            <w:tcW w:w="1609" w:type="dxa"/>
            <w:gridSpan w:val="2"/>
            <w:vAlign w:val="center"/>
          </w:tcPr>
          <w:p w14:paraId="6B6C3A8B" w14:textId="77777777" w:rsidR="00955BC2" w:rsidRPr="00C51575" w:rsidRDefault="00955BC2" w:rsidP="003A3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3 764</w:t>
            </w:r>
          </w:p>
        </w:tc>
        <w:tc>
          <w:tcPr>
            <w:tcW w:w="1610" w:type="dxa"/>
            <w:gridSpan w:val="2"/>
            <w:vAlign w:val="center"/>
          </w:tcPr>
          <w:p w14:paraId="320ECB0D" w14:textId="77777777" w:rsidR="00955BC2" w:rsidRPr="00C51575" w:rsidRDefault="00955BC2" w:rsidP="003A36BC">
            <w:pPr>
              <w:spacing w:line="240" w:lineRule="auto"/>
              <w:ind w:right="20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2 685</w:t>
            </w:r>
          </w:p>
        </w:tc>
        <w:tc>
          <w:tcPr>
            <w:tcW w:w="1690" w:type="dxa"/>
            <w:gridSpan w:val="2"/>
            <w:vAlign w:val="center"/>
          </w:tcPr>
          <w:p w14:paraId="7C908291" w14:textId="77777777" w:rsidR="00955BC2" w:rsidRPr="00C51575" w:rsidRDefault="00955BC2" w:rsidP="003A36BC">
            <w:pPr>
              <w:spacing w:line="240" w:lineRule="auto"/>
              <w:ind w:right="2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2 119</w:t>
            </w:r>
          </w:p>
        </w:tc>
      </w:tr>
      <w:tr w:rsidR="00955BC2" w:rsidRPr="00C51575" w14:paraId="2BF48CA7" w14:textId="77777777" w:rsidTr="003A36BC">
        <w:trPr>
          <w:trHeight w:val="464"/>
        </w:trPr>
        <w:tc>
          <w:tcPr>
            <w:tcW w:w="3491" w:type="dxa"/>
            <w:vAlign w:val="center"/>
          </w:tcPr>
          <w:p w14:paraId="19C9CE36" w14:textId="77777777" w:rsidR="00955BC2" w:rsidRPr="00C51575" w:rsidRDefault="00955BC2" w:rsidP="003A36BC">
            <w:pPr>
              <w:spacing w:line="240" w:lineRule="auto"/>
              <w:ind w:firstLine="360"/>
              <w:rPr>
                <w:b/>
              </w:rPr>
            </w:pPr>
            <w:r w:rsidRPr="00C51575">
              <w:rPr>
                <w:b/>
              </w:rPr>
              <w:t>Odpady przekazane do składowania/przechowywania w KSOP Różan</w:t>
            </w:r>
          </w:p>
        </w:tc>
        <w:tc>
          <w:tcPr>
            <w:tcW w:w="1610" w:type="dxa"/>
            <w:gridSpan w:val="2"/>
          </w:tcPr>
          <w:p w14:paraId="6DF89CD2" w14:textId="77777777" w:rsidR="00955BC2" w:rsidRPr="00C51575" w:rsidRDefault="00955BC2" w:rsidP="003A36BC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75A50EC2" w14:textId="77777777" w:rsidR="00955BC2" w:rsidRPr="00C51575" w:rsidRDefault="00955BC2" w:rsidP="003A36BC">
            <w:pPr>
              <w:spacing w:line="240" w:lineRule="auto"/>
              <w:ind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58342D06" w14:textId="77777777" w:rsidR="00955BC2" w:rsidRPr="00C51575" w:rsidRDefault="00955BC2" w:rsidP="003A3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64B02574" w14:textId="77777777" w:rsidR="00955BC2" w:rsidRPr="00C51575" w:rsidRDefault="00955BC2" w:rsidP="003A36BC">
            <w:pPr>
              <w:spacing w:line="240" w:lineRule="auto"/>
              <w:ind w:right="205" w:firstLine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5499D105" w14:textId="77777777" w:rsidR="00955BC2" w:rsidRPr="00C51575" w:rsidRDefault="00955BC2" w:rsidP="003A36BC">
            <w:pPr>
              <w:spacing w:line="240" w:lineRule="auto"/>
              <w:ind w:right="205" w:firstLine="360"/>
              <w:jc w:val="center"/>
              <w:rPr>
                <w:b/>
                <w:sz w:val="16"/>
                <w:szCs w:val="16"/>
              </w:rPr>
            </w:pPr>
          </w:p>
        </w:tc>
      </w:tr>
      <w:tr w:rsidR="00955BC2" w:rsidRPr="00C51575" w14:paraId="1B731B1D" w14:textId="77777777" w:rsidTr="003A36BC">
        <w:trPr>
          <w:trHeight w:val="465"/>
        </w:trPr>
        <w:tc>
          <w:tcPr>
            <w:tcW w:w="3491" w:type="dxa"/>
            <w:vAlign w:val="center"/>
          </w:tcPr>
          <w:p w14:paraId="5FC4A25B" w14:textId="77777777" w:rsidR="00955BC2" w:rsidRPr="00C51575" w:rsidRDefault="00955BC2" w:rsidP="003A36BC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Objętość [m</w:t>
            </w:r>
            <w:r w:rsidRPr="00C51575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C51575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1610" w:type="dxa"/>
            <w:gridSpan w:val="2"/>
            <w:vAlign w:val="center"/>
          </w:tcPr>
          <w:p w14:paraId="15956609" w14:textId="77777777" w:rsidR="00955BC2" w:rsidRPr="00C51575" w:rsidRDefault="00955BC2" w:rsidP="003A3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121,80</w:t>
            </w:r>
          </w:p>
        </w:tc>
        <w:tc>
          <w:tcPr>
            <w:tcW w:w="1609" w:type="dxa"/>
            <w:gridSpan w:val="2"/>
            <w:vAlign w:val="center"/>
          </w:tcPr>
          <w:p w14:paraId="1F782D1B" w14:textId="77777777" w:rsidR="00955BC2" w:rsidRPr="00C51575" w:rsidRDefault="00955BC2" w:rsidP="003A36BC">
            <w:pPr>
              <w:spacing w:line="240" w:lineRule="auto"/>
              <w:ind w:hanging="2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46,33</w:t>
            </w:r>
          </w:p>
        </w:tc>
        <w:tc>
          <w:tcPr>
            <w:tcW w:w="1609" w:type="dxa"/>
            <w:gridSpan w:val="2"/>
            <w:vAlign w:val="center"/>
          </w:tcPr>
          <w:p w14:paraId="6067235F" w14:textId="77777777" w:rsidR="00955BC2" w:rsidRPr="00C51575" w:rsidRDefault="00955BC2" w:rsidP="003A3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52,49</w:t>
            </w:r>
          </w:p>
        </w:tc>
        <w:tc>
          <w:tcPr>
            <w:tcW w:w="1610" w:type="dxa"/>
            <w:gridSpan w:val="2"/>
            <w:vAlign w:val="center"/>
          </w:tcPr>
          <w:p w14:paraId="6FC4E70C" w14:textId="77777777" w:rsidR="00955BC2" w:rsidRPr="00C51575" w:rsidRDefault="00955BC2" w:rsidP="003A36BC">
            <w:pPr>
              <w:spacing w:line="240" w:lineRule="auto"/>
              <w:ind w:right="205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32,99</w:t>
            </w:r>
          </w:p>
        </w:tc>
        <w:tc>
          <w:tcPr>
            <w:tcW w:w="1690" w:type="dxa"/>
            <w:gridSpan w:val="2"/>
            <w:vAlign w:val="center"/>
          </w:tcPr>
          <w:p w14:paraId="6FE0BB01" w14:textId="77777777" w:rsidR="00955BC2" w:rsidRPr="00C51575" w:rsidRDefault="00955BC2" w:rsidP="003A36BC">
            <w:pPr>
              <w:spacing w:line="240" w:lineRule="auto"/>
              <w:ind w:right="2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35,66</w:t>
            </w:r>
          </w:p>
        </w:tc>
      </w:tr>
      <w:tr w:rsidR="00955BC2" w:rsidRPr="00C51575" w14:paraId="4D256DC4" w14:textId="77777777" w:rsidTr="003A36BC">
        <w:trPr>
          <w:trHeight w:val="465"/>
        </w:trPr>
        <w:tc>
          <w:tcPr>
            <w:tcW w:w="3491" w:type="dxa"/>
            <w:vAlign w:val="center"/>
          </w:tcPr>
          <w:p w14:paraId="29E3E3DB" w14:textId="77777777" w:rsidR="00955BC2" w:rsidRPr="00C51575" w:rsidRDefault="00955BC2" w:rsidP="003A36BC">
            <w:pPr>
              <w:spacing w:line="240" w:lineRule="auto"/>
              <w:ind w:firstLine="360"/>
              <w:rPr>
                <w:rFonts w:cs="Arial"/>
                <w:b/>
                <w:sz w:val="16"/>
                <w:szCs w:val="16"/>
              </w:rPr>
            </w:pPr>
            <w:r w:rsidRPr="00C51575">
              <w:rPr>
                <w:rFonts w:cs="Arial"/>
                <w:b/>
                <w:sz w:val="16"/>
                <w:szCs w:val="16"/>
              </w:rPr>
              <w:t>Aktywność (na dzień 31 grudnia w danym roku) [TBq]</w:t>
            </w:r>
          </w:p>
        </w:tc>
        <w:tc>
          <w:tcPr>
            <w:tcW w:w="1610" w:type="dxa"/>
            <w:gridSpan w:val="2"/>
            <w:vAlign w:val="center"/>
          </w:tcPr>
          <w:p w14:paraId="26A90481" w14:textId="77777777" w:rsidR="00955BC2" w:rsidRPr="00C51575" w:rsidRDefault="00955BC2" w:rsidP="003A3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1,20</w:t>
            </w:r>
          </w:p>
        </w:tc>
        <w:tc>
          <w:tcPr>
            <w:tcW w:w="1609" w:type="dxa"/>
            <w:gridSpan w:val="2"/>
            <w:vAlign w:val="center"/>
          </w:tcPr>
          <w:p w14:paraId="3D1E8854" w14:textId="77777777" w:rsidR="00955BC2" w:rsidRPr="00C51575" w:rsidRDefault="00955BC2" w:rsidP="003A36BC">
            <w:pPr>
              <w:spacing w:line="240" w:lineRule="auto"/>
              <w:ind w:hanging="2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1,81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 w14:paraId="5760D296" w14:textId="77777777" w:rsidR="00955BC2" w:rsidRPr="00C51575" w:rsidRDefault="00955BC2" w:rsidP="003A3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2,35</w:t>
            </w:r>
          </w:p>
        </w:tc>
        <w:tc>
          <w:tcPr>
            <w:tcW w:w="1610" w:type="dxa"/>
            <w:gridSpan w:val="2"/>
            <w:vAlign w:val="center"/>
          </w:tcPr>
          <w:p w14:paraId="387B96B0" w14:textId="77777777" w:rsidR="00955BC2" w:rsidRPr="00C51575" w:rsidRDefault="00955BC2" w:rsidP="003A36BC">
            <w:pPr>
              <w:spacing w:line="240" w:lineRule="auto"/>
              <w:ind w:hanging="150"/>
              <w:jc w:val="center"/>
              <w:rPr>
                <w:b/>
                <w:sz w:val="16"/>
                <w:szCs w:val="16"/>
              </w:rPr>
            </w:pPr>
            <w:r w:rsidRPr="00C51575">
              <w:rPr>
                <w:b/>
                <w:sz w:val="16"/>
                <w:szCs w:val="16"/>
              </w:rPr>
              <w:t>0,90</w:t>
            </w:r>
          </w:p>
        </w:tc>
        <w:tc>
          <w:tcPr>
            <w:tcW w:w="1690" w:type="dxa"/>
            <w:gridSpan w:val="2"/>
            <w:vAlign w:val="center"/>
          </w:tcPr>
          <w:p w14:paraId="7850C1BD" w14:textId="77777777" w:rsidR="00955BC2" w:rsidRPr="00C51575" w:rsidRDefault="00955BC2" w:rsidP="003A36BC">
            <w:pPr>
              <w:spacing w:line="240" w:lineRule="auto"/>
              <w:ind w:hanging="1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2,96</w:t>
            </w:r>
          </w:p>
        </w:tc>
      </w:tr>
    </w:tbl>
    <w:p w14:paraId="2FF0C6A8" w14:textId="77777777" w:rsidR="00955BC2" w:rsidRDefault="00955BC2" w:rsidP="00955BC2">
      <w:pPr>
        <w:spacing w:after="120"/>
        <w:jc w:val="both"/>
        <w:rPr>
          <w:b/>
        </w:rPr>
      </w:pPr>
    </w:p>
    <w:p w14:paraId="4301D553" w14:textId="77777777" w:rsidR="00955BC2" w:rsidRDefault="00955BC2" w:rsidP="00955BC2">
      <w:pPr>
        <w:spacing w:before="120" w:after="120"/>
        <w:jc w:val="both"/>
      </w:pPr>
    </w:p>
    <w:p w14:paraId="326FD3BD" w14:textId="77777777" w:rsidR="00955BC2" w:rsidRDefault="00955BC2" w:rsidP="002E58C9">
      <w:pPr>
        <w:spacing w:before="120" w:after="120"/>
        <w:jc w:val="both"/>
      </w:pPr>
    </w:p>
    <w:p w14:paraId="17BB4EFF" w14:textId="77777777" w:rsidR="00955BC2" w:rsidRDefault="00955BC2" w:rsidP="002E58C9">
      <w:pPr>
        <w:spacing w:before="120" w:after="120"/>
        <w:jc w:val="both"/>
      </w:pPr>
    </w:p>
    <w:p w14:paraId="07D25698" w14:textId="77777777" w:rsidR="00955BC2" w:rsidRDefault="00955BC2" w:rsidP="002E58C9">
      <w:pPr>
        <w:spacing w:before="120" w:after="120"/>
        <w:jc w:val="both"/>
      </w:pPr>
    </w:p>
    <w:p w14:paraId="2B50C369" w14:textId="77777777" w:rsidR="00955BC2" w:rsidRDefault="00955BC2" w:rsidP="002E58C9">
      <w:pPr>
        <w:spacing w:before="120" w:after="120"/>
        <w:jc w:val="both"/>
      </w:pPr>
    </w:p>
    <w:p w14:paraId="546563D7" w14:textId="77777777" w:rsidR="00955BC2" w:rsidRDefault="00955BC2" w:rsidP="002E58C9">
      <w:pPr>
        <w:spacing w:before="120" w:after="120"/>
        <w:jc w:val="both"/>
      </w:pPr>
    </w:p>
    <w:p w14:paraId="50B420FF" w14:textId="77777777" w:rsidR="00955BC2" w:rsidRDefault="00955BC2" w:rsidP="002E58C9">
      <w:pPr>
        <w:spacing w:before="120" w:after="120"/>
        <w:jc w:val="both"/>
      </w:pPr>
    </w:p>
    <w:p w14:paraId="2962B413" w14:textId="77777777" w:rsidR="00955BC2" w:rsidRDefault="00955BC2" w:rsidP="002E58C9">
      <w:pPr>
        <w:spacing w:before="120" w:after="120"/>
        <w:jc w:val="both"/>
      </w:pPr>
    </w:p>
    <w:p w14:paraId="4AA303C9" w14:textId="77777777" w:rsidR="00955BC2" w:rsidRDefault="00955BC2" w:rsidP="002E58C9">
      <w:pPr>
        <w:spacing w:before="120" w:after="120"/>
        <w:jc w:val="both"/>
      </w:pPr>
    </w:p>
    <w:p w14:paraId="6AD5096A" w14:textId="77777777" w:rsidR="00955BC2" w:rsidRDefault="00955BC2" w:rsidP="002E58C9">
      <w:pPr>
        <w:spacing w:before="120" w:after="120"/>
        <w:jc w:val="both"/>
      </w:pPr>
    </w:p>
    <w:p w14:paraId="09D707B8" w14:textId="77777777" w:rsidR="00955BC2" w:rsidRDefault="00955BC2" w:rsidP="002E58C9">
      <w:pPr>
        <w:spacing w:before="120" w:after="120"/>
        <w:jc w:val="both"/>
      </w:pPr>
    </w:p>
    <w:p w14:paraId="194FDA04" w14:textId="77777777" w:rsidR="00955BC2" w:rsidRDefault="00955BC2" w:rsidP="002E58C9">
      <w:pPr>
        <w:spacing w:before="120" w:after="120"/>
        <w:jc w:val="both"/>
      </w:pPr>
    </w:p>
    <w:p w14:paraId="276B7976" w14:textId="77777777" w:rsidR="00955BC2" w:rsidRDefault="00955BC2" w:rsidP="002E58C9">
      <w:pPr>
        <w:spacing w:before="120" w:after="120"/>
        <w:jc w:val="both"/>
      </w:pPr>
    </w:p>
    <w:p w14:paraId="611F6B92" w14:textId="77777777" w:rsidR="00955BC2" w:rsidRDefault="00955BC2" w:rsidP="002E58C9">
      <w:pPr>
        <w:spacing w:before="120" w:after="120"/>
        <w:jc w:val="both"/>
      </w:pPr>
    </w:p>
    <w:p w14:paraId="0D6EB9BA" w14:textId="77777777" w:rsidR="00955BC2" w:rsidRDefault="00955BC2" w:rsidP="002E58C9">
      <w:pPr>
        <w:spacing w:before="120" w:after="120"/>
        <w:jc w:val="both"/>
      </w:pPr>
    </w:p>
    <w:p w14:paraId="6BD7C772" w14:textId="77777777" w:rsidR="00955BC2" w:rsidRDefault="00955BC2" w:rsidP="002E58C9">
      <w:pPr>
        <w:spacing w:before="120" w:after="120"/>
        <w:jc w:val="both"/>
      </w:pPr>
    </w:p>
    <w:p w14:paraId="500B4711" w14:textId="77777777" w:rsidR="00955BC2" w:rsidRDefault="00955BC2" w:rsidP="002E58C9">
      <w:pPr>
        <w:spacing w:before="120" w:after="120"/>
        <w:jc w:val="both"/>
      </w:pPr>
    </w:p>
    <w:p w14:paraId="5BB22B52" w14:textId="77777777" w:rsidR="00955BC2" w:rsidRDefault="00955BC2" w:rsidP="002E58C9">
      <w:pPr>
        <w:spacing w:before="120" w:after="120"/>
        <w:jc w:val="both"/>
      </w:pPr>
    </w:p>
    <w:p w14:paraId="5D34C1F4" w14:textId="77777777" w:rsidR="00955BC2" w:rsidRDefault="00955BC2" w:rsidP="002E58C9">
      <w:pPr>
        <w:spacing w:before="120" w:after="120"/>
        <w:jc w:val="both"/>
      </w:pPr>
    </w:p>
    <w:p w14:paraId="1C12B3B8" w14:textId="77777777" w:rsidR="00955BC2" w:rsidRDefault="00955BC2" w:rsidP="002E58C9">
      <w:pPr>
        <w:spacing w:before="120" w:after="120"/>
        <w:jc w:val="both"/>
      </w:pPr>
    </w:p>
    <w:p w14:paraId="7C13DDAA" w14:textId="77777777" w:rsidR="00955BC2" w:rsidRDefault="00955BC2" w:rsidP="002E58C9">
      <w:pPr>
        <w:spacing w:before="120" w:after="120"/>
        <w:jc w:val="both"/>
        <w:sectPr w:rsidR="00955BC2" w:rsidSect="00AF66AF">
          <w:pgSz w:w="16838" w:h="11906" w:orient="landscape"/>
          <w:pgMar w:top="1418" w:right="1418" w:bottom="1418" w:left="1701" w:header="709" w:footer="709" w:gutter="0"/>
          <w:cols w:space="708"/>
          <w:rtlGutter/>
          <w:docGrid w:linePitch="360"/>
        </w:sectPr>
      </w:pPr>
    </w:p>
    <w:p w14:paraId="6993FE57" w14:textId="77777777" w:rsidR="008E1E2A" w:rsidRPr="0066534F" w:rsidRDefault="00D30EA0" w:rsidP="008E1E2A">
      <w:pPr>
        <w:pStyle w:val="Nagwek1"/>
        <w:jc w:val="center"/>
      </w:pPr>
      <w:bookmarkStart w:id="221" w:name="_Toc424116775"/>
      <w:r>
        <w:t>Załącznik nr 4</w:t>
      </w:r>
      <w:r w:rsidR="008E1E2A">
        <w:t>.</w:t>
      </w:r>
      <w:r w:rsidR="008E1E2A" w:rsidRPr="0066534F">
        <w:t xml:space="preserve"> </w:t>
      </w:r>
      <w:r w:rsidR="008E1E2A">
        <w:t xml:space="preserve">Wnioski ze </w:t>
      </w:r>
      <w:r w:rsidR="008E1E2A" w:rsidRPr="007F67D8">
        <w:rPr>
          <w:rFonts w:asciiTheme="minorHAnsi" w:hAnsiTheme="minorHAnsi" w:cstheme="minorHAnsi"/>
          <w:bCs w:val="0"/>
          <w:iCs/>
        </w:rPr>
        <w:t>Strategicznej</w:t>
      </w:r>
      <w:r w:rsidR="008E1E2A" w:rsidRPr="008E1E2A">
        <w:rPr>
          <w:rFonts w:asciiTheme="minorHAnsi" w:hAnsiTheme="minorHAnsi" w:cstheme="minorHAnsi"/>
          <w:bCs w:val="0"/>
          <w:iCs/>
        </w:rPr>
        <w:t xml:space="preserve"> </w:t>
      </w:r>
      <w:r w:rsidR="008E1E2A" w:rsidRPr="007F67D8">
        <w:rPr>
          <w:rFonts w:asciiTheme="minorHAnsi" w:hAnsiTheme="minorHAnsi" w:cstheme="minorHAnsi"/>
          <w:bCs w:val="0"/>
          <w:iCs/>
        </w:rPr>
        <w:t>Oceny Oddziaływania na Środowisko projektu</w:t>
      </w:r>
      <w:r w:rsidR="00131311">
        <w:rPr>
          <w:rFonts w:asciiTheme="minorHAnsi" w:hAnsiTheme="minorHAnsi" w:cstheme="minorHAnsi"/>
          <w:bCs w:val="0"/>
          <w:iCs/>
        </w:rPr>
        <w:t xml:space="preserve"> Krajowego planu</w:t>
      </w:r>
      <w:bookmarkEnd w:id="221"/>
    </w:p>
    <w:p w14:paraId="6D9136A1" w14:textId="77777777" w:rsidR="00861D68" w:rsidRDefault="00861D68" w:rsidP="00B9703D">
      <w:pPr>
        <w:pStyle w:val="Mnormal"/>
      </w:pPr>
    </w:p>
    <w:p w14:paraId="76E9B552" w14:textId="739C76BD" w:rsidR="00B9703D" w:rsidRDefault="00B9703D" w:rsidP="00B9703D">
      <w:pPr>
        <w:pStyle w:val="Mnormal"/>
      </w:pPr>
      <w:r>
        <w:t xml:space="preserve">Wszystkie uwagi zgłoszone do Prognozy w trakcie konsultacji społecznych zostały rozpatrzone oraz częściowo uwzględnione. </w:t>
      </w:r>
      <w:r w:rsidR="00A75157">
        <w:t xml:space="preserve">Do </w:t>
      </w:r>
      <w:r>
        <w:t>najważniejszych zmian wynikających z tych uwag należy zaliczyć:</w:t>
      </w:r>
    </w:p>
    <w:p w14:paraId="7EDE0E49" w14:textId="77777777" w:rsidR="00B9703D" w:rsidRDefault="00B9703D" w:rsidP="00B9703D">
      <w:pPr>
        <w:pStyle w:val="Mwypkt"/>
      </w:pPr>
      <w:r>
        <w:t>uzupełniono i doprecyzowano informacje o różnych wariantach rozwiązań alternatywnych,</w:t>
      </w:r>
    </w:p>
    <w:p w14:paraId="27D6FE55" w14:textId="77777777" w:rsidR="00B9703D" w:rsidRDefault="00B9703D" w:rsidP="00B9703D">
      <w:pPr>
        <w:pStyle w:val="Mwypkt"/>
      </w:pPr>
      <w:r>
        <w:t>doprecyzowano opisy dotyczące sposobów postępowania z odpadami promieniotwórczymi oraz wpływem promieniowania jonizującego na zdrowie,</w:t>
      </w:r>
    </w:p>
    <w:p w14:paraId="7DE7C76F" w14:textId="77777777" w:rsidR="00B9703D" w:rsidRDefault="00B9703D" w:rsidP="00B9703D">
      <w:pPr>
        <w:pStyle w:val="Mwypkt"/>
      </w:pPr>
      <w:r>
        <w:t>uzupełniono informacje o podstawach prawnych określających zasady postępowania z odpadami promieniotwórczymi,</w:t>
      </w:r>
    </w:p>
    <w:p w14:paraId="3FDAF53F" w14:textId="77777777" w:rsidR="00B9703D" w:rsidRDefault="00B9703D" w:rsidP="00B9703D">
      <w:pPr>
        <w:pStyle w:val="Mwypkt"/>
      </w:pPr>
      <w:r>
        <w:t>opisano gospodarkę cyrkulacyjną i jej możliwy wpływu na Krajowy plan oraz na środowisko,</w:t>
      </w:r>
    </w:p>
    <w:p w14:paraId="4DFF388B" w14:textId="77777777" w:rsidR="00B9703D" w:rsidRDefault="00B9703D" w:rsidP="00B9703D">
      <w:pPr>
        <w:pStyle w:val="Mwypkt"/>
      </w:pPr>
      <w:r>
        <w:t>rozszerzono podsumowanie opisu stanu aktualnego środowiska.</w:t>
      </w:r>
    </w:p>
    <w:p w14:paraId="53291159" w14:textId="54842B77" w:rsidR="00B9703D" w:rsidRDefault="00B9703D" w:rsidP="00B9703D">
      <w:pPr>
        <w:pStyle w:val="Mnormal"/>
      </w:pPr>
      <w:r>
        <w:t xml:space="preserve">Nie zostały uwzględnione natomiast postulaty wpisania do dokumentu zapisów o charakterze bardzo szczegółowym, które mogą być rozważane dopiero na etapie wdrażania poszczególnych działań. Nie uwzględniono również uwagi sugerującej konieczność przeprowadzenia postępowania transgranicznego, uznając, że o konieczności prowadzenia takiego postępowania będzie można decydować, kiedy określona zostanie lokalizacja nowego składowiska odpadów promieniotwórczych. Generalny Dyrektor Ochrony Środowiska w swojej opinii podzielił takie stanowisko przedstawione </w:t>
      </w:r>
      <w:r w:rsidR="00A75157">
        <w:t xml:space="preserve">w </w:t>
      </w:r>
      <w:r>
        <w:t>Prognozie.</w:t>
      </w:r>
    </w:p>
    <w:p w14:paraId="698B6FE7" w14:textId="77777777" w:rsidR="00084F8B" w:rsidRPr="003309A0" w:rsidRDefault="00084F8B" w:rsidP="002E58C9">
      <w:pPr>
        <w:spacing w:before="120" w:after="120"/>
        <w:jc w:val="both"/>
      </w:pPr>
    </w:p>
    <w:sectPr w:rsidR="00084F8B" w:rsidRPr="003309A0" w:rsidSect="00AF66AF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3EEB4" w14:textId="77777777" w:rsidR="00FF23BC" w:rsidRDefault="00FF23BC">
      <w:r>
        <w:separator/>
      </w:r>
    </w:p>
  </w:endnote>
  <w:endnote w:type="continuationSeparator" w:id="0">
    <w:p w14:paraId="00B26924" w14:textId="77777777" w:rsidR="00FF23BC" w:rsidRDefault="00FF23BC">
      <w:r>
        <w:continuationSeparator/>
      </w:r>
    </w:p>
  </w:endnote>
  <w:endnote w:type="continuationNotice" w:id="1">
    <w:p w14:paraId="37A54760" w14:textId="77777777" w:rsidR="00FF23BC" w:rsidRDefault="00FF23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40C9" w14:textId="77777777" w:rsidR="00C20BBB" w:rsidRDefault="00C20BBB" w:rsidP="004C4A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B7302B" w14:textId="77777777" w:rsidR="00C20BBB" w:rsidRDefault="00C20BBB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824C8" w14:textId="77777777" w:rsidR="00C20BBB" w:rsidRDefault="00C20BBB" w:rsidP="004C4A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87EB72" w14:textId="77777777" w:rsidR="00C20BBB" w:rsidRDefault="00C20BBB">
    <w:pPr>
      <w:pStyle w:val="Stopk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763E" w14:textId="301E41CF" w:rsidR="00C20BBB" w:rsidRDefault="00C20BBB" w:rsidP="004C4A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AAB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77880B5A" w14:textId="77777777" w:rsidR="00C20BBB" w:rsidRDefault="00C20BBB">
    <w:pPr>
      <w:pStyle w:val="Stopk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B3EC" w14:textId="77777777" w:rsidR="00C20BBB" w:rsidRDefault="00C20BBB" w:rsidP="00181D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20477D" w14:textId="77777777" w:rsidR="00C20BBB" w:rsidRDefault="00C20BBB">
    <w:pPr>
      <w:pStyle w:val="Stopk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06E49" w14:textId="3D6B5E0F" w:rsidR="00C20BBB" w:rsidRDefault="00C20BBB" w:rsidP="00181D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AAB">
      <w:rPr>
        <w:rStyle w:val="Numerstrony"/>
        <w:noProof/>
      </w:rPr>
      <w:t>36</w:t>
    </w:r>
    <w:r>
      <w:rPr>
        <w:rStyle w:val="Numerstrony"/>
      </w:rPr>
      <w:fldChar w:fldCharType="end"/>
    </w:r>
  </w:p>
  <w:p w14:paraId="6F539499" w14:textId="77777777" w:rsidR="00C20BBB" w:rsidRDefault="00C20BBB">
    <w:pPr>
      <w:pStyle w:val="Stopk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CF11C" w14:textId="77777777" w:rsidR="00C20BBB" w:rsidRDefault="00C20BBB" w:rsidP="00181D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DAA6CC" w14:textId="77777777" w:rsidR="00C20BBB" w:rsidRDefault="00C20BBB">
    <w:pPr>
      <w:pStyle w:val="Stopka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031C" w14:textId="5C91A398" w:rsidR="00C20BBB" w:rsidRDefault="00C20BBB" w:rsidP="0043438A">
    <w:pPr>
      <w:pStyle w:val="Stopka"/>
      <w:framePr w:wrap="around" w:vAnchor="text" w:hAnchor="margin" w:xAlign="center" w:y="1"/>
      <w:spacing w:after="480"/>
      <w:ind w:left="-57" w:right="624" w:firstLine="357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AAB">
      <w:rPr>
        <w:rStyle w:val="Numerstrony"/>
        <w:noProof/>
      </w:rPr>
      <w:t>71</w:t>
    </w:r>
    <w:r>
      <w:rPr>
        <w:rStyle w:val="Numerstrony"/>
      </w:rPr>
      <w:fldChar w:fldCharType="end"/>
    </w:r>
  </w:p>
  <w:p w14:paraId="204F35F8" w14:textId="77777777" w:rsidR="00C20BBB" w:rsidRDefault="00C20B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6A24B" w14:textId="2E4AC31B" w:rsidR="00C20BBB" w:rsidRDefault="00C20BBB" w:rsidP="004C4A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7ECE060" w14:textId="77777777" w:rsidR="00C20BBB" w:rsidRDefault="00C20B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ED787" w14:textId="36A877AF" w:rsidR="00C20BBB" w:rsidRDefault="00C20BBB" w:rsidP="00F7644E">
    <w:pPr>
      <w:pStyle w:val="Stopka"/>
      <w:framePr w:wrap="around" w:vAnchor="text" w:hAnchor="page" w:x="5881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AA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CF43D0" w14:textId="77777777" w:rsidR="00C20BBB" w:rsidRDefault="00C20BB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5E61B" w14:textId="77777777" w:rsidR="00C20BBB" w:rsidRDefault="00C20BBB" w:rsidP="004C4A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797AD7" w14:textId="77777777" w:rsidR="00C20BBB" w:rsidRDefault="00C20BBB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9DB6" w14:textId="048F53FE" w:rsidR="00C20BBB" w:rsidRDefault="00C20BBB" w:rsidP="004C4A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AA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A56414F" w14:textId="77777777" w:rsidR="00C20BBB" w:rsidRDefault="00C20BBB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04B3" w14:textId="77777777" w:rsidR="00C20BBB" w:rsidRDefault="00C20BBB" w:rsidP="004C4A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AC4270" w14:textId="77777777" w:rsidR="00C20BBB" w:rsidRDefault="00C20BBB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C7011" w14:textId="7B27FAE0" w:rsidR="00C20BBB" w:rsidRDefault="00C20BBB" w:rsidP="00C87B85">
    <w:pPr>
      <w:pStyle w:val="Stopka"/>
      <w:framePr w:wrap="around" w:vAnchor="text" w:hAnchor="page" w:x="5881" w:y="3"/>
      <w:rPr>
        <w:rStyle w:val="Numerstrony"/>
        <w:rFonts w:ascii="Calibri" w:hAnsi="Calibri"/>
        <w:sz w:val="20"/>
        <w:szCs w:val="2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AA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90414AA" w14:textId="77777777" w:rsidR="00C20BBB" w:rsidRDefault="00C20BBB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357FC" w14:textId="77777777" w:rsidR="00C20BBB" w:rsidRDefault="00C20BBB" w:rsidP="004C4A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632606" w14:textId="77777777" w:rsidR="00C20BBB" w:rsidRDefault="00C20BBB">
    <w:pPr>
      <w:pStyle w:val="Stopk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9277" w14:textId="60D8B052" w:rsidR="00C20BBB" w:rsidRDefault="00C20BBB" w:rsidP="004C4A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AAB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47BDCBBA" w14:textId="77777777" w:rsidR="00C20BBB" w:rsidRDefault="00C20B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675F6" w14:textId="77777777" w:rsidR="00FF23BC" w:rsidRDefault="00FF23BC">
      <w:r>
        <w:separator/>
      </w:r>
    </w:p>
  </w:footnote>
  <w:footnote w:type="continuationSeparator" w:id="0">
    <w:p w14:paraId="17B8879E" w14:textId="77777777" w:rsidR="00FF23BC" w:rsidRDefault="00FF23BC">
      <w:r>
        <w:continuationSeparator/>
      </w:r>
    </w:p>
  </w:footnote>
  <w:footnote w:type="continuationNotice" w:id="1">
    <w:p w14:paraId="7628F464" w14:textId="77777777" w:rsidR="00FF23BC" w:rsidRDefault="00FF23BC">
      <w:pPr>
        <w:spacing w:line="240" w:lineRule="auto"/>
      </w:pPr>
    </w:p>
  </w:footnote>
  <w:footnote w:id="2">
    <w:p w14:paraId="0CF785F6" w14:textId="7BE5A737" w:rsidR="00C20BBB" w:rsidRDefault="00C20BBB" w:rsidP="0012437C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Art. 3 pkt 22 ustawy z dnia 29 listopada 2000 r. – Prawo atomowe (Dz. U. z 2019</w:t>
      </w:r>
      <w:r w:rsidRPr="006B00F0">
        <w:t xml:space="preserve"> r. poz.</w:t>
      </w:r>
      <w:r>
        <w:t xml:space="preserve"> 1</w:t>
      </w:r>
      <w:r w:rsidRPr="006B00F0">
        <w:t>7</w:t>
      </w:r>
      <w:r>
        <w:t>9</w:t>
      </w:r>
      <w:r w:rsidRPr="006B00F0">
        <w:t>2</w:t>
      </w:r>
      <w:r>
        <w:t xml:space="preserve"> oraz z 2020 r. poz. 284 i 322).</w:t>
      </w:r>
    </w:p>
  </w:footnote>
  <w:footnote w:id="3">
    <w:p w14:paraId="0EDAF182" w14:textId="393C3C84" w:rsidR="00C20BBB" w:rsidRDefault="00C20BBB" w:rsidP="0012437C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Ustawa z 4 kwietnia 2014 r. o zmianie ustawy – Prawo atomowe oraz niektórych innych ustaw (Dz. U. z 2014 r. poz. 587) wdrożyła do polskiego porządku prawnego dyrektywę</w:t>
      </w:r>
      <w:r w:rsidRPr="00E45810">
        <w:t xml:space="preserve"> Rady 2011/70/Euratom ustanawiającej ramy wspólnotowe w zakresie odpowiedzialnego i bezpiecznego</w:t>
      </w:r>
      <w:r>
        <w:t xml:space="preserve"> gospodarowania</w:t>
      </w:r>
      <w:r w:rsidRPr="00E45810">
        <w:t xml:space="preserve"> wypalonym paliwem jądrowym i odpadami promieniotwórczym</w:t>
      </w:r>
      <w:r>
        <w:t xml:space="preserve"> (</w:t>
      </w:r>
      <w:r w:rsidRPr="00E45810">
        <w:t>Dz.</w:t>
      </w:r>
      <w:r>
        <w:t xml:space="preserve"> </w:t>
      </w:r>
      <w:r w:rsidRPr="00E45810">
        <w:t>U</w:t>
      </w:r>
      <w:r>
        <w:t>rz</w:t>
      </w:r>
      <w:r w:rsidRPr="00E45810">
        <w:t xml:space="preserve">. </w:t>
      </w:r>
      <w:r>
        <w:t>UE</w:t>
      </w:r>
      <w:r w:rsidRPr="00E45810">
        <w:t xml:space="preserve"> </w:t>
      </w:r>
      <w:r>
        <w:t xml:space="preserve">L </w:t>
      </w:r>
      <w:r w:rsidRPr="00E45810">
        <w:t>199</w:t>
      </w:r>
      <w:r>
        <w:t xml:space="preserve"> </w:t>
      </w:r>
      <w:r w:rsidRPr="00E45810">
        <w:t xml:space="preserve">z </w:t>
      </w:r>
      <w:r>
        <w:t>0</w:t>
      </w:r>
      <w:r w:rsidRPr="00E45810">
        <w:t>2</w:t>
      </w:r>
      <w:r>
        <w:t>.08.</w:t>
      </w:r>
      <w:r w:rsidRPr="00E45810">
        <w:t>2011</w:t>
      </w:r>
      <w:r>
        <w:t>, str. 48).</w:t>
      </w:r>
    </w:p>
  </w:footnote>
  <w:footnote w:id="4">
    <w:p w14:paraId="7157B547" w14:textId="3657A0B6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Raport dostępny na stronie MAEA: </w:t>
      </w:r>
      <w:hyperlink r:id="rId1" w:history="1">
        <w:r w:rsidRPr="0073499F">
          <w:rPr>
            <w:rStyle w:val="Hipercze"/>
          </w:rPr>
          <w:t>https://www.iaea.org/sites/default/files/documents/review-missions/artemis_poland_final_report_.pdf</w:t>
        </w:r>
      </w:hyperlink>
      <w:r>
        <w:t xml:space="preserve"> </w:t>
      </w:r>
    </w:p>
  </w:footnote>
  <w:footnote w:id="5">
    <w:p w14:paraId="006FB21E" w14:textId="42770338" w:rsidR="00C20BBB" w:rsidRDefault="00C20BBB" w:rsidP="0012437C">
      <w:pPr>
        <w:pStyle w:val="Tekstprzypisudolnego"/>
        <w:spacing w:line="240" w:lineRule="auto"/>
      </w:pPr>
    </w:p>
  </w:footnote>
  <w:footnote w:id="6">
    <w:p w14:paraId="5810CA9D" w14:textId="5F9632EE" w:rsidR="00C20BBB" w:rsidRDefault="00C20BBB" w:rsidP="004B54F5">
      <w:pPr>
        <w:pStyle w:val="Tekstprzypisudolnego"/>
      </w:pPr>
      <w:r>
        <w:rPr>
          <w:rStyle w:val="Odwoanieprzypisudolnego"/>
        </w:rPr>
        <w:footnoteRef/>
      </w:r>
      <w:r>
        <w:t xml:space="preserve"> Art. 47 ustawy – Prawo atomowe oraz </w:t>
      </w:r>
      <w:r w:rsidRPr="00385251">
        <w:t>Rozporządzenie Rady Ministrów</w:t>
      </w:r>
      <w:r w:rsidRPr="00A010C9">
        <w:t xml:space="preserve"> z dnia </w:t>
      </w:r>
      <w:r w:rsidRPr="00385251">
        <w:t xml:space="preserve">14 grudnia 2015 </w:t>
      </w:r>
      <w:r w:rsidRPr="00A010C9">
        <w:t>r.</w:t>
      </w:r>
      <w:r>
        <w:t xml:space="preserve"> w </w:t>
      </w:r>
      <w:r w:rsidRPr="002C6E1F">
        <w:t>sprawie odpadów promieniotwórczych i wypalonego paliwa jądrowego</w:t>
      </w:r>
      <w:r>
        <w:t xml:space="preserve"> (Dz. U. p</w:t>
      </w:r>
      <w:r w:rsidRPr="008F0E7B">
        <w:t xml:space="preserve">oz. </w:t>
      </w:r>
      <w:r>
        <w:t>2267</w:t>
      </w:r>
      <w:r w:rsidRPr="008F0E7B">
        <w:t>)</w:t>
      </w:r>
      <w:r>
        <w:t>.</w:t>
      </w:r>
    </w:p>
  </w:footnote>
  <w:footnote w:id="7">
    <w:p w14:paraId="1739DF33" w14:textId="29A6D097" w:rsidR="00C20BBB" w:rsidRPr="004F3445" w:rsidRDefault="00C20BBB" w:rsidP="003D7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Wartości </w:t>
      </w:r>
      <w:r w:rsidRPr="004F3445">
        <w:rPr>
          <w:rFonts w:cs="A"/>
          <w:bCs/>
        </w:rPr>
        <w:t>aktywności i stężenia promieniotwórczego</w:t>
      </w:r>
      <w:r>
        <w:t xml:space="preserve"> dla poszczególnych izotopów, </w:t>
      </w:r>
      <w:r w:rsidRPr="004F3445">
        <w:rPr>
          <w:rFonts w:cs="A"/>
          <w:bCs/>
        </w:rPr>
        <w:t>stanowiące podstawę kwalifikowania odpadów do kategorii odpadów promieniotwórczych</w:t>
      </w:r>
      <w:r>
        <w:t xml:space="preserve"> określa Załącznik Nr 1 do rozporządzenia Rady Ministrów </w:t>
      </w:r>
      <w:r w:rsidRPr="00BB691A">
        <w:t>z dnia 14 grudnia 2015 r. w sprawie odpadów promieniotwórczych i wypalonego paliwa jądrowego</w:t>
      </w:r>
      <w:r>
        <w:t>.</w:t>
      </w:r>
      <w:r>
        <w:rPr>
          <w:rFonts w:cs="A"/>
          <w:bCs/>
        </w:rPr>
        <w:t xml:space="preserve"> </w:t>
      </w:r>
    </w:p>
  </w:footnote>
  <w:footnote w:id="8">
    <w:p w14:paraId="223477A1" w14:textId="77777777" w:rsidR="00C20BBB" w:rsidRPr="006B6EF9" w:rsidRDefault="00C20BBB" w:rsidP="002409E6">
      <w:pPr>
        <w:pStyle w:val="Tekstprzypisudolnego"/>
        <w:rPr>
          <w:rFonts w:cs="Calibri"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6B6EF9">
        <w:rPr>
          <w:rFonts w:cs="Calibri"/>
          <w:bCs/>
        </w:rPr>
        <w:t>Zużyte zamknięte źródła</w:t>
      </w:r>
      <w:r>
        <w:rPr>
          <w:rFonts w:cs="Calibri"/>
          <w:bCs/>
        </w:rPr>
        <w:t xml:space="preserve"> promieniotwórcze tworzą dodatkową kategorię odpadów promieniotwórczych.  </w:t>
      </w:r>
    </w:p>
  </w:footnote>
  <w:footnote w:id="9">
    <w:p w14:paraId="51DE15A2" w14:textId="418B9B91" w:rsidR="00C20BBB" w:rsidRDefault="00C20BBB" w:rsidP="00CC69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Przyjęty uchwałą Rady Ministrów nr 15/2014 z dnia 28 stycznia 2014 r. w sprawie programu wieloletniego pod nazwą „Program polskiej energetyki jądrowej” (M.P. poz. 502). Zob. także: Komunikat Ministra Gospodarki z dnia 28 maja 2014 r. o podjęciu przez Radę Ministrów uchwały w sprawie programu wieloletniego pod nazwą „Program polskiej energetyki jądrowej” (M.P. poz. 503).</w:t>
      </w:r>
    </w:p>
  </w:footnote>
  <w:footnote w:id="10">
    <w:p w14:paraId="4FF0BFE4" w14:textId="46C80436" w:rsidR="00C20BBB" w:rsidRDefault="00C20BBB" w:rsidP="005B410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</w:t>
      </w:r>
      <w:r w:rsidRPr="000E79BF">
        <w:t>zporządzeni</w:t>
      </w:r>
      <w:r>
        <w:t>e</w:t>
      </w:r>
      <w:r w:rsidRPr="000E79BF">
        <w:t xml:space="preserve"> </w:t>
      </w:r>
      <w:r>
        <w:t xml:space="preserve">Rady Ministrów z dnia 10 października 2012 r. </w:t>
      </w:r>
      <w:r w:rsidRPr="000E79BF">
        <w:t>w sprawie wysokości wpłaty na pokrycie kosztów końcowego postępowania z wypalonym paliwem jądrowym i odpadami promieniotwórczymi oraz na pokrycie kosztów likwidacji elektrowni jądrowej dokonywanej przez jednostkę organizacyjną, która otrzymała zezwolenie na eksploatację elektrowni jądrowej</w:t>
      </w:r>
      <w:r>
        <w:t xml:space="preserve"> (</w:t>
      </w:r>
      <w:r w:rsidRPr="000E79BF">
        <w:rPr>
          <w:bCs/>
        </w:rPr>
        <w:t>Dz. U.</w:t>
      </w:r>
      <w:r>
        <w:rPr>
          <w:bCs/>
        </w:rPr>
        <w:t xml:space="preserve"> </w:t>
      </w:r>
      <w:r w:rsidRPr="000E79BF">
        <w:rPr>
          <w:bCs/>
        </w:rPr>
        <w:t>poz. 1213</w:t>
      </w:r>
      <w:r>
        <w:rPr>
          <w:bCs/>
        </w:rPr>
        <w:t>).</w:t>
      </w:r>
    </w:p>
  </w:footnote>
  <w:footnote w:id="11">
    <w:p w14:paraId="61FE7813" w14:textId="77777777" w:rsidR="00C20BBB" w:rsidRDefault="00C20BBB" w:rsidP="0006058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gdyby elektrownia jądrowa nie pracowała w </w:t>
      </w:r>
      <w:r w:rsidRPr="00482A14">
        <w:rPr>
          <w:rFonts w:cs="Calibri"/>
        </w:rPr>
        <w:t>podstawie obciążenia systemu lub będzie okresowo wyłączana z ruchu, wprowadzony zostanie inny system rozliczeń – np. uzależniający odpisy na Fundusze od każdego zestawu paliwowego umieszczonego w reaktorze</w:t>
      </w:r>
      <w:r>
        <w:rPr>
          <w:rFonts w:ascii="Arial" w:hAnsi="Arial" w:cs="Arial"/>
        </w:rPr>
        <w:t>.</w:t>
      </w:r>
    </w:p>
  </w:footnote>
  <w:footnote w:id="12">
    <w:p w14:paraId="7A516078" w14:textId="1498AE12" w:rsidR="00C20BBB" w:rsidRDefault="00C20BBB" w:rsidP="00505B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133 ustawy z dnia 27 sierpnia 2009 r. o finansach publicznych ( </w:t>
      </w:r>
      <w:r w:rsidRPr="00407ED8">
        <w:t>Dz.U. z 2019 r. poz. 869</w:t>
      </w:r>
      <w:r>
        <w:t xml:space="preserve"> z późn. zm.). </w:t>
      </w:r>
    </w:p>
  </w:footnote>
  <w:footnote w:id="13">
    <w:p w14:paraId="1EEEC731" w14:textId="726AF2E4" w:rsidR="00C20BBB" w:rsidRDefault="00C20BBB" w:rsidP="005813E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784F93">
        <w:t xml:space="preserve">Po </w:t>
      </w:r>
      <w:r>
        <w:t>znalezieniu lokalizacji nowego NSPOP</w:t>
      </w:r>
      <w:r w:rsidRPr="00784F93">
        <w:t xml:space="preserve"> oraz </w:t>
      </w:r>
      <w:r>
        <w:t xml:space="preserve">po </w:t>
      </w:r>
      <w:r w:rsidRPr="00784F93">
        <w:t>dokładnym oszacowaniu kosztów</w:t>
      </w:r>
      <w:r>
        <w:t xml:space="preserve"> realizacji powyższego przedsięwzięcia</w:t>
      </w:r>
      <w:r w:rsidRPr="00784F93">
        <w:t xml:space="preserve">, </w:t>
      </w:r>
      <w:r w:rsidRPr="00784F93">
        <w:rPr>
          <w:bCs/>
        </w:rPr>
        <w:t>dla zapewnienia finansowania i uproszczenia procedury uruchamiania środków finansowych</w:t>
      </w:r>
      <w:r>
        <w:rPr>
          <w:bCs/>
        </w:rPr>
        <w:t>,</w:t>
      </w:r>
      <w:r w:rsidRPr="00784F93">
        <w:t xml:space="preserve"> M</w:t>
      </w:r>
      <w:r>
        <w:t>K</w:t>
      </w:r>
      <w:r w:rsidRPr="00784F93">
        <w:t xml:space="preserve"> wystąpi do Rady Ministrów z wnioskiem o utworzenie</w:t>
      </w:r>
      <w:r>
        <w:t xml:space="preserve"> </w:t>
      </w:r>
      <w:r w:rsidRPr="00784F93">
        <w:rPr>
          <w:bCs/>
        </w:rPr>
        <w:t xml:space="preserve">programu wieloletniego (w rozumieniu </w:t>
      </w:r>
      <w:r w:rsidRPr="00784F93">
        <w:t>art. 136 ustawy o finansach publicznych</w:t>
      </w:r>
      <w:r>
        <w:t>) na zamknięcie KSOP RÓŻAN (</w:t>
      </w:r>
      <w:r w:rsidRPr="00A35C0F">
        <w:t>dodatkowe środki z budżetu państwa</w:t>
      </w:r>
      <w:r>
        <w:t>)</w:t>
      </w:r>
      <w:r w:rsidRPr="00EA03AE">
        <w:t>.</w:t>
      </w:r>
    </w:p>
    <w:p w14:paraId="495C7658" w14:textId="77777777" w:rsidR="00C20BBB" w:rsidRDefault="00C20BBB" w:rsidP="005813EA">
      <w:pPr>
        <w:pStyle w:val="Tekstprzypisudolnego"/>
        <w:jc w:val="both"/>
      </w:pPr>
    </w:p>
  </w:footnote>
  <w:footnote w:id="14">
    <w:p w14:paraId="7B34FC1C" w14:textId="35C72004" w:rsidR="00C20BBB" w:rsidRDefault="00C20BBB" w:rsidP="005813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84F93">
        <w:t>Po</w:t>
      </w:r>
      <w:r>
        <w:t xml:space="preserve"> wyborze </w:t>
      </w:r>
      <w:r w:rsidRPr="00784F93">
        <w:t xml:space="preserve">lokalizacji </w:t>
      </w:r>
      <w:r>
        <w:t>NSPOP</w:t>
      </w:r>
      <w:r w:rsidRPr="00784F93">
        <w:t xml:space="preserve"> oraz </w:t>
      </w:r>
      <w:r>
        <w:t xml:space="preserve">po </w:t>
      </w:r>
      <w:r w:rsidRPr="00784F93">
        <w:t>dokładnym oszacowaniu kosztów</w:t>
      </w:r>
      <w:r>
        <w:t xml:space="preserve"> realizacji powyższego</w:t>
      </w:r>
      <w:r w:rsidRPr="00784F93">
        <w:t xml:space="preserve">, </w:t>
      </w:r>
      <w:r w:rsidRPr="00784F93">
        <w:rPr>
          <w:bCs/>
        </w:rPr>
        <w:t>dla zapewnienia finansowania i uproszczenia procedury uruchamiania środków finansowych</w:t>
      </w:r>
      <w:r>
        <w:rPr>
          <w:bCs/>
        </w:rPr>
        <w:t>,</w:t>
      </w:r>
      <w:r w:rsidRPr="00784F93">
        <w:t xml:space="preserve"> M</w:t>
      </w:r>
      <w:r>
        <w:t>E</w:t>
      </w:r>
      <w:r w:rsidRPr="00784F93">
        <w:t xml:space="preserve"> wystąpi do Rady Ministrów z wnioskiem o utworzenie</w:t>
      </w:r>
      <w:r>
        <w:t xml:space="preserve"> </w:t>
      </w:r>
      <w:r w:rsidRPr="00784F93">
        <w:rPr>
          <w:bCs/>
        </w:rPr>
        <w:t xml:space="preserve">programu wieloletniego (w rozumieniu </w:t>
      </w:r>
      <w:r w:rsidRPr="00784F93">
        <w:t>art. 136 ustawy o finansach publicznych</w:t>
      </w:r>
      <w:r>
        <w:t>) na budowę</w:t>
      </w:r>
      <w:r w:rsidRPr="00EA03AE">
        <w:t xml:space="preserve"> nowego składowiska powierzchniowego odpadów promieniotwórczych</w:t>
      </w:r>
      <w:r>
        <w:t xml:space="preserve"> (</w:t>
      </w:r>
      <w:r w:rsidRPr="00A35C0F">
        <w:t>dodatkowe środki z budżetu państwa</w:t>
      </w:r>
      <w:r>
        <w:t>)</w:t>
      </w:r>
      <w:r w:rsidRPr="00EA03AE">
        <w:t>.</w:t>
      </w:r>
    </w:p>
  </w:footnote>
  <w:footnote w:id="15">
    <w:p w14:paraId="3AB8BED3" w14:textId="77777777" w:rsidR="00C20BBB" w:rsidRDefault="00C20BBB" w:rsidP="007317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Zakłada się, że w przypadku budowy</w:t>
      </w:r>
      <w:r w:rsidRPr="00B27307">
        <w:t xml:space="preserve"> składowiska</w:t>
      </w:r>
      <w:r>
        <w:t xml:space="preserve"> </w:t>
      </w:r>
      <w:r w:rsidRPr="00B27307">
        <w:t xml:space="preserve">głębokiego </w:t>
      </w:r>
      <w:r>
        <w:t xml:space="preserve">w miejscu istnienia laboratorium, zostanie wykorzystana istniejąca infrastruktura wjazdowa i techniczna. Pozwoli to skrócić czas budowy jak i zaoszczędzić środki finansowe. </w:t>
      </w:r>
    </w:p>
  </w:footnote>
  <w:footnote w:id="16">
    <w:p w14:paraId="5C7D79D8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Podmioty gospodarcze będą przygotowywać kadry we własnym zakresie i zostanie to uwzględnione w kolejnej aktualizacji Krajowego planu.</w:t>
      </w:r>
    </w:p>
  </w:footnote>
  <w:footnote w:id="17">
    <w:p w14:paraId="54B84176" w14:textId="405AA42F" w:rsidR="00C20BBB" w:rsidRDefault="00C20BBB" w:rsidP="00A608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F4496">
        <w:t xml:space="preserve">Raport </w:t>
      </w:r>
      <w:r>
        <w:t xml:space="preserve">roczny </w:t>
      </w:r>
      <w:r w:rsidRPr="001F4496">
        <w:t>Prezesa PAA</w:t>
      </w:r>
      <w:r>
        <w:t xml:space="preserve"> </w:t>
      </w:r>
      <w:r w:rsidRPr="001F4496">
        <w:t>,,</w:t>
      </w:r>
      <w:r w:rsidRPr="001F4496">
        <w:rPr>
          <w:rFonts w:cs="Calibri"/>
          <w:bCs/>
          <w:szCs w:val="40"/>
        </w:rPr>
        <w:t>Działalność Prezesa Państwowej</w:t>
      </w:r>
      <w:r>
        <w:rPr>
          <w:rFonts w:cs="Calibri"/>
          <w:bCs/>
          <w:szCs w:val="40"/>
        </w:rPr>
        <w:t xml:space="preserve"> </w:t>
      </w:r>
      <w:r w:rsidRPr="001F4496">
        <w:rPr>
          <w:rFonts w:cs="Calibri"/>
          <w:bCs/>
          <w:szCs w:val="40"/>
        </w:rPr>
        <w:t>Agencji Atomistyki oraz ocena stanu bezpieczeństwa jądrowego i ochrony radiologicznej w Polsce w 201</w:t>
      </w:r>
      <w:r>
        <w:rPr>
          <w:rFonts w:cs="Calibri"/>
          <w:bCs/>
          <w:szCs w:val="40"/>
        </w:rPr>
        <w:t>8</w:t>
      </w:r>
      <w:r w:rsidRPr="001F4496">
        <w:rPr>
          <w:rFonts w:cs="Calibri"/>
          <w:bCs/>
          <w:szCs w:val="40"/>
        </w:rPr>
        <w:t xml:space="preserve"> r</w:t>
      </w:r>
      <w:r>
        <w:rPr>
          <w:rFonts w:cs="Calibri"/>
          <w:bCs/>
          <w:szCs w:val="40"/>
        </w:rPr>
        <w:t>.”, Warszawa 2019 r., str. 22.</w:t>
      </w:r>
    </w:p>
  </w:footnote>
  <w:footnote w:id="18">
    <w:p w14:paraId="3BB43E95" w14:textId="3ABD95A4" w:rsidR="00C20BBB" w:rsidRDefault="00C20BBB" w:rsidP="002C1173">
      <w:pPr>
        <w:jc w:val="both"/>
      </w:pPr>
      <w:r w:rsidRPr="00E24A7C">
        <w:rPr>
          <w:rStyle w:val="Odwoanieprzypisudolnego"/>
          <w:sz w:val="18"/>
          <w:szCs w:val="18"/>
        </w:rPr>
        <w:footnoteRef/>
      </w:r>
      <w:r w:rsidRPr="00E24A7C">
        <w:rPr>
          <w:sz w:val="18"/>
          <w:szCs w:val="18"/>
        </w:rPr>
        <w:t xml:space="preserve"> Odpady długożyciowe w przyszłości t</w:t>
      </w:r>
      <w:r>
        <w:rPr>
          <w:sz w:val="18"/>
          <w:szCs w:val="18"/>
        </w:rPr>
        <w:t>rafią do SGOP w celu składowania</w:t>
      </w:r>
      <w:r w:rsidRPr="00E24A7C">
        <w:rPr>
          <w:sz w:val="18"/>
          <w:szCs w:val="18"/>
        </w:rPr>
        <w:t xml:space="preserve">, a wcześniej do </w:t>
      </w:r>
      <w:r>
        <w:rPr>
          <w:sz w:val="18"/>
          <w:szCs w:val="18"/>
        </w:rPr>
        <w:t xml:space="preserve">NSPOP, gdzie będą dalej przechowywane.  </w:t>
      </w:r>
    </w:p>
  </w:footnote>
  <w:footnote w:id="19">
    <w:p w14:paraId="0CD1B77E" w14:textId="07303697" w:rsidR="00C20BBB" w:rsidRDefault="00C20BBB" w:rsidP="00A400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S. Chwaszczewski „Analiza wysokości wpłat na pokrycie kosztów końcowego postępowania z wypalonym paliwem jądrowym i odpadami promieniotwórczymi oraz na pokrycie kosztów likwidacji elektrowni jądrowej”, Raport NCBJ, luty 2012 r. </w:t>
      </w:r>
    </w:p>
    <w:p w14:paraId="64791CAF" w14:textId="77777777" w:rsidR="00C20BBB" w:rsidRDefault="00C20BBB" w:rsidP="00A40081">
      <w:pPr>
        <w:pStyle w:val="Tekstprzypisudolnego"/>
        <w:jc w:val="both"/>
      </w:pPr>
    </w:p>
  </w:footnote>
  <w:footnote w:id="20">
    <w:p w14:paraId="154E6375" w14:textId="77777777" w:rsidR="00C20BBB" w:rsidRDefault="00C20BBB" w:rsidP="0002298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84F93">
        <w:t>A.</w:t>
      </w:r>
      <w:r>
        <w:t xml:space="preserve"> </w:t>
      </w:r>
      <w:r w:rsidRPr="00784F93">
        <w:t>Hryczuk, A.</w:t>
      </w:r>
      <w:r>
        <w:t xml:space="preserve"> Cholerzyński „</w:t>
      </w:r>
      <w:r w:rsidRPr="00DB1018">
        <w:t>Wstępny plan likwidacji reaktora MARIA”, Instytutu Energii</w:t>
      </w:r>
      <w:r w:rsidRPr="00203DE5">
        <w:rPr>
          <w:b/>
        </w:rPr>
        <w:t xml:space="preserve"> </w:t>
      </w:r>
      <w:r w:rsidRPr="00784F93">
        <w:t>Atomowej</w:t>
      </w:r>
      <w:r>
        <w:t xml:space="preserve"> –</w:t>
      </w:r>
      <w:r w:rsidRPr="00784F93">
        <w:t xml:space="preserve"> ORB</w:t>
      </w:r>
      <w:r>
        <w:t>,</w:t>
      </w:r>
      <w:r w:rsidRPr="00784F93">
        <w:t xml:space="preserve"> 12.1998</w:t>
      </w:r>
      <w:r>
        <w:t xml:space="preserve"> r.</w:t>
      </w:r>
    </w:p>
  </w:footnote>
  <w:footnote w:id="21">
    <w:p w14:paraId="7B4A38F8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Dane przyjęte w niniejszym wyliczeniu różnią się od danych w przyjętych w rozdziale 3.2. i 3.3, z uwagi na zastosowanie uśrednionej ilości odpadów promieniotwórczych w znacznie dłuższym okresie czasu, tj. 120 lat.</w:t>
      </w:r>
    </w:p>
  </w:footnote>
  <w:footnote w:id="22">
    <w:p w14:paraId="69788E82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48a ust. 1 ustawy – Prawo atomowe.</w:t>
      </w:r>
    </w:p>
  </w:footnote>
  <w:footnote w:id="23">
    <w:p w14:paraId="50FFFA5A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114 ustawy – Prawo atomowe.</w:t>
      </w:r>
    </w:p>
  </w:footnote>
  <w:footnote w:id="24">
    <w:p w14:paraId="07342278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48a ust. 1 ustawy- Prawo atomowe.</w:t>
      </w:r>
    </w:p>
  </w:footnote>
  <w:footnote w:id="25">
    <w:p w14:paraId="761B0BEA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48b ust. 2 ustawy- Prawo atomowe.</w:t>
      </w:r>
    </w:p>
  </w:footnote>
  <w:footnote w:id="26">
    <w:p w14:paraId="06A5044D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47 ust. 1 – 1c ustawy- Prawo atomowe.</w:t>
      </w:r>
    </w:p>
  </w:footnote>
  <w:footnote w:id="27">
    <w:p w14:paraId="03A2ADDB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49 ust. 1 – 1d ustawy – Prawo atomowe. </w:t>
      </w:r>
    </w:p>
  </w:footnote>
  <w:footnote w:id="28">
    <w:p w14:paraId="12F460A9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56 ust. 2 ustawy – Prawo atomowe.</w:t>
      </w:r>
    </w:p>
  </w:footnote>
  <w:footnote w:id="29">
    <w:p w14:paraId="442CEC6A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50 ust. 1 ustawy – Prawo atomowe.</w:t>
      </w:r>
    </w:p>
  </w:footnote>
  <w:footnote w:id="30">
    <w:p w14:paraId="0A76811E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3 pkt 44 ustawy - Prawo atomowe.</w:t>
      </w:r>
    </w:p>
  </w:footnote>
  <w:footnote w:id="31">
    <w:p w14:paraId="7F4410DF" w14:textId="77777777" w:rsidR="00C20BBB" w:rsidRDefault="00C20BBB" w:rsidP="000C6F14">
      <w:pPr>
        <w:pStyle w:val="Tekstprzypisudolnego"/>
      </w:pPr>
      <w:r>
        <w:rPr>
          <w:rStyle w:val="Odwoanieprzypisudolnego"/>
        </w:rPr>
        <w:footnoteRef/>
      </w:r>
      <w:r>
        <w:t xml:space="preserve"> Art. 52 ust. 3 ustawy – Prawo atomowe. </w:t>
      </w:r>
    </w:p>
  </w:footnote>
  <w:footnote w:id="32">
    <w:p w14:paraId="714824F5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55b ustawy – Prawo atomowe.</w:t>
      </w:r>
    </w:p>
  </w:footnote>
  <w:footnote w:id="33">
    <w:p w14:paraId="77BEC535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47 ust. 1c ustawy – Prawo atomowe.</w:t>
      </w:r>
    </w:p>
  </w:footnote>
  <w:footnote w:id="34">
    <w:p w14:paraId="6CA08C58" w14:textId="7A2EC209" w:rsidR="00C20BBB" w:rsidRDefault="00C20BBB" w:rsidP="002A67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Cs/>
        </w:rPr>
        <w:t>P</w:t>
      </w:r>
      <w:r w:rsidRPr="007D3D1C">
        <w:rPr>
          <w:bCs/>
        </w:rPr>
        <w:t>olski reaktor jądrowy eksploatowany w latach 1958 – 1995</w:t>
      </w:r>
      <w:r w:rsidRPr="00BE4E13">
        <w:t>.</w:t>
      </w:r>
      <w:r w:rsidRPr="00BC3DB2">
        <w:t xml:space="preserve"> Od 1997 r. znajduje się w stanie likwidacji</w:t>
      </w:r>
      <w:r>
        <w:t>.</w:t>
      </w:r>
    </w:p>
  </w:footnote>
  <w:footnote w:id="35">
    <w:p w14:paraId="6635032D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Zob. rozdział 9.</w:t>
      </w:r>
    </w:p>
  </w:footnote>
  <w:footnote w:id="36">
    <w:p w14:paraId="1AC7D541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</w:t>
      </w:r>
      <w:r w:rsidRPr="00B26519">
        <w:t>rt.</w:t>
      </w:r>
      <w:r>
        <w:t xml:space="preserve"> </w:t>
      </w:r>
      <w:r w:rsidRPr="00B26519">
        <w:t xml:space="preserve">48 ust. 1 </w:t>
      </w:r>
      <w:r>
        <w:t>ustawy – Prawo atomowe.</w:t>
      </w:r>
      <w:r w:rsidRPr="00B26519">
        <w:t xml:space="preserve">  </w:t>
      </w:r>
    </w:p>
  </w:footnote>
  <w:footnote w:id="37">
    <w:p w14:paraId="7F4CD469" w14:textId="77777777" w:rsidR="00C20BBB" w:rsidRDefault="00C20BBB" w:rsidP="00B436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Zob. Sprawozdanie końcowe z realizacji w latach 1997 – 1999 r. Strategicznego Programu Rządowego</w:t>
      </w:r>
    </w:p>
    <w:p w14:paraId="417DAA05" w14:textId="77777777" w:rsidR="00C20BBB" w:rsidRDefault="00C20BBB" w:rsidP="002A6705">
      <w:pPr>
        <w:pStyle w:val="Tekstprzypisudolnego"/>
        <w:jc w:val="both"/>
      </w:pPr>
      <w:r>
        <w:t>,,Gospodarka odpadami promieniotwórczymi i wypalonym paliwem jądrowym w Polsce”, PAA, Warszawa, czerwiec 2000 r.</w:t>
      </w:r>
    </w:p>
  </w:footnote>
  <w:footnote w:id="38">
    <w:p w14:paraId="0CF04E9F" w14:textId="77777777" w:rsidR="00C20BBB" w:rsidRDefault="00C20BBB" w:rsidP="001F57FA">
      <w:pPr>
        <w:pStyle w:val="Tekstprzypisudolnego"/>
      </w:pPr>
      <w:r>
        <w:rPr>
          <w:rStyle w:val="Odwoanieprzypisudolnego"/>
        </w:rPr>
        <w:footnoteRef/>
      </w:r>
      <w:r>
        <w:t xml:space="preserve"> Art. 62e ust.2 ustawy – Prawo atomowe.</w:t>
      </w:r>
    </w:p>
  </w:footnote>
  <w:footnote w:id="39">
    <w:p w14:paraId="7A04E434" w14:textId="77777777" w:rsidR="00C20BBB" w:rsidRDefault="00C20BBB" w:rsidP="00C369E8">
      <w:pPr>
        <w:pStyle w:val="Tekstprzypisudolnego"/>
      </w:pPr>
      <w:r>
        <w:rPr>
          <w:rStyle w:val="Odwoanieprzypisudolnego"/>
        </w:rPr>
        <w:footnoteRef/>
      </w:r>
      <w:r>
        <w:t xml:space="preserve"> Art. 3 pkt 9 ustawy – Prawo atomowe.</w:t>
      </w:r>
    </w:p>
  </w:footnote>
  <w:footnote w:id="40">
    <w:p w14:paraId="28B392CE" w14:textId="77777777" w:rsidR="00C20BBB" w:rsidRDefault="00C20BBB" w:rsidP="00872645">
      <w:pPr>
        <w:pStyle w:val="Tekstprzypisudolnego"/>
      </w:pPr>
      <w:r>
        <w:rPr>
          <w:rStyle w:val="Odwoanieprzypisudolnego"/>
        </w:rPr>
        <w:footnoteRef/>
      </w:r>
      <w:r>
        <w:t xml:space="preserve"> Art. 38b ust. 2 ustawy – Prawo atomowe</w:t>
      </w:r>
    </w:p>
  </w:footnote>
  <w:footnote w:id="41">
    <w:p w14:paraId="0C13C2AE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38a ustawy – Prawo atomowe.</w:t>
      </w:r>
    </w:p>
  </w:footnote>
  <w:footnote w:id="42">
    <w:p w14:paraId="6D203884" w14:textId="77777777" w:rsidR="00C20BBB" w:rsidRDefault="00C20BBB" w:rsidP="00C369E8">
      <w:pPr>
        <w:pStyle w:val="Tekstprzypisudolnego"/>
      </w:pPr>
      <w:r>
        <w:rPr>
          <w:rStyle w:val="Odwoanieprzypisudolnego"/>
        </w:rPr>
        <w:footnoteRef/>
      </w:r>
      <w:r>
        <w:t xml:space="preserve"> Art. 35 ust. 2 ustawy – Prawo atomowe.</w:t>
      </w:r>
    </w:p>
  </w:footnote>
  <w:footnote w:id="43">
    <w:p w14:paraId="08251FB6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Zob. rozdział 8.</w:t>
      </w:r>
    </w:p>
  </w:footnote>
  <w:footnote w:id="44">
    <w:p w14:paraId="133E310F" w14:textId="75DA1053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Rady Ministrów z dnia 11 lutego 2013 r. w sprawie wymagań bezpieczeństwa jądrowego i ochrony radiologicznej dla etapu likwidacji obiektów jądrowych oraz zawartości raportu z likwidacji obiektu jądrowego (Dz.U. poz. 270).</w:t>
      </w:r>
    </w:p>
  </w:footnote>
  <w:footnote w:id="45">
    <w:p w14:paraId="53ECB8CE" w14:textId="77777777" w:rsidR="00C20BBB" w:rsidRDefault="00C20BBB" w:rsidP="001D1588">
      <w:pPr>
        <w:pStyle w:val="Tekstprzypisudolnego"/>
      </w:pPr>
      <w:r>
        <w:rPr>
          <w:rStyle w:val="Odwoanieprzypisudolnego"/>
        </w:rPr>
        <w:footnoteRef/>
      </w:r>
      <w:r>
        <w:t xml:space="preserve"> Art. 55e ustawy - -Prawo atomowe.</w:t>
      </w:r>
    </w:p>
  </w:footnote>
  <w:footnote w:id="46">
    <w:p w14:paraId="3B7AA50E" w14:textId="77777777" w:rsidR="00C20BBB" w:rsidRDefault="00C20BBB" w:rsidP="001D1588">
      <w:pPr>
        <w:pStyle w:val="Tekstprzypisudolnego"/>
      </w:pPr>
      <w:r>
        <w:rPr>
          <w:rStyle w:val="Odwoanieprzypisudolnego"/>
        </w:rPr>
        <w:footnoteRef/>
      </w:r>
      <w:r>
        <w:t xml:space="preserve"> Art. 55j ust. 1 ustawy – Prawo atomowe.</w:t>
      </w:r>
    </w:p>
  </w:footnote>
  <w:footnote w:id="47">
    <w:p w14:paraId="6B1AEB57" w14:textId="77777777" w:rsidR="00C20BBB" w:rsidRDefault="00C20BBB" w:rsidP="001D1588">
      <w:pPr>
        <w:pStyle w:val="Tekstprzypisudolnego"/>
      </w:pPr>
      <w:r>
        <w:rPr>
          <w:rStyle w:val="Odwoanieprzypisudolnego"/>
        </w:rPr>
        <w:footnoteRef/>
      </w:r>
      <w:r>
        <w:t xml:space="preserve"> Art. 55j ust. 3 ustawy – Prawo atomowe.</w:t>
      </w:r>
    </w:p>
  </w:footnote>
  <w:footnote w:id="48">
    <w:p w14:paraId="71C8CCE9" w14:textId="2710F318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B06">
        <w:t>Rozporządzenie Rady (Euratom) 2018/1563 z dnia 15 października 2018 r. w sprawie programu badawczo-szkoleniowego Europejskiej Wspólnoty Energii Atomowej (2019–2020) uzupełniającego „Horyzont 2020” – program ramowy w zakresie badań naukowych i innowacji, a także uchylające rozporządzenie (Euratom) nr 1314/2013</w:t>
      </w:r>
    </w:p>
  </w:footnote>
  <w:footnote w:id="49">
    <w:p w14:paraId="02C35FF8" w14:textId="00AE6F3E" w:rsidR="00C20BBB" w:rsidRDefault="00C20BBB" w:rsidP="002A6705">
      <w:pPr>
        <w:pStyle w:val="Tekstprzypisudolnego"/>
        <w:jc w:val="both"/>
      </w:pPr>
      <w:r w:rsidRPr="00A9714B">
        <w:rPr>
          <w:rStyle w:val="Odwoanieprzypisudolnego"/>
        </w:rPr>
        <w:footnoteRef/>
      </w:r>
      <w:r>
        <w:t xml:space="preserve"> Art. 57</w:t>
      </w:r>
      <w:r w:rsidRPr="00A9714B">
        <w:t>c ustawy - Prawo atomowe. Ponadto</w:t>
      </w:r>
      <w:r>
        <w:t>,</w:t>
      </w:r>
      <w:r w:rsidRPr="00A9714B">
        <w:t xml:space="preserve"> zgodnie z art. </w:t>
      </w:r>
      <w:r>
        <w:t>7a</w:t>
      </w:r>
      <w:r w:rsidRPr="00A9714B">
        <w:t xml:space="preserve"> ust. 2 pkt </w:t>
      </w:r>
      <w:r>
        <w:t>2</w:t>
      </w:r>
      <w:r w:rsidRPr="00A9714B">
        <w:t xml:space="preserve"> ustawy z dnia 4 września 1997 r. </w:t>
      </w:r>
      <w:r w:rsidRPr="00FF1840">
        <w:t>o</w:t>
      </w:r>
      <w:r>
        <w:t> </w:t>
      </w:r>
      <w:r w:rsidRPr="00FF1840">
        <w:t xml:space="preserve">działach administracji rządowej </w:t>
      </w:r>
      <w:r w:rsidRPr="00891DAB">
        <w:t>(Dz.U. z 2019 r. poz. 945</w:t>
      </w:r>
      <w:r>
        <w:t xml:space="preserve"> z późn. zm.)</w:t>
      </w:r>
      <w:r>
        <w:rPr>
          <w:rStyle w:val="Hipercze"/>
        </w:rPr>
        <w:t xml:space="preserve"> </w:t>
      </w:r>
      <w:r w:rsidRPr="009A093B">
        <w:t xml:space="preserve">minister właściwy ds. </w:t>
      </w:r>
      <w:r>
        <w:t>energii</w:t>
      </w:r>
      <w:r w:rsidRPr="00072F87">
        <w:t xml:space="preserve"> odpowiada za całokształt </w:t>
      </w:r>
      <w:r w:rsidRPr="00683530">
        <w:t xml:space="preserve">działalności związanej z wykorzystaniem energii </w:t>
      </w:r>
      <w:r>
        <w:t>jądrowej</w:t>
      </w:r>
      <w:r w:rsidRPr="00683530">
        <w:t xml:space="preserve"> na potrzeby społeczno-gospodarcze kraju.</w:t>
      </w:r>
    </w:p>
  </w:footnote>
  <w:footnote w:id="50">
    <w:p w14:paraId="1C456E35" w14:textId="2566BE16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110 ustawy – Prawo atomowe.</w:t>
      </w:r>
    </w:p>
  </w:footnote>
  <w:footnote w:id="51">
    <w:p w14:paraId="2EA1BB2D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4 ust. 1 ustawy – Prawo atomowe.</w:t>
      </w:r>
    </w:p>
  </w:footnote>
  <w:footnote w:id="52">
    <w:p w14:paraId="0D96889D" w14:textId="77777777" w:rsidR="00C20BBB" w:rsidRDefault="00C20BBB" w:rsidP="000A1CFD">
      <w:pPr>
        <w:pStyle w:val="Tekstprzypisudolnego"/>
      </w:pPr>
      <w:r>
        <w:rPr>
          <w:rStyle w:val="Odwoanieprzypisudolnego"/>
        </w:rPr>
        <w:footnoteRef/>
      </w:r>
      <w:r>
        <w:t xml:space="preserve"> Art. 56 ust. 1 i art. 114 ust. 1 ustawy - Prawo atomowe.</w:t>
      </w:r>
    </w:p>
  </w:footnote>
  <w:footnote w:id="53">
    <w:p w14:paraId="6303ABA6" w14:textId="77777777" w:rsidR="00C20BBB" w:rsidRDefault="00C20BBB" w:rsidP="000A1CFD">
      <w:pPr>
        <w:pStyle w:val="Tekstprzypisudolnego"/>
      </w:pPr>
      <w:r>
        <w:rPr>
          <w:rStyle w:val="Odwoanieprzypisudolnego"/>
        </w:rPr>
        <w:footnoteRef/>
      </w:r>
      <w:r>
        <w:t xml:space="preserve"> Art. 56 ust. 2 ustawy – Prawo atomowe.</w:t>
      </w:r>
    </w:p>
  </w:footnote>
  <w:footnote w:id="54">
    <w:p w14:paraId="1EDCFD7C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48a ust. 1 ustawy – Prawo atomowe.</w:t>
      </w:r>
    </w:p>
  </w:footnote>
  <w:footnote w:id="55">
    <w:p w14:paraId="1EF55364" w14:textId="77777777" w:rsidR="00C20BBB" w:rsidRDefault="00C20BBB" w:rsidP="00C76CB6">
      <w:pPr>
        <w:pStyle w:val="Tekstprzypisudolnego"/>
      </w:pPr>
      <w:r>
        <w:rPr>
          <w:rStyle w:val="Odwoanieprzypisudolnego"/>
        </w:rPr>
        <w:footnoteRef/>
      </w:r>
      <w:r>
        <w:t xml:space="preserve"> Art. 38d ust. 1 i 2 ustawy – Prawo atomowe.</w:t>
      </w:r>
    </w:p>
  </w:footnote>
  <w:footnote w:id="56">
    <w:p w14:paraId="448CF8E5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 Art. 38b ust. 2 ustawy – Prawo atomowe.</w:t>
      </w:r>
    </w:p>
  </w:footnote>
  <w:footnote w:id="57">
    <w:p w14:paraId="6F3553A9" w14:textId="3EEE3E44" w:rsidR="00C20BBB" w:rsidRDefault="00C20BBB" w:rsidP="00C53D8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7122D">
        <w:t>Rozporządzenie Rady Ministrów z dnia 10 października 2012 r. w sprawie wysokości wpłaty na pokrycie kosztów końcowego postępowania z wypalonym paliwem jądrowym i odpadami promieniotwórczymi oraz na pokrycie kosztów likwidacji elektrowni jądrowej dokonywanej przez jednostkę organizacyjną, która otrzymała zezwolenie na eksploatację elektrowni jądrowej</w:t>
      </w:r>
      <w:r>
        <w:t xml:space="preserve"> (Dz. U. poz. 1213). </w:t>
      </w:r>
    </w:p>
  </w:footnote>
  <w:footnote w:id="58">
    <w:p w14:paraId="6BD77EDE" w14:textId="77777777" w:rsidR="00C20BBB" w:rsidRDefault="00C20BBB" w:rsidP="00C53D8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38d ust. 7 ustawy – Prawo atomowe.</w:t>
      </w:r>
    </w:p>
  </w:footnote>
  <w:footnote w:id="59">
    <w:p w14:paraId="452AE9E2" w14:textId="77777777" w:rsidR="00C20BBB" w:rsidRDefault="00C20BBB" w:rsidP="00C76CB6">
      <w:pPr>
        <w:pStyle w:val="Tekstprzypisudolnego"/>
      </w:pPr>
      <w:r>
        <w:rPr>
          <w:rStyle w:val="Odwoanieprzypisudolnego"/>
        </w:rPr>
        <w:footnoteRef/>
      </w:r>
      <w:r>
        <w:t xml:space="preserve"> Art. 38d ustawy – Prawo atomowe.</w:t>
      </w:r>
    </w:p>
  </w:footnote>
  <w:footnote w:id="60">
    <w:p w14:paraId="1A5B57D9" w14:textId="77777777" w:rsidR="00C20BBB" w:rsidRDefault="00C20BBB" w:rsidP="00C76CB6">
      <w:pPr>
        <w:pStyle w:val="Tekstprzypisudolnego"/>
      </w:pPr>
      <w:r>
        <w:rPr>
          <w:rStyle w:val="Odwoanieprzypisudolnego"/>
        </w:rPr>
        <w:footnoteRef/>
      </w:r>
      <w:r>
        <w:t xml:space="preserve"> Art. 119 ust. 1 ustawy – Prawo atomowe. </w:t>
      </w:r>
    </w:p>
  </w:footnote>
  <w:footnote w:id="61">
    <w:p w14:paraId="3D45E404" w14:textId="77777777" w:rsidR="00C20BBB" w:rsidRDefault="00C20BBB" w:rsidP="00C76CB6">
      <w:pPr>
        <w:pStyle w:val="Tekstprzypisudolnego"/>
      </w:pPr>
      <w:r>
        <w:rPr>
          <w:rStyle w:val="Odwoanieprzypisudolnego"/>
        </w:rPr>
        <w:footnoteRef/>
      </w:r>
      <w:r>
        <w:t xml:space="preserve"> Art. 119 ust. 1a ustawy- Prawo atomowe.</w:t>
      </w:r>
    </w:p>
  </w:footnote>
  <w:footnote w:id="62">
    <w:p w14:paraId="2F350854" w14:textId="5F632662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4FB4">
        <w:t>Dz.U. 2002 nr 202 poz. 1704</w:t>
      </w:r>
    </w:p>
  </w:footnote>
  <w:footnote w:id="63">
    <w:p w14:paraId="7E2A26E6" w14:textId="6EFBC8AB" w:rsidR="00C20BBB" w:rsidRDefault="00C20BBB" w:rsidP="00C53D8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E4FB4">
        <w:t>Oświadczenie Rządowe z dnia 5 grudnia 2001 r. w sprawie mocy obowiązującej Wspólnej konwencji bezpieczeństwa w postępowaniu z odpadami promieniotwórczymi, sporządzonej w Wiedniu dnia 5 września 1997 r.</w:t>
      </w:r>
      <w:r>
        <w:t xml:space="preserve"> (</w:t>
      </w:r>
      <w:r w:rsidRPr="008E4FB4">
        <w:t xml:space="preserve">Dz.U. </w:t>
      </w:r>
      <w:r>
        <w:t xml:space="preserve">z </w:t>
      </w:r>
      <w:r w:rsidRPr="008E4FB4">
        <w:t>2002 r</w:t>
      </w:r>
      <w:r>
        <w:t>.,</w:t>
      </w:r>
      <w:r w:rsidRPr="008E4FB4">
        <w:t xml:space="preserve"> poz. 1705</w:t>
      </w:r>
      <w:r>
        <w:t>)</w:t>
      </w:r>
    </w:p>
  </w:footnote>
  <w:footnote w:id="64">
    <w:p w14:paraId="3D495288" w14:textId="77777777" w:rsidR="00C20BBB" w:rsidRDefault="00C20BBB" w:rsidP="00EF1964">
      <w:pPr>
        <w:pStyle w:val="Tekstprzypisudolnego"/>
      </w:pPr>
      <w:r>
        <w:rPr>
          <w:rStyle w:val="Odwoanieprzypisudolnego"/>
        </w:rPr>
        <w:footnoteRef/>
      </w:r>
      <w:r>
        <w:t xml:space="preserve"> Art. 4 i 11 Wspólnej konwencji.</w:t>
      </w:r>
    </w:p>
  </w:footnote>
  <w:footnote w:id="65">
    <w:p w14:paraId="40F00685" w14:textId="77777777" w:rsidR="00C20BBB" w:rsidRDefault="00C20BBB" w:rsidP="00EF1964">
      <w:pPr>
        <w:pStyle w:val="Tekstprzypisudolnego"/>
      </w:pPr>
      <w:r>
        <w:rPr>
          <w:rStyle w:val="Odwoanieprzypisudolnego"/>
        </w:rPr>
        <w:footnoteRef/>
      </w:r>
      <w:r>
        <w:t xml:space="preserve"> Art. 30 i 32 Wspólnej konwencji.</w:t>
      </w:r>
    </w:p>
  </w:footnote>
  <w:footnote w:id="66">
    <w:p w14:paraId="5336F15C" w14:textId="77777777" w:rsidR="00C20BBB" w:rsidRDefault="00C20BBB" w:rsidP="00EF19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271E">
        <w:rPr>
          <w:iCs/>
        </w:rPr>
        <w:t xml:space="preserve">Dz. Urz. UE C </w:t>
      </w:r>
      <w:r>
        <w:rPr>
          <w:iCs/>
        </w:rPr>
        <w:t>327 z 26.10.2012, str. 20.</w:t>
      </w:r>
    </w:p>
  </w:footnote>
  <w:footnote w:id="67">
    <w:p w14:paraId="7DD6367A" w14:textId="77777777" w:rsidR="00C20BBB" w:rsidRDefault="00C20BBB" w:rsidP="00EF19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6872">
        <w:rPr>
          <w:iCs/>
        </w:rPr>
        <w:t>Dz. Urz. UE L 279</w:t>
      </w:r>
      <w:r>
        <w:rPr>
          <w:iCs/>
        </w:rPr>
        <w:t xml:space="preserve"> </w:t>
      </w:r>
      <w:r w:rsidRPr="00BB6872">
        <w:rPr>
          <w:iCs/>
        </w:rPr>
        <w:t>z 23.10.2010</w:t>
      </w:r>
      <w:r>
        <w:rPr>
          <w:iCs/>
        </w:rPr>
        <w:t>,  str. 36.</w:t>
      </w:r>
    </w:p>
  </w:footnote>
  <w:footnote w:id="68">
    <w:p w14:paraId="1DF4E148" w14:textId="77777777" w:rsidR="00C20BBB" w:rsidRDefault="00C20BBB" w:rsidP="00EF19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271E">
        <w:rPr>
          <w:iCs/>
        </w:rPr>
        <w:t>Dz. Urz. UE L 337 z 5.12.2006</w:t>
      </w:r>
      <w:r>
        <w:rPr>
          <w:iCs/>
        </w:rPr>
        <w:t>, str. 21.</w:t>
      </w:r>
    </w:p>
  </w:footnote>
  <w:footnote w:id="69">
    <w:p w14:paraId="56733D7A" w14:textId="40728517" w:rsidR="00C20BBB" w:rsidRDefault="00C20BBB" w:rsidP="00EF1964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A4763B">
        <w:t>Dz.U. z 2018 r. poz. 792</w:t>
      </w:r>
      <w:r>
        <w:t>, z późn. zm.</w:t>
      </w:r>
    </w:p>
  </w:footnote>
  <w:footnote w:id="70">
    <w:p w14:paraId="1E0A659D" w14:textId="4C4E4A1F" w:rsidR="00C20BBB" w:rsidRDefault="00C20BBB" w:rsidP="003645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Rady Ministrów z dnia 21 października 2008 r. w sprawie udzielania zezwolenia oraz zgody na przywóz na terytorium Rzeczypospolitej Polskiej, wywóz z terytorium Rzeczypospolitej Polskiej i tranzyt przez to terytorium odpadów promieniotwórczych i wypalonego paliwa jądrowego (Dz. U. poz. 1402). </w:t>
      </w:r>
    </w:p>
  </w:footnote>
  <w:footnote w:id="71">
    <w:p w14:paraId="0FE8E7EB" w14:textId="77777777" w:rsidR="00C20BBB" w:rsidRPr="00356846" w:rsidRDefault="00C20BBB" w:rsidP="00EF1964">
      <w:pPr>
        <w:pStyle w:val="Tekstprzypisudolnego"/>
        <w:rPr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FA1910">
        <w:rPr>
          <w:iCs/>
        </w:rPr>
        <w:t>Dz. Urz. UE L 330</w:t>
      </w:r>
      <w:r>
        <w:rPr>
          <w:iCs/>
        </w:rPr>
        <w:t xml:space="preserve"> </w:t>
      </w:r>
      <w:r w:rsidRPr="00FA1910">
        <w:rPr>
          <w:iCs/>
        </w:rPr>
        <w:t>z 28.11.2006</w:t>
      </w:r>
      <w:r>
        <w:rPr>
          <w:iCs/>
        </w:rPr>
        <w:t>, str. 31.</w:t>
      </w:r>
    </w:p>
  </w:footnote>
  <w:footnote w:id="72">
    <w:p w14:paraId="7515D877" w14:textId="77777777" w:rsidR="00C20BBB" w:rsidRDefault="00C20BBB" w:rsidP="0035684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Instalacja jądrowa w zaleceniu została zdefiniowana jako </w:t>
      </w:r>
      <w:r w:rsidRPr="0084248E">
        <w:t>obiekt cywilny i powiązany</w:t>
      </w:r>
      <w:r>
        <w:t xml:space="preserve"> z nim teren, budynki </w:t>
      </w:r>
      <w:r w:rsidRPr="0084248E">
        <w:t>i wyposażenie, w którym są</w:t>
      </w:r>
      <w:r>
        <w:t xml:space="preserve"> produko</w:t>
      </w:r>
      <w:r w:rsidRPr="0084248E">
        <w:t>wane, przetwarzane, obsługiwane, przechowywane lub</w:t>
      </w:r>
      <w:r>
        <w:t xml:space="preserve"> </w:t>
      </w:r>
      <w:r w:rsidRPr="0084248E">
        <w:t xml:space="preserve">unieszkodliwiane materiały </w:t>
      </w:r>
      <w:r>
        <w:t>promieniotwórcze</w:t>
      </w:r>
      <w:r w:rsidRPr="0084248E">
        <w:t>.</w:t>
      </w:r>
    </w:p>
  </w:footnote>
  <w:footnote w:id="73">
    <w:p w14:paraId="621E52FA" w14:textId="77777777" w:rsidR="00C20BBB" w:rsidRDefault="00C20BBB" w:rsidP="00EF1964">
      <w:pPr>
        <w:pStyle w:val="Tekstprzypisudolnego"/>
      </w:pPr>
      <w:r>
        <w:rPr>
          <w:rStyle w:val="Odwoanieprzypisudolnego"/>
        </w:rPr>
        <w:footnoteRef/>
      </w:r>
      <w:r>
        <w:t xml:space="preserve"> Niepublikowana.</w:t>
      </w:r>
    </w:p>
  </w:footnote>
  <w:footnote w:id="74">
    <w:p w14:paraId="40622380" w14:textId="77777777" w:rsidR="00C20BBB" w:rsidRDefault="00C20BBB" w:rsidP="00EF1964">
      <w:pPr>
        <w:pStyle w:val="Tekstprzypisudolnego"/>
      </w:pPr>
      <w:r>
        <w:rPr>
          <w:rStyle w:val="Odwoanieprzypisudolnego"/>
        </w:rPr>
        <w:footnoteRef/>
      </w:r>
      <w:r>
        <w:t xml:space="preserve"> Niepublikowana.</w:t>
      </w:r>
    </w:p>
  </w:footnote>
  <w:footnote w:id="75">
    <w:p w14:paraId="0FF8C7CF" w14:textId="77777777" w:rsidR="00C20BBB" w:rsidRDefault="00C20BBB" w:rsidP="00EF1964">
      <w:pPr>
        <w:pStyle w:val="Tekstprzypisudolnego"/>
      </w:pPr>
      <w:r>
        <w:rPr>
          <w:rStyle w:val="Odwoanieprzypisudolnego"/>
        </w:rPr>
        <w:footnoteRef/>
      </w:r>
      <w:r>
        <w:t xml:space="preserve"> Niepublikowana.</w:t>
      </w:r>
    </w:p>
  </w:footnote>
  <w:footnote w:id="76">
    <w:p w14:paraId="39ED82D2" w14:textId="722D68D6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73499F">
          <w:rPr>
            <w:rStyle w:val="Hipercze"/>
          </w:rPr>
          <w:t>https://www.iaea.org/sites/default/files/documents/review-missions/artemis_poland_final_report_.pdf</w:t>
        </w:r>
      </w:hyperlink>
    </w:p>
  </w:footnote>
  <w:footnote w:id="77">
    <w:p w14:paraId="56160FAA" w14:textId="456FE8B5" w:rsidR="00C20BBB" w:rsidRDefault="00C20BBB" w:rsidP="008F37C0">
      <w:pPr>
        <w:pStyle w:val="Tekstprzypisudolnego"/>
        <w:ind w:firstLine="357"/>
      </w:pPr>
      <w:r>
        <w:rPr>
          <w:rStyle w:val="Odwoanieprzypisudolnego"/>
        </w:rPr>
        <w:footnoteRef/>
      </w:r>
      <w:r>
        <w:t xml:space="preserve"> </w:t>
      </w:r>
      <w:r w:rsidRPr="00151855">
        <w:t>Dz.U. z 20</w:t>
      </w:r>
      <w:r>
        <w:t>20</w:t>
      </w:r>
      <w:r w:rsidRPr="00151855">
        <w:t xml:space="preserve"> r. poz. 28</w:t>
      </w:r>
      <w:r>
        <w:t>3</w:t>
      </w:r>
      <w:r w:rsidRPr="00EC4972">
        <w:t>, z późn. zm.</w:t>
      </w:r>
    </w:p>
  </w:footnote>
  <w:footnote w:id="78">
    <w:p w14:paraId="2763C0D4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35a ustawy - Prawo atomowe.</w:t>
      </w:r>
    </w:p>
  </w:footnote>
  <w:footnote w:id="79">
    <w:p w14:paraId="38E95736" w14:textId="2FD616B3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 Dz.U. poz. 1839.</w:t>
      </w:r>
    </w:p>
  </w:footnote>
  <w:footnote w:id="80">
    <w:p w14:paraId="6AC3966B" w14:textId="77777777" w:rsidR="00C20BBB" w:rsidRDefault="00C20BBB">
      <w:pPr>
        <w:pStyle w:val="Tekstprzypisudolnego"/>
      </w:pPr>
      <w:r>
        <w:rPr>
          <w:rStyle w:val="Odwoanieprzypisudolnego"/>
        </w:rPr>
        <w:footnoteRef/>
      </w:r>
      <w:r>
        <w:t xml:space="preserve"> Art. 39d i art. 55n ustawy - Prawo atomowe.</w:t>
      </w:r>
    </w:p>
  </w:footnote>
  <w:footnote w:id="81">
    <w:p w14:paraId="6C6E84F9" w14:textId="77777777" w:rsidR="00C20BBB" w:rsidRDefault="00C20BBB" w:rsidP="00980222">
      <w:pPr>
        <w:pStyle w:val="Tekstprzypisudolnego"/>
      </w:pPr>
      <w:r>
        <w:rPr>
          <w:rStyle w:val="Odwoanieprzypisudolnego"/>
        </w:rPr>
        <w:footnoteRef/>
      </w:r>
      <w:r>
        <w:t xml:space="preserve"> Art. 57 ustawy – Prawo atomowe.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3821EE"/>
    <w:multiLevelType w:val="hybridMultilevel"/>
    <w:tmpl w:val="BDA62DD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EF6CD6"/>
    <w:multiLevelType w:val="hybridMultilevel"/>
    <w:tmpl w:val="3FBA452E"/>
    <w:lvl w:ilvl="0" w:tplc="0C3C975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D5147"/>
    <w:multiLevelType w:val="hybridMultilevel"/>
    <w:tmpl w:val="A36C0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336DC3"/>
    <w:multiLevelType w:val="hybridMultilevel"/>
    <w:tmpl w:val="A36C0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8345F0"/>
    <w:multiLevelType w:val="hybridMultilevel"/>
    <w:tmpl w:val="32601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BE04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E902B9"/>
    <w:multiLevelType w:val="hybridMultilevel"/>
    <w:tmpl w:val="416C4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3C4839"/>
    <w:multiLevelType w:val="hybridMultilevel"/>
    <w:tmpl w:val="F4A2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619A3"/>
    <w:multiLevelType w:val="hybridMultilevel"/>
    <w:tmpl w:val="8A7651C8"/>
    <w:lvl w:ilvl="0" w:tplc="DF96068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B1548B"/>
    <w:multiLevelType w:val="multilevel"/>
    <w:tmpl w:val="9768E9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32"/>
      </w:rPr>
    </w:lvl>
    <w:lvl w:ilvl="1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840D4"/>
    <w:multiLevelType w:val="hybridMultilevel"/>
    <w:tmpl w:val="A242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E1562"/>
    <w:multiLevelType w:val="hybridMultilevel"/>
    <w:tmpl w:val="1B86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6744D"/>
    <w:multiLevelType w:val="hybridMultilevel"/>
    <w:tmpl w:val="1298B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6805E7"/>
    <w:multiLevelType w:val="hybridMultilevel"/>
    <w:tmpl w:val="5CA8F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E46D0"/>
    <w:multiLevelType w:val="hybridMultilevel"/>
    <w:tmpl w:val="C652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5661A"/>
    <w:multiLevelType w:val="hybridMultilevel"/>
    <w:tmpl w:val="0B308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31B3F"/>
    <w:multiLevelType w:val="hybridMultilevel"/>
    <w:tmpl w:val="F8989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624069E"/>
    <w:multiLevelType w:val="hybridMultilevel"/>
    <w:tmpl w:val="171E2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020BD"/>
    <w:multiLevelType w:val="hybridMultilevel"/>
    <w:tmpl w:val="495A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8C5D02"/>
    <w:multiLevelType w:val="hybridMultilevel"/>
    <w:tmpl w:val="04D4BA86"/>
    <w:lvl w:ilvl="0" w:tplc="3EA48D04">
      <w:start w:val="1"/>
      <w:numFmt w:val="bullet"/>
      <w:lvlText w:val="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BD4AE7"/>
    <w:multiLevelType w:val="multilevel"/>
    <w:tmpl w:val="A24C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167059"/>
    <w:multiLevelType w:val="hybridMultilevel"/>
    <w:tmpl w:val="236E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B0820"/>
    <w:multiLevelType w:val="hybridMultilevel"/>
    <w:tmpl w:val="BA42EA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EF6040"/>
    <w:multiLevelType w:val="hybridMultilevel"/>
    <w:tmpl w:val="8BA83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215CE9"/>
    <w:multiLevelType w:val="hybridMultilevel"/>
    <w:tmpl w:val="5E5414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05F1849"/>
    <w:multiLevelType w:val="hybridMultilevel"/>
    <w:tmpl w:val="11706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E0AE6"/>
    <w:multiLevelType w:val="hybridMultilevel"/>
    <w:tmpl w:val="A428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2B389F"/>
    <w:multiLevelType w:val="hybridMultilevel"/>
    <w:tmpl w:val="DD186B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474389C"/>
    <w:multiLevelType w:val="hybridMultilevel"/>
    <w:tmpl w:val="04FCA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5B308BE"/>
    <w:multiLevelType w:val="hybridMultilevel"/>
    <w:tmpl w:val="3B66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67334F0"/>
    <w:multiLevelType w:val="hybridMultilevel"/>
    <w:tmpl w:val="C48A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2B2EA1"/>
    <w:multiLevelType w:val="hybridMultilevel"/>
    <w:tmpl w:val="3BDA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AD1CFA"/>
    <w:multiLevelType w:val="hybridMultilevel"/>
    <w:tmpl w:val="39EEB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4747C8"/>
    <w:multiLevelType w:val="hybridMultilevel"/>
    <w:tmpl w:val="F31C0F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E04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A4B2B2B"/>
    <w:multiLevelType w:val="hybridMultilevel"/>
    <w:tmpl w:val="829AF294"/>
    <w:lvl w:ilvl="0" w:tplc="0C3C9752">
      <w:start w:val="1"/>
      <w:numFmt w:val="bullet"/>
      <w:lvlText w:val="–"/>
      <w:lvlJc w:val="left"/>
      <w:pPr>
        <w:ind w:left="15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2A6B043C"/>
    <w:multiLevelType w:val="hybridMultilevel"/>
    <w:tmpl w:val="4B265F22"/>
    <w:lvl w:ilvl="0" w:tplc="0C3C975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BD66353"/>
    <w:multiLevelType w:val="hybridMultilevel"/>
    <w:tmpl w:val="7180A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D06711"/>
    <w:multiLevelType w:val="hybridMultilevel"/>
    <w:tmpl w:val="738C25A0"/>
    <w:lvl w:ilvl="0" w:tplc="294C9018">
      <w:start w:val="1"/>
      <w:numFmt w:val="bullet"/>
      <w:pStyle w:val="Mwyp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D041C4C"/>
    <w:multiLevelType w:val="hybridMultilevel"/>
    <w:tmpl w:val="79287D0C"/>
    <w:lvl w:ilvl="0" w:tplc="0C3C975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2D9732B1"/>
    <w:multiLevelType w:val="hybridMultilevel"/>
    <w:tmpl w:val="FEBC1FF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DEF72E3"/>
    <w:multiLevelType w:val="hybridMultilevel"/>
    <w:tmpl w:val="6DBAE3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EE07DF6"/>
    <w:multiLevelType w:val="hybridMultilevel"/>
    <w:tmpl w:val="437C4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315BB6"/>
    <w:multiLevelType w:val="hybridMultilevel"/>
    <w:tmpl w:val="443E601A"/>
    <w:lvl w:ilvl="0" w:tplc="2CC4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14E36E8"/>
    <w:multiLevelType w:val="hybridMultilevel"/>
    <w:tmpl w:val="40928DE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4" w15:restartNumberingAfterBreak="0">
    <w:nsid w:val="31AE243A"/>
    <w:multiLevelType w:val="hybridMultilevel"/>
    <w:tmpl w:val="0220CE5A"/>
    <w:lvl w:ilvl="0" w:tplc="0415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5" w15:restartNumberingAfterBreak="0">
    <w:nsid w:val="32F645D7"/>
    <w:multiLevelType w:val="hybridMultilevel"/>
    <w:tmpl w:val="8A7A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4590B12"/>
    <w:multiLevelType w:val="hybridMultilevel"/>
    <w:tmpl w:val="A01498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4881005"/>
    <w:multiLevelType w:val="hybridMultilevel"/>
    <w:tmpl w:val="63AC20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69A7198"/>
    <w:multiLevelType w:val="hybridMultilevel"/>
    <w:tmpl w:val="4D843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CA3204"/>
    <w:multiLevelType w:val="hybridMultilevel"/>
    <w:tmpl w:val="FA262A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7D23684"/>
    <w:multiLevelType w:val="hybridMultilevel"/>
    <w:tmpl w:val="6C124A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8165051"/>
    <w:multiLevelType w:val="hybridMultilevel"/>
    <w:tmpl w:val="F170FA0C"/>
    <w:lvl w:ilvl="0" w:tplc="0C3C975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8746C7D"/>
    <w:multiLevelType w:val="hybridMultilevel"/>
    <w:tmpl w:val="C43A8AD4"/>
    <w:lvl w:ilvl="0" w:tplc="80E0B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8DE611B"/>
    <w:multiLevelType w:val="multilevel"/>
    <w:tmpl w:val="2FF0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3B514B10"/>
    <w:multiLevelType w:val="hybridMultilevel"/>
    <w:tmpl w:val="D60E75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5966C4"/>
    <w:multiLevelType w:val="hybridMultilevel"/>
    <w:tmpl w:val="92B24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73168A"/>
    <w:multiLevelType w:val="hybridMultilevel"/>
    <w:tmpl w:val="E3FE171A"/>
    <w:lvl w:ilvl="0" w:tplc="0C3C975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EBF5E37"/>
    <w:multiLevelType w:val="hybridMultilevel"/>
    <w:tmpl w:val="60283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6948C5"/>
    <w:multiLevelType w:val="hybridMultilevel"/>
    <w:tmpl w:val="FF1EE0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0997A6E"/>
    <w:multiLevelType w:val="hybridMultilevel"/>
    <w:tmpl w:val="5BFA1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1CB4CD0"/>
    <w:multiLevelType w:val="hybridMultilevel"/>
    <w:tmpl w:val="772EA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2F73C60"/>
    <w:multiLevelType w:val="hybridMultilevel"/>
    <w:tmpl w:val="16F867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A093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31965F4"/>
    <w:multiLevelType w:val="hybridMultilevel"/>
    <w:tmpl w:val="397813BE"/>
    <w:lvl w:ilvl="0" w:tplc="0C3C975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3723907"/>
    <w:multiLevelType w:val="hybridMultilevel"/>
    <w:tmpl w:val="1DF817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615B8E"/>
    <w:multiLevelType w:val="hybridMultilevel"/>
    <w:tmpl w:val="25802B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5D41F8F"/>
    <w:multiLevelType w:val="hybridMultilevel"/>
    <w:tmpl w:val="CD443F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8466F2D"/>
    <w:multiLevelType w:val="hybridMultilevel"/>
    <w:tmpl w:val="A4281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FA5734"/>
    <w:multiLevelType w:val="hybridMultilevel"/>
    <w:tmpl w:val="420E5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406E9A"/>
    <w:multiLevelType w:val="hybridMultilevel"/>
    <w:tmpl w:val="5896E9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B50050F"/>
    <w:multiLevelType w:val="hybridMultilevel"/>
    <w:tmpl w:val="9A88BE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B6B10C1"/>
    <w:multiLevelType w:val="hybridMultilevel"/>
    <w:tmpl w:val="D75EB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BBD5D2B"/>
    <w:multiLevelType w:val="hybridMultilevel"/>
    <w:tmpl w:val="2FCC1788"/>
    <w:lvl w:ilvl="0" w:tplc="3DCAC1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7894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1C0F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C696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20F0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46CB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72A4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B03B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90EA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2" w15:restartNumberingAfterBreak="0">
    <w:nsid w:val="4E473549"/>
    <w:multiLevelType w:val="hybridMultilevel"/>
    <w:tmpl w:val="F92CBADE"/>
    <w:lvl w:ilvl="0" w:tplc="E234A5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73" w15:restartNumberingAfterBreak="0">
    <w:nsid w:val="4EBB1EB6"/>
    <w:multiLevelType w:val="hybridMultilevel"/>
    <w:tmpl w:val="3C32A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0285FAE"/>
    <w:multiLevelType w:val="hybridMultilevel"/>
    <w:tmpl w:val="B2FA9C5C"/>
    <w:lvl w:ilvl="0" w:tplc="A4E0D07C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08F44E7"/>
    <w:multiLevelType w:val="hybridMultilevel"/>
    <w:tmpl w:val="2DB4CCEC"/>
    <w:lvl w:ilvl="0" w:tplc="DF96068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6" w15:restartNumberingAfterBreak="0">
    <w:nsid w:val="50FF1E82"/>
    <w:multiLevelType w:val="hybridMultilevel"/>
    <w:tmpl w:val="3A2C2D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3564FCA"/>
    <w:multiLevelType w:val="hybridMultilevel"/>
    <w:tmpl w:val="91A83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3746270"/>
    <w:multiLevelType w:val="hybridMultilevel"/>
    <w:tmpl w:val="580AF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F44B6B"/>
    <w:multiLevelType w:val="hybridMultilevel"/>
    <w:tmpl w:val="FB0A6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196F1D"/>
    <w:multiLevelType w:val="hybridMultilevel"/>
    <w:tmpl w:val="045222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51C566B"/>
    <w:multiLevelType w:val="hybridMultilevel"/>
    <w:tmpl w:val="FE7ECB52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2" w15:restartNumberingAfterBreak="0">
    <w:nsid w:val="553A6CE9"/>
    <w:multiLevelType w:val="hybridMultilevel"/>
    <w:tmpl w:val="0F7A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1C2DBF"/>
    <w:multiLevelType w:val="hybridMultilevel"/>
    <w:tmpl w:val="326E11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8BC6304"/>
    <w:multiLevelType w:val="hybridMultilevel"/>
    <w:tmpl w:val="B1FEE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3515CD"/>
    <w:multiLevelType w:val="hybridMultilevel"/>
    <w:tmpl w:val="04AED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A7F7E37"/>
    <w:multiLevelType w:val="hybridMultilevel"/>
    <w:tmpl w:val="C6D8DB54"/>
    <w:lvl w:ilvl="0" w:tplc="0C3C97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AA5228"/>
    <w:multiLevelType w:val="hybridMultilevel"/>
    <w:tmpl w:val="26D65A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5C0574FE"/>
    <w:multiLevelType w:val="hybridMultilevel"/>
    <w:tmpl w:val="124A208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5CC9549A"/>
    <w:multiLevelType w:val="hybridMultilevel"/>
    <w:tmpl w:val="9A5C4F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06712E1"/>
    <w:multiLevelType w:val="hybridMultilevel"/>
    <w:tmpl w:val="CD1075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14F5DFB"/>
    <w:multiLevelType w:val="hybridMultilevel"/>
    <w:tmpl w:val="4FC807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1C51328"/>
    <w:multiLevelType w:val="hybridMultilevel"/>
    <w:tmpl w:val="ADBA46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6222181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5">
      <w:start w:val="1"/>
      <w:numFmt w:val="upperLetter"/>
      <w:lvlText w:val="%3."/>
      <w:lvlJc w:val="left"/>
      <w:pPr>
        <w:ind w:left="2160" w:hanging="18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1F40A39"/>
    <w:multiLevelType w:val="hybridMultilevel"/>
    <w:tmpl w:val="99FAA650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4" w15:restartNumberingAfterBreak="0">
    <w:nsid w:val="62CC6B0F"/>
    <w:multiLevelType w:val="hybridMultilevel"/>
    <w:tmpl w:val="F04C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3AC01C4"/>
    <w:multiLevelType w:val="hybridMultilevel"/>
    <w:tmpl w:val="F828B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D937C0"/>
    <w:multiLevelType w:val="hybridMultilevel"/>
    <w:tmpl w:val="074E9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AB12F9"/>
    <w:multiLevelType w:val="hybridMultilevel"/>
    <w:tmpl w:val="2B62A9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64A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657595B"/>
    <w:multiLevelType w:val="hybridMultilevel"/>
    <w:tmpl w:val="9BC6804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74B6A8C"/>
    <w:multiLevelType w:val="hybridMultilevel"/>
    <w:tmpl w:val="E882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7F8587C"/>
    <w:multiLevelType w:val="hybridMultilevel"/>
    <w:tmpl w:val="CA00FB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1" w15:restartNumberingAfterBreak="0">
    <w:nsid w:val="68E44DC0"/>
    <w:multiLevelType w:val="hybridMultilevel"/>
    <w:tmpl w:val="053C4A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9B768D1"/>
    <w:multiLevelType w:val="hybridMultilevel"/>
    <w:tmpl w:val="D9484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6A020B05"/>
    <w:multiLevelType w:val="hybridMultilevel"/>
    <w:tmpl w:val="C810B206"/>
    <w:lvl w:ilvl="0" w:tplc="0C3C9752">
      <w:start w:val="1"/>
      <w:numFmt w:val="bullet"/>
      <w:lvlText w:val="–"/>
      <w:lvlJc w:val="left"/>
      <w:pPr>
        <w:ind w:left="1560" w:hanging="360"/>
      </w:pPr>
      <w:rPr>
        <w:rFonts w:ascii="Times New Roman" w:hAnsi="Times New Roman" w:hint="default"/>
      </w:rPr>
    </w:lvl>
    <w:lvl w:ilvl="1" w:tplc="0C3C9752">
      <w:start w:val="1"/>
      <w:numFmt w:val="bullet"/>
      <w:lvlText w:val="–"/>
      <w:lvlJc w:val="left"/>
      <w:pPr>
        <w:ind w:left="228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4" w15:restartNumberingAfterBreak="0">
    <w:nsid w:val="6AD42018"/>
    <w:multiLevelType w:val="hybridMultilevel"/>
    <w:tmpl w:val="E9C6D71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B0D1570"/>
    <w:multiLevelType w:val="hybridMultilevel"/>
    <w:tmpl w:val="1D42CDCC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6" w15:restartNumberingAfterBreak="0">
    <w:nsid w:val="6B4E6DC7"/>
    <w:multiLevelType w:val="hybridMultilevel"/>
    <w:tmpl w:val="5BC4C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B5C09B5"/>
    <w:multiLevelType w:val="hybridMultilevel"/>
    <w:tmpl w:val="351C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402681"/>
    <w:multiLevelType w:val="hybridMultilevel"/>
    <w:tmpl w:val="12F48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6D982741"/>
    <w:multiLevelType w:val="hybridMultilevel"/>
    <w:tmpl w:val="64B257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F555BB8"/>
    <w:multiLevelType w:val="hybridMultilevel"/>
    <w:tmpl w:val="9768E976"/>
    <w:lvl w:ilvl="0" w:tplc="77A21CF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32"/>
      </w:rPr>
    </w:lvl>
    <w:lvl w:ilvl="1" w:tplc="2752DB24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3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F8935EF"/>
    <w:multiLevelType w:val="hybridMultilevel"/>
    <w:tmpl w:val="97480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9C1304"/>
    <w:multiLevelType w:val="hybridMultilevel"/>
    <w:tmpl w:val="55285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6FA860D5"/>
    <w:multiLevelType w:val="hybridMultilevel"/>
    <w:tmpl w:val="232802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7067629C"/>
    <w:multiLevelType w:val="hybridMultilevel"/>
    <w:tmpl w:val="723023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0BA5980"/>
    <w:multiLevelType w:val="hybridMultilevel"/>
    <w:tmpl w:val="DF6E0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064A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71CC7863"/>
    <w:multiLevelType w:val="hybridMultilevel"/>
    <w:tmpl w:val="7EF850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28479C6"/>
    <w:multiLevelType w:val="hybridMultilevel"/>
    <w:tmpl w:val="873EB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2CB14CB"/>
    <w:multiLevelType w:val="hybridMultilevel"/>
    <w:tmpl w:val="38E65A6C"/>
    <w:lvl w:ilvl="0" w:tplc="0C3C975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73EC6CCB"/>
    <w:multiLevelType w:val="hybridMultilevel"/>
    <w:tmpl w:val="C8E6B0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4424780"/>
    <w:multiLevelType w:val="hybridMultilevel"/>
    <w:tmpl w:val="9928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44E25D1"/>
    <w:multiLevelType w:val="hybridMultilevel"/>
    <w:tmpl w:val="F576701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74F9455D"/>
    <w:multiLevelType w:val="hybridMultilevel"/>
    <w:tmpl w:val="709C8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57F53AF"/>
    <w:multiLevelType w:val="hybridMultilevel"/>
    <w:tmpl w:val="5164B9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5A05BF4"/>
    <w:multiLevelType w:val="hybridMultilevel"/>
    <w:tmpl w:val="C55CE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5CF5055"/>
    <w:multiLevelType w:val="hybridMultilevel"/>
    <w:tmpl w:val="27460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77181354"/>
    <w:multiLevelType w:val="hybridMultilevel"/>
    <w:tmpl w:val="62F6D5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778631D3"/>
    <w:multiLevelType w:val="hybridMultilevel"/>
    <w:tmpl w:val="5FB07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7F94F42"/>
    <w:multiLevelType w:val="hybridMultilevel"/>
    <w:tmpl w:val="C89A6682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9" w15:restartNumberingAfterBreak="0">
    <w:nsid w:val="78064996"/>
    <w:multiLevelType w:val="hybridMultilevel"/>
    <w:tmpl w:val="F6B88D44"/>
    <w:lvl w:ilvl="0" w:tplc="D486A0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78163B72"/>
    <w:multiLevelType w:val="multilevel"/>
    <w:tmpl w:val="9768E9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32"/>
      </w:rPr>
    </w:lvl>
    <w:lvl w:ilvl="1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192246"/>
    <w:multiLevelType w:val="hybridMultilevel"/>
    <w:tmpl w:val="01A8D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9B55AC6"/>
    <w:multiLevelType w:val="hybridMultilevel"/>
    <w:tmpl w:val="4300BA7C"/>
    <w:lvl w:ilvl="0" w:tplc="0C3C97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543FB1"/>
    <w:multiLevelType w:val="hybridMultilevel"/>
    <w:tmpl w:val="46BAB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AA10C6"/>
    <w:multiLevelType w:val="hybridMultilevel"/>
    <w:tmpl w:val="6B32E9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7AFF6E31"/>
    <w:multiLevelType w:val="hybridMultilevel"/>
    <w:tmpl w:val="24D2D2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7BA24C11"/>
    <w:multiLevelType w:val="hybridMultilevel"/>
    <w:tmpl w:val="DC900CC6"/>
    <w:lvl w:ilvl="0" w:tplc="0C3C975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2"/>
  </w:num>
  <w:num w:numId="2">
    <w:abstractNumId w:val="133"/>
  </w:num>
  <w:num w:numId="3">
    <w:abstractNumId w:val="119"/>
  </w:num>
  <w:num w:numId="4">
    <w:abstractNumId w:val="101"/>
  </w:num>
  <w:num w:numId="5">
    <w:abstractNumId w:val="66"/>
  </w:num>
  <w:num w:numId="6">
    <w:abstractNumId w:val="122"/>
  </w:num>
  <w:num w:numId="7">
    <w:abstractNumId w:val="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32"/>
  </w:num>
  <w:num w:numId="11">
    <w:abstractNumId w:val="70"/>
  </w:num>
  <w:num w:numId="12">
    <w:abstractNumId w:val="79"/>
  </w:num>
  <w:num w:numId="13">
    <w:abstractNumId w:val="83"/>
  </w:num>
  <w:num w:numId="14">
    <w:abstractNumId w:val="4"/>
  </w:num>
  <w:num w:numId="15">
    <w:abstractNumId w:val="71"/>
  </w:num>
  <w:num w:numId="16">
    <w:abstractNumId w:val="72"/>
  </w:num>
  <w:num w:numId="17">
    <w:abstractNumId w:val="110"/>
  </w:num>
  <w:num w:numId="18">
    <w:abstractNumId w:val="19"/>
  </w:num>
  <w:num w:numId="19">
    <w:abstractNumId w:val="130"/>
  </w:num>
  <w:num w:numId="20">
    <w:abstractNumId w:val="9"/>
  </w:num>
  <w:num w:numId="21">
    <w:abstractNumId w:val="42"/>
  </w:num>
  <w:num w:numId="22">
    <w:abstractNumId w:val="108"/>
  </w:num>
  <w:num w:numId="23">
    <w:abstractNumId w:val="117"/>
  </w:num>
  <w:num w:numId="24">
    <w:abstractNumId w:val="20"/>
  </w:num>
  <w:num w:numId="25">
    <w:abstractNumId w:val="52"/>
  </w:num>
  <w:num w:numId="26">
    <w:abstractNumId w:val="123"/>
  </w:num>
  <w:num w:numId="27">
    <w:abstractNumId w:val="3"/>
  </w:num>
  <w:num w:numId="28">
    <w:abstractNumId w:val="29"/>
  </w:num>
  <w:num w:numId="29">
    <w:abstractNumId w:val="45"/>
  </w:num>
  <w:num w:numId="30">
    <w:abstractNumId w:val="102"/>
  </w:num>
  <w:num w:numId="31">
    <w:abstractNumId w:val="129"/>
  </w:num>
  <w:num w:numId="32">
    <w:abstractNumId w:val="125"/>
  </w:num>
  <w:num w:numId="33">
    <w:abstractNumId w:val="105"/>
  </w:num>
  <w:num w:numId="34">
    <w:abstractNumId w:val="59"/>
  </w:num>
  <w:num w:numId="35">
    <w:abstractNumId w:val="115"/>
  </w:num>
  <w:num w:numId="36">
    <w:abstractNumId w:val="5"/>
  </w:num>
  <w:num w:numId="37">
    <w:abstractNumId w:val="106"/>
  </w:num>
  <w:num w:numId="38">
    <w:abstractNumId w:val="89"/>
  </w:num>
  <w:num w:numId="39">
    <w:abstractNumId w:val="88"/>
  </w:num>
  <w:num w:numId="40">
    <w:abstractNumId w:val="46"/>
  </w:num>
  <w:num w:numId="41">
    <w:abstractNumId w:val="58"/>
  </w:num>
  <w:num w:numId="42">
    <w:abstractNumId w:val="93"/>
  </w:num>
  <w:num w:numId="43">
    <w:abstractNumId w:val="114"/>
  </w:num>
  <w:num w:numId="44">
    <w:abstractNumId w:val="40"/>
  </w:num>
  <w:num w:numId="45">
    <w:abstractNumId w:val="75"/>
  </w:num>
  <w:num w:numId="46">
    <w:abstractNumId w:val="121"/>
  </w:num>
  <w:num w:numId="47">
    <w:abstractNumId w:val="22"/>
  </w:num>
  <w:num w:numId="48">
    <w:abstractNumId w:val="98"/>
  </w:num>
  <w:num w:numId="49">
    <w:abstractNumId w:val="63"/>
  </w:num>
  <w:num w:numId="50">
    <w:abstractNumId w:val="132"/>
  </w:num>
  <w:num w:numId="51">
    <w:abstractNumId w:val="86"/>
  </w:num>
  <w:num w:numId="52">
    <w:abstractNumId w:val="34"/>
  </w:num>
  <w:num w:numId="53">
    <w:abstractNumId w:val="55"/>
  </w:num>
  <w:num w:numId="54">
    <w:abstractNumId w:val="124"/>
  </w:num>
  <w:num w:numId="55">
    <w:abstractNumId w:val="94"/>
  </w:num>
  <w:num w:numId="56">
    <w:abstractNumId w:val="28"/>
  </w:num>
  <w:num w:numId="57">
    <w:abstractNumId w:val="95"/>
  </w:num>
  <w:num w:numId="58">
    <w:abstractNumId w:val="77"/>
  </w:num>
  <w:num w:numId="59">
    <w:abstractNumId w:val="87"/>
  </w:num>
  <w:num w:numId="60">
    <w:abstractNumId w:val="57"/>
  </w:num>
  <w:num w:numId="61">
    <w:abstractNumId w:val="47"/>
  </w:num>
  <w:num w:numId="62">
    <w:abstractNumId w:val="23"/>
  </w:num>
  <w:num w:numId="63">
    <w:abstractNumId w:val="69"/>
  </w:num>
  <w:num w:numId="64">
    <w:abstractNumId w:val="107"/>
  </w:num>
  <w:num w:numId="65">
    <w:abstractNumId w:val="41"/>
  </w:num>
  <w:num w:numId="66">
    <w:abstractNumId w:val="36"/>
  </w:num>
  <w:num w:numId="67">
    <w:abstractNumId w:val="21"/>
  </w:num>
  <w:num w:numId="68">
    <w:abstractNumId w:val="65"/>
  </w:num>
  <w:num w:numId="69">
    <w:abstractNumId w:val="128"/>
  </w:num>
  <w:num w:numId="70">
    <w:abstractNumId w:val="7"/>
  </w:num>
  <w:num w:numId="71">
    <w:abstractNumId w:val="13"/>
  </w:num>
  <w:num w:numId="72">
    <w:abstractNumId w:val="67"/>
  </w:num>
  <w:num w:numId="73">
    <w:abstractNumId w:val="31"/>
  </w:num>
  <w:num w:numId="74">
    <w:abstractNumId w:val="109"/>
  </w:num>
  <w:num w:numId="75">
    <w:abstractNumId w:val="126"/>
  </w:num>
  <w:num w:numId="76">
    <w:abstractNumId w:val="6"/>
  </w:num>
  <w:num w:numId="77">
    <w:abstractNumId w:val="18"/>
  </w:num>
  <w:num w:numId="78">
    <w:abstractNumId w:val="116"/>
  </w:num>
  <w:num w:numId="79">
    <w:abstractNumId w:val="74"/>
  </w:num>
  <w:num w:numId="80">
    <w:abstractNumId w:val="111"/>
  </w:num>
  <w:num w:numId="81">
    <w:abstractNumId w:val="78"/>
  </w:num>
  <w:num w:numId="82">
    <w:abstractNumId w:val="76"/>
  </w:num>
  <w:num w:numId="83">
    <w:abstractNumId w:val="120"/>
  </w:num>
  <w:num w:numId="84">
    <w:abstractNumId w:val="48"/>
  </w:num>
  <w:num w:numId="85">
    <w:abstractNumId w:val="127"/>
  </w:num>
  <w:num w:numId="86">
    <w:abstractNumId w:val="17"/>
  </w:num>
  <w:num w:numId="87">
    <w:abstractNumId w:val="27"/>
  </w:num>
  <w:num w:numId="88">
    <w:abstractNumId w:val="81"/>
  </w:num>
  <w:num w:numId="89">
    <w:abstractNumId w:val="90"/>
  </w:num>
  <w:num w:numId="90">
    <w:abstractNumId w:val="97"/>
  </w:num>
  <w:num w:numId="91">
    <w:abstractNumId w:val="33"/>
  </w:num>
  <w:num w:numId="92">
    <w:abstractNumId w:val="61"/>
  </w:num>
  <w:num w:numId="93">
    <w:abstractNumId w:val="24"/>
  </w:num>
  <w:num w:numId="94">
    <w:abstractNumId w:val="100"/>
  </w:num>
  <w:num w:numId="95">
    <w:abstractNumId w:val="73"/>
  </w:num>
  <w:num w:numId="96">
    <w:abstractNumId w:val="30"/>
  </w:num>
  <w:num w:numId="97">
    <w:abstractNumId w:val="68"/>
  </w:num>
  <w:num w:numId="98">
    <w:abstractNumId w:val="80"/>
  </w:num>
  <w:num w:numId="99">
    <w:abstractNumId w:val="64"/>
  </w:num>
  <w:num w:numId="100">
    <w:abstractNumId w:val="60"/>
  </w:num>
  <w:num w:numId="101">
    <w:abstractNumId w:val="56"/>
  </w:num>
  <w:num w:numId="102">
    <w:abstractNumId w:val="131"/>
  </w:num>
  <w:num w:numId="103">
    <w:abstractNumId w:val="62"/>
  </w:num>
  <w:num w:numId="104">
    <w:abstractNumId w:val="51"/>
  </w:num>
  <w:num w:numId="105">
    <w:abstractNumId w:val="2"/>
  </w:num>
  <w:num w:numId="106">
    <w:abstractNumId w:val="35"/>
  </w:num>
  <w:num w:numId="107">
    <w:abstractNumId w:val="12"/>
  </w:num>
  <w:num w:numId="108">
    <w:abstractNumId w:val="96"/>
  </w:num>
  <w:num w:numId="109">
    <w:abstractNumId w:val="39"/>
  </w:num>
  <w:num w:numId="110">
    <w:abstractNumId w:val="104"/>
  </w:num>
  <w:num w:numId="111">
    <w:abstractNumId w:val="136"/>
  </w:num>
  <w:num w:numId="112">
    <w:abstractNumId w:val="103"/>
  </w:num>
  <w:num w:numId="113">
    <w:abstractNumId w:val="38"/>
  </w:num>
  <w:num w:numId="114">
    <w:abstractNumId w:val="134"/>
  </w:num>
  <w:num w:numId="115">
    <w:abstractNumId w:val="1"/>
  </w:num>
  <w:num w:numId="116">
    <w:abstractNumId w:val="135"/>
  </w:num>
  <w:num w:numId="117">
    <w:abstractNumId w:val="43"/>
  </w:num>
  <w:num w:numId="118">
    <w:abstractNumId w:val="85"/>
  </w:num>
  <w:num w:numId="119">
    <w:abstractNumId w:val="49"/>
  </w:num>
  <w:num w:numId="120">
    <w:abstractNumId w:val="50"/>
  </w:num>
  <w:num w:numId="121">
    <w:abstractNumId w:val="16"/>
  </w:num>
  <w:num w:numId="122">
    <w:abstractNumId w:val="82"/>
  </w:num>
  <w:num w:numId="123">
    <w:abstractNumId w:val="91"/>
  </w:num>
  <w:num w:numId="124">
    <w:abstractNumId w:val="53"/>
  </w:num>
  <w:num w:numId="125">
    <w:abstractNumId w:val="113"/>
  </w:num>
  <w:num w:numId="126">
    <w:abstractNumId w:val="25"/>
  </w:num>
  <w:num w:numId="127">
    <w:abstractNumId w:val="54"/>
  </w:num>
  <w:num w:numId="128">
    <w:abstractNumId w:val="44"/>
  </w:num>
  <w:num w:numId="129">
    <w:abstractNumId w:val="37"/>
  </w:num>
  <w:num w:numId="130">
    <w:abstractNumId w:val="84"/>
  </w:num>
  <w:num w:numId="131">
    <w:abstractNumId w:val="15"/>
  </w:num>
  <w:num w:numId="132">
    <w:abstractNumId w:val="14"/>
  </w:num>
  <w:num w:numId="133">
    <w:abstractNumId w:val="112"/>
  </w:num>
  <w:num w:numId="134">
    <w:abstractNumId w:val="26"/>
  </w:num>
  <w:num w:numId="135">
    <w:abstractNumId w:val="11"/>
  </w:num>
  <w:num w:numId="136">
    <w:abstractNumId w:val="99"/>
  </w:num>
  <w:num w:numId="137">
    <w:abstractNumId w:val="118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10"/>
    <w:rsid w:val="00000151"/>
    <w:rsid w:val="0000101E"/>
    <w:rsid w:val="000018A8"/>
    <w:rsid w:val="00001FB6"/>
    <w:rsid w:val="0000292C"/>
    <w:rsid w:val="00002B02"/>
    <w:rsid w:val="000032C4"/>
    <w:rsid w:val="0000362A"/>
    <w:rsid w:val="000045BD"/>
    <w:rsid w:val="000057FB"/>
    <w:rsid w:val="000065E0"/>
    <w:rsid w:val="00006D04"/>
    <w:rsid w:val="000074E7"/>
    <w:rsid w:val="00007CF4"/>
    <w:rsid w:val="0001028A"/>
    <w:rsid w:val="00010BCF"/>
    <w:rsid w:val="000118DD"/>
    <w:rsid w:val="00012525"/>
    <w:rsid w:val="00014993"/>
    <w:rsid w:val="000161F1"/>
    <w:rsid w:val="00017110"/>
    <w:rsid w:val="00020255"/>
    <w:rsid w:val="00021E15"/>
    <w:rsid w:val="00022986"/>
    <w:rsid w:val="00023BA4"/>
    <w:rsid w:val="00023D18"/>
    <w:rsid w:val="00023FE5"/>
    <w:rsid w:val="00024ABC"/>
    <w:rsid w:val="000265BD"/>
    <w:rsid w:val="0002757F"/>
    <w:rsid w:val="000307DA"/>
    <w:rsid w:val="00031A31"/>
    <w:rsid w:val="00031C8C"/>
    <w:rsid w:val="00031FBA"/>
    <w:rsid w:val="0003273C"/>
    <w:rsid w:val="00034636"/>
    <w:rsid w:val="00034DE9"/>
    <w:rsid w:val="000364A2"/>
    <w:rsid w:val="000375BB"/>
    <w:rsid w:val="0003778A"/>
    <w:rsid w:val="00040C36"/>
    <w:rsid w:val="0004143A"/>
    <w:rsid w:val="000414B5"/>
    <w:rsid w:val="00041BE4"/>
    <w:rsid w:val="00042FD4"/>
    <w:rsid w:val="00043185"/>
    <w:rsid w:val="00044DEB"/>
    <w:rsid w:val="00044E70"/>
    <w:rsid w:val="00045668"/>
    <w:rsid w:val="00045E60"/>
    <w:rsid w:val="00047104"/>
    <w:rsid w:val="00047769"/>
    <w:rsid w:val="00047C36"/>
    <w:rsid w:val="00047F53"/>
    <w:rsid w:val="00051E80"/>
    <w:rsid w:val="000524A4"/>
    <w:rsid w:val="00052B1B"/>
    <w:rsid w:val="00055150"/>
    <w:rsid w:val="0006058C"/>
    <w:rsid w:val="0006092D"/>
    <w:rsid w:val="00060BE3"/>
    <w:rsid w:val="00060E16"/>
    <w:rsid w:val="000616DF"/>
    <w:rsid w:val="0006260E"/>
    <w:rsid w:val="0006304F"/>
    <w:rsid w:val="00063BC7"/>
    <w:rsid w:val="00065676"/>
    <w:rsid w:val="000672A9"/>
    <w:rsid w:val="0006799D"/>
    <w:rsid w:val="00070095"/>
    <w:rsid w:val="0007060D"/>
    <w:rsid w:val="00070840"/>
    <w:rsid w:val="000718F0"/>
    <w:rsid w:val="0007245A"/>
    <w:rsid w:val="00072F87"/>
    <w:rsid w:val="000734D6"/>
    <w:rsid w:val="000743AD"/>
    <w:rsid w:val="00074A1F"/>
    <w:rsid w:val="0007533C"/>
    <w:rsid w:val="00081217"/>
    <w:rsid w:val="0008240A"/>
    <w:rsid w:val="00083E6D"/>
    <w:rsid w:val="00084AE2"/>
    <w:rsid w:val="00084F8B"/>
    <w:rsid w:val="00085695"/>
    <w:rsid w:val="00085C61"/>
    <w:rsid w:val="0008680C"/>
    <w:rsid w:val="00087FE4"/>
    <w:rsid w:val="00091272"/>
    <w:rsid w:val="0009193F"/>
    <w:rsid w:val="000928BB"/>
    <w:rsid w:val="0009375A"/>
    <w:rsid w:val="00096DED"/>
    <w:rsid w:val="000975D8"/>
    <w:rsid w:val="000A02AC"/>
    <w:rsid w:val="000A146B"/>
    <w:rsid w:val="000A1CFD"/>
    <w:rsid w:val="000A2050"/>
    <w:rsid w:val="000A2431"/>
    <w:rsid w:val="000A2457"/>
    <w:rsid w:val="000A27AD"/>
    <w:rsid w:val="000A30E9"/>
    <w:rsid w:val="000A42BD"/>
    <w:rsid w:val="000A43EA"/>
    <w:rsid w:val="000A4A8A"/>
    <w:rsid w:val="000A511C"/>
    <w:rsid w:val="000A6934"/>
    <w:rsid w:val="000A76D7"/>
    <w:rsid w:val="000A7B7A"/>
    <w:rsid w:val="000B0654"/>
    <w:rsid w:val="000B1620"/>
    <w:rsid w:val="000B1E73"/>
    <w:rsid w:val="000B2545"/>
    <w:rsid w:val="000B275D"/>
    <w:rsid w:val="000B27B4"/>
    <w:rsid w:val="000B4174"/>
    <w:rsid w:val="000B447E"/>
    <w:rsid w:val="000B484D"/>
    <w:rsid w:val="000B4AEA"/>
    <w:rsid w:val="000B50E2"/>
    <w:rsid w:val="000B75D5"/>
    <w:rsid w:val="000B7909"/>
    <w:rsid w:val="000B7B99"/>
    <w:rsid w:val="000B7EF6"/>
    <w:rsid w:val="000C357B"/>
    <w:rsid w:val="000C3F50"/>
    <w:rsid w:val="000C454F"/>
    <w:rsid w:val="000C4A33"/>
    <w:rsid w:val="000C5002"/>
    <w:rsid w:val="000C5BD7"/>
    <w:rsid w:val="000C5DBE"/>
    <w:rsid w:val="000C620D"/>
    <w:rsid w:val="000C65DC"/>
    <w:rsid w:val="000C676F"/>
    <w:rsid w:val="000C6F14"/>
    <w:rsid w:val="000D1390"/>
    <w:rsid w:val="000D1B5C"/>
    <w:rsid w:val="000D291F"/>
    <w:rsid w:val="000D4C98"/>
    <w:rsid w:val="000E0F33"/>
    <w:rsid w:val="000E1624"/>
    <w:rsid w:val="000E1CB1"/>
    <w:rsid w:val="000E242E"/>
    <w:rsid w:val="000E3ED9"/>
    <w:rsid w:val="000E51A5"/>
    <w:rsid w:val="000E5541"/>
    <w:rsid w:val="000E557E"/>
    <w:rsid w:val="000E55C7"/>
    <w:rsid w:val="000E79BF"/>
    <w:rsid w:val="000F2065"/>
    <w:rsid w:val="000F3D27"/>
    <w:rsid w:val="000F7281"/>
    <w:rsid w:val="00100CC9"/>
    <w:rsid w:val="00100ECE"/>
    <w:rsid w:val="001013B1"/>
    <w:rsid w:val="001035E4"/>
    <w:rsid w:val="00104B26"/>
    <w:rsid w:val="001053C3"/>
    <w:rsid w:val="0010629E"/>
    <w:rsid w:val="00107753"/>
    <w:rsid w:val="001123FB"/>
    <w:rsid w:val="0011262A"/>
    <w:rsid w:val="00112CE2"/>
    <w:rsid w:val="0011444A"/>
    <w:rsid w:val="001154A3"/>
    <w:rsid w:val="001161E1"/>
    <w:rsid w:val="00117A47"/>
    <w:rsid w:val="00117C19"/>
    <w:rsid w:val="001207F0"/>
    <w:rsid w:val="00120EA5"/>
    <w:rsid w:val="00121930"/>
    <w:rsid w:val="00122E08"/>
    <w:rsid w:val="00123469"/>
    <w:rsid w:val="00123851"/>
    <w:rsid w:val="001242BC"/>
    <w:rsid w:val="0012437C"/>
    <w:rsid w:val="00127342"/>
    <w:rsid w:val="0013101A"/>
    <w:rsid w:val="00131311"/>
    <w:rsid w:val="00136015"/>
    <w:rsid w:val="001366F9"/>
    <w:rsid w:val="001374DA"/>
    <w:rsid w:val="00140B65"/>
    <w:rsid w:val="00141B7B"/>
    <w:rsid w:val="00141C2D"/>
    <w:rsid w:val="00143A0A"/>
    <w:rsid w:val="0014434F"/>
    <w:rsid w:val="00147968"/>
    <w:rsid w:val="00151855"/>
    <w:rsid w:val="001527F7"/>
    <w:rsid w:val="0015508F"/>
    <w:rsid w:val="00157BAE"/>
    <w:rsid w:val="0016160A"/>
    <w:rsid w:val="00162EF6"/>
    <w:rsid w:val="001634DA"/>
    <w:rsid w:val="00164525"/>
    <w:rsid w:val="00166029"/>
    <w:rsid w:val="001674DC"/>
    <w:rsid w:val="00167947"/>
    <w:rsid w:val="00167BD2"/>
    <w:rsid w:val="001703CE"/>
    <w:rsid w:val="0017084C"/>
    <w:rsid w:val="00171D16"/>
    <w:rsid w:val="00172E96"/>
    <w:rsid w:val="001732F4"/>
    <w:rsid w:val="0017433C"/>
    <w:rsid w:val="0017495C"/>
    <w:rsid w:val="0017640A"/>
    <w:rsid w:val="00176A4E"/>
    <w:rsid w:val="00177B66"/>
    <w:rsid w:val="001800C5"/>
    <w:rsid w:val="001809AF"/>
    <w:rsid w:val="00181276"/>
    <w:rsid w:val="0018159B"/>
    <w:rsid w:val="001816E4"/>
    <w:rsid w:val="00181D47"/>
    <w:rsid w:val="001829A7"/>
    <w:rsid w:val="001833A5"/>
    <w:rsid w:val="001837A9"/>
    <w:rsid w:val="00183E9C"/>
    <w:rsid w:val="00184C04"/>
    <w:rsid w:val="00184C6E"/>
    <w:rsid w:val="00185E37"/>
    <w:rsid w:val="001878BF"/>
    <w:rsid w:val="00187F60"/>
    <w:rsid w:val="0019020F"/>
    <w:rsid w:val="00190736"/>
    <w:rsid w:val="00190ADA"/>
    <w:rsid w:val="00190C8D"/>
    <w:rsid w:val="00191125"/>
    <w:rsid w:val="00191726"/>
    <w:rsid w:val="00191F31"/>
    <w:rsid w:val="00192055"/>
    <w:rsid w:val="001921E9"/>
    <w:rsid w:val="00192B60"/>
    <w:rsid w:val="00194C07"/>
    <w:rsid w:val="00195A40"/>
    <w:rsid w:val="001961D9"/>
    <w:rsid w:val="00196690"/>
    <w:rsid w:val="001973BF"/>
    <w:rsid w:val="001A173A"/>
    <w:rsid w:val="001A18C4"/>
    <w:rsid w:val="001A2218"/>
    <w:rsid w:val="001A22EF"/>
    <w:rsid w:val="001A2EC1"/>
    <w:rsid w:val="001A37F7"/>
    <w:rsid w:val="001A480F"/>
    <w:rsid w:val="001A4FAC"/>
    <w:rsid w:val="001A55CB"/>
    <w:rsid w:val="001A5810"/>
    <w:rsid w:val="001A5891"/>
    <w:rsid w:val="001A59AA"/>
    <w:rsid w:val="001A6BA1"/>
    <w:rsid w:val="001B0601"/>
    <w:rsid w:val="001B0BB4"/>
    <w:rsid w:val="001B0C28"/>
    <w:rsid w:val="001B3736"/>
    <w:rsid w:val="001B47C0"/>
    <w:rsid w:val="001B541F"/>
    <w:rsid w:val="001B6EE0"/>
    <w:rsid w:val="001B7E1A"/>
    <w:rsid w:val="001B7E3E"/>
    <w:rsid w:val="001C052A"/>
    <w:rsid w:val="001C3323"/>
    <w:rsid w:val="001C3F31"/>
    <w:rsid w:val="001C50D5"/>
    <w:rsid w:val="001C50EE"/>
    <w:rsid w:val="001C63CA"/>
    <w:rsid w:val="001C645F"/>
    <w:rsid w:val="001C7C78"/>
    <w:rsid w:val="001D1588"/>
    <w:rsid w:val="001D2524"/>
    <w:rsid w:val="001D3370"/>
    <w:rsid w:val="001D38C9"/>
    <w:rsid w:val="001D3AFC"/>
    <w:rsid w:val="001D4957"/>
    <w:rsid w:val="001D4A9F"/>
    <w:rsid w:val="001D4EB3"/>
    <w:rsid w:val="001D5112"/>
    <w:rsid w:val="001D569B"/>
    <w:rsid w:val="001D5977"/>
    <w:rsid w:val="001D7A37"/>
    <w:rsid w:val="001E051E"/>
    <w:rsid w:val="001E0C96"/>
    <w:rsid w:val="001E0CC9"/>
    <w:rsid w:val="001E1426"/>
    <w:rsid w:val="001E14D7"/>
    <w:rsid w:val="001E19A0"/>
    <w:rsid w:val="001E19F6"/>
    <w:rsid w:val="001E1AA9"/>
    <w:rsid w:val="001E30BD"/>
    <w:rsid w:val="001E34B1"/>
    <w:rsid w:val="001E4A92"/>
    <w:rsid w:val="001E6997"/>
    <w:rsid w:val="001E6A91"/>
    <w:rsid w:val="001E73F9"/>
    <w:rsid w:val="001E7ED4"/>
    <w:rsid w:val="001F01F6"/>
    <w:rsid w:val="001F03FD"/>
    <w:rsid w:val="001F05DD"/>
    <w:rsid w:val="001F05F8"/>
    <w:rsid w:val="001F0EA6"/>
    <w:rsid w:val="001F4496"/>
    <w:rsid w:val="001F56FD"/>
    <w:rsid w:val="001F57FA"/>
    <w:rsid w:val="001F5FC5"/>
    <w:rsid w:val="001F62C7"/>
    <w:rsid w:val="002013E9"/>
    <w:rsid w:val="0020143B"/>
    <w:rsid w:val="00203DE5"/>
    <w:rsid w:val="00204651"/>
    <w:rsid w:val="0020503C"/>
    <w:rsid w:val="00206B40"/>
    <w:rsid w:val="0020794F"/>
    <w:rsid w:val="00210886"/>
    <w:rsid w:val="00210BA8"/>
    <w:rsid w:val="00212280"/>
    <w:rsid w:val="00213E06"/>
    <w:rsid w:val="002166A9"/>
    <w:rsid w:val="00216E45"/>
    <w:rsid w:val="00217007"/>
    <w:rsid w:val="002176DA"/>
    <w:rsid w:val="00220554"/>
    <w:rsid w:val="00222104"/>
    <w:rsid w:val="002225A9"/>
    <w:rsid w:val="002229D4"/>
    <w:rsid w:val="00222B4D"/>
    <w:rsid w:val="00223182"/>
    <w:rsid w:val="00224671"/>
    <w:rsid w:val="00225E02"/>
    <w:rsid w:val="00226FCF"/>
    <w:rsid w:val="0023089E"/>
    <w:rsid w:val="00231987"/>
    <w:rsid w:val="00231F1B"/>
    <w:rsid w:val="00235D26"/>
    <w:rsid w:val="00236C1A"/>
    <w:rsid w:val="00236CAF"/>
    <w:rsid w:val="0023764D"/>
    <w:rsid w:val="002378D7"/>
    <w:rsid w:val="0024001F"/>
    <w:rsid w:val="002409E6"/>
    <w:rsid w:val="00241868"/>
    <w:rsid w:val="00241E93"/>
    <w:rsid w:val="00242A27"/>
    <w:rsid w:val="002445D6"/>
    <w:rsid w:val="00244A73"/>
    <w:rsid w:val="00245720"/>
    <w:rsid w:val="00246484"/>
    <w:rsid w:val="0024777C"/>
    <w:rsid w:val="002502E9"/>
    <w:rsid w:val="00250C4F"/>
    <w:rsid w:val="0025174B"/>
    <w:rsid w:val="00251CDA"/>
    <w:rsid w:val="00252812"/>
    <w:rsid w:val="00252CB3"/>
    <w:rsid w:val="002534C2"/>
    <w:rsid w:val="002541B8"/>
    <w:rsid w:val="00257500"/>
    <w:rsid w:val="002620A7"/>
    <w:rsid w:val="00262364"/>
    <w:rsid w:val="002626AC"/>
    <w:rsid w:val="00263704"/>
    <w:rsid w:val="002642B8"/>
    <w:rsid w:val="00264F1A"/>
    <w:rsid w:val="00265131"/>
    <w:rsid w:val="00265507"/>
    <w:rsid w:val="00265675"/>
    <w:rsid w:val="00265C63"/>
    <w:rsid w:val="00266500"/>
    <w:rsid w:val="002674B1"/>
    <w:rsid w:val="0026755F"/>
    <w:rsid w:val="002679BD"/>
    <w:rsid w:val="002712E9"/>
    <w:rsid w:val="00271715"/>
    <w:rsid w:val="0027368D"/>
    <w:rsid w:val="0027410D"/>
    <w:rsid w:val="002743BE"/>
    <w:rsid w:val="00274D29"/>
    <w:rsid w:val="00274E18"/>
    <w:rsid w:val="0027512E"/>
    <w:rsid w:val="002752DD"/>
    <w:rsid w:val="00275B01"/>
    <w:rsid w:val="00277BAF"/>
    <w:rsid w:val="00280210"/>
    <w:rsid w:val="002807F9"/>
    <w:rsid w:val="002808EA"/>
    <w:rsid w:val="00283FDF"/>
    <w:rsid w:val="00284D84"/>
    <w:rsid w:val="00290CCB"/>
    <w:rsid w:val="00292824"/>
    <w:rsid w:val="00292B1C"/>
    <w:rsid w:val="00293F93"/>
    <w:rsid w:val="002942AF"/>
    <w:rsid w:val="00295194"/>
    <w:rsid w:val="00295818"/>
    <w:rsid w:val="002970E5"/>
    <w:rsid w:val="0029768A"/>
    <w:rsid w:val="00297BE9"/>
    <w:rsid w:val="00297D0F"/>
    <w:rsid w:val="002A0A87"/>
    <w:rsid w:val="002A1820"/>
    <w:rsid w:val="002A20D3"/>
    <w:rsid w:val="002A3DC3"/>
    <w:rsid w:val="002A3E8C"/>
    <w:rsid w:val="002A3FDA"/>
    <w:rsid w:val="002A457A"/>
    <w:rsid w:val="002A6305"/>
    <w:rsid w:val="002A6705"/>
    <w:rsid w:val="002A6748"/>
    <w:rsid w:val="002A73A2"/>
    <w:rsid w:val="002A7B00"/>
    <w:rsid w:val="002A7D5E"/>
    <w:rsid w:val="002B04C7"/>
    <w:rsid w:val="002B121E"/>
    <w:rsid w:val="002B1222"/>
    <w:rsid w:val="002B12E5"/>
    <w:rsid w:val="002B1ABC"/>
    <w:rsid w:val="002B26B5"/>
    <w:rsid w:val="002B281A"/>
    <w:rsid w:val="002B2EB0"/>
    <w:rsid w:val="002B34BB"/>
    <w:rsid w:val="002B3522"/>
    <w:rsid w:val="002B379F"/>
    <w:rsid w:val="002B425F"/>
    <w:rsid w:val="002B6F8A"/>
    <w:rsid w:val="002C1173"/>
    <w:rsid w:val="002C11B2"/>
    <w:rsid w:val="002C23E0"/>
    <w:rsid w:val="002C24FD"/>
    <w:rsid w:val="002C2E18"/>
    <w:rsid w:val="002C352F"/>
    <w:rsid w:val="002C4070"/>
    <w:rsid w:val="002C52F4"/>
    <w:rsid w:val="002C5466"/>
    <w:rsid w:val="002C5D91"/>
    <w:rsid w:val="002C6445"/>
    <w:rsid w:val="002C6753"/>
    <w:rsid w:val="002C6792"/>
    <w:rsid w:val="002C6E1F"/>
    <w:rsid w:val="002C75F7"/>
    <w:rsid w:val="002C7937"/>
    <w:rsid w:val="002D1836"/>
    <w:rsid w:val="002D3119"/>
    <w:rsid w:val="002D4633"/>
    <w:rsid w:val="002D4C80"/>
    <w:rsid w:val="002D5511"/>
    <w:rsid w:val="002D6639"/>
    <w:rsid w:val="002D67B2"/>
    <w:rsid w:val="002D68CE"/>
    <w:rsid w:val="002D70CB"/>
    <w:rsid w:val="002D72F1"/>
    <w:rsid w:val="002D7A48"/>
    <w:rsid w:val="002E06F7"/>
    <w:rsid w:val="002E0E9B"/>
    <w:rsid w:val="002E16FA"/>
    <w:rsid w:val="002E19B7"/>
    <w:rsid w:val="002E1B80"/>
    <w:rsid w:val="002E25B0"/>
    <w:rsid w:val="002E2C2D"/>
    <w:rsid w:val="002E335B"/>
    <w:rsid w:val="002E4457"/>
    <w:rsid w:val="002E501A"/>
    <w:rsid w:val="002E57EF"/>
    <w:rsid w:val="002E58C9"/>
    <w:rsid w:val="002E5D89"/>
    <w:rsid w:val="002E6035"/>
    <w:rsid w:val="002E750B"/>
    <w:rsid w:val="002F0BB1"/>
    <w:rsid w:val="002F28A1"/>
    <w:rsid w:val="002F36DE"/>
    <w:rsid w:val="002F5076"/>
    <w:rsid w:val="002F5AD7"/>
    <w:rsid w:val="002F6527"/>
    <w:rsid w:val="0030098D"/>
    <w:rsid w:val="003029F1"/>
    <w:rsid w:val="00306386"/>
    <w:rsid w:val="00307351"/>
    <w:rsid w:val="00307AAA"/>
    <w:rsid w:val="003103F1"/>
    <w:rsid w:val="00311FF4"/>
    <w:rsid w:val="00312F64"/>
    <w:rsid w:val="00313683"/>
    <w:rsid w:val="00315780"/>
    <w:rsid w:val="00317B5D"/>
    <w:rsid w:val="0032034B"/>
    <w:rsid w:val="00321456"/>
    <w:rsid w:val="00321864"/>
    <w:rsid w:val="003223D1"/>
    <w:rsid w:val="0032288F"/>
    <w:rsid w:val="003233A4"/>
    <w:rsid w:val="003249A9"/>
    <w:rsid w:val="00326458"/>
    <w:rsid w:val="003268DA"/>
    <w:rsid w:val="00326EE7"/>
    <w:rsid w:val="00326F66"/>
    <w:rsid w:val="003306CB"/>
    <w:rsid w:val="0033079B"/>
    <w:rsid w:val="003309A0"/>
    <w:rsid w:val="00331322"/>
    <w:rsid w:val="00332CF4"/>
    <w:rsid w:val="00333C6B"/>
    <w:rsid w:val="0033503C"/>
    <w:rsid w:val="0033567F"/>
    <w:rsid w:val="0033573B"/>
    <w:rsid w:val="00335EEE"/>
    <w:rsid w:val="003360EE"/>
    <w:rsid w:val="00336AD2"/>
    <w:rsid w:val="003401D8"/>
    <w:rsid w:val="00340654"/>
    <w:rsid w:val="00340806"/>
    <w:rsid w:val="00342D20"/>
    <w:rsid w:val="003432A0"/>
    <w:rsid w:val="00344022"/>
    <w:rsid w:val="003442CD"/>
    <w:rsid w:val="00346A30"/>
    <w:rsid w:val="0034734B"/>
    <w:rsid w:val="0035085A"/>
    <w:rsid w:val="00351564"/>
    <w:rsid w:val="00352393"/>
    <w:rsid w:val="00352D1C"/>
    <w:rsid w:val="003542D6"/>
    <w:rsid w:val="00354A83"/>
    <w:rsid w:val="00354D40"/>
    <w:rsid w:val="00355686"/>
    <w:rsid w:val="003564F4"/>
    <w:rsid w:val="0035652A"/>
    <w:rsid w:val="00356846"/>
    <w:rsid w:val="00356CC9"/>
    <w:rsid w:val="003571FD"/>
    <w:rsid w:val="00360255"/>
    <w:rsid w:val="003606AD"/>
    <w:rsid w:val="00360AEF"/>
    <w:rsid w:val="0036181F"/>
    <w:rsid w:val="003628D0"/>
    <w:rsid w:val="00363094"/>
    <w:rsid w:val="0036409B"/>
    <w:rsid w:val="003644DF"/>
    <w:rsid w:val="00364571"/>
    <w:rsid w:val="00364A07"/>
    <w:rsid w:val="00365916"/>
    <w:rsid w:val="00365BCF"/>
    <w:rsid w:val="00367E8E"/>
    <w:rsid w:val="0037072D"/>
    <w:rsid w:val="00371346"/>
    <w:rsid w:val="003729C4"/>
    <w:rsid w:val="00372EDC"/>
    <w:rsid w:val="00373323"/>
    <w:rsid w:val="0037451E"/>
    <w:rsid w:val="00375164"/>
    <w:rsid w:val="00375627"/>
    <w:rsid w:val="00376421"/>
    <w:rsid w:val="003808D4"/>
    <w:rsid w:val="0038139E"/>
    <w:rsid w:val="00382A37"/>
    <w:rsid w:val="003835D7"/>
    <w:rsid w:val="00383BEC"/>
    <w:rsid w:val="00383E7E"/>
    <w:rsid w:val="0038408A"/>
    <w:rsid w:val="00384420"/>
    <w:rsid w:val="00385251"/>
    <w:rsid w:val="00385B7D"/>
    <w:rsid w:val="00387645"/>
    <w:rsid w:val="003918B0"/>
    <w:rsid w:val="00393A54"/>
    <w:rsid w:val="00394373"/>
    <w:rsid w:val="00394957"/>
    <w:rsid w:val="003951EF"/>
    <w:rsid w:val="00395BB8"/>
    <w:rsid w:val="00395C6C"/>
    <w:rsid w:val="00397AD3"/>
    <w:rsid w:val="003A0586"/>
    <w:rsid w:val="003A299D"/>
    <w:rsid w:val="003A2D49"/>
    <w:rsid w:val="003A2E09"/>
    <w:rsid w:val="003A36BC"/>
    <w:rsid w:val="003A38AD"/>
    <w:rsid w:val="003A40C9"/>
    <w:rsid w:val="003A596C"/>
    <w:rsid w:val="003A7456"/>
    <w:rsid w:val="003B105E"/>
    <w:rsid w:val="003B4CF5"/>
    <w:rsid w:val="003B50B2"/>
    <w:rsid w:val="003B53D9"/>
    <w:rsid w:val="003B68C9"/>
    <w:rsid w:val="003B7E11"/>
    <w:rsid w:val="003B7E22"/>
    <w:rsid w:val="003C192B"/>
    <w:rsid w:val="003C30DC"/>
    <w:rsid w:val="003C5E4B"/>
    <w:rsid w:val="003C5F3A"/>
    <w:rsid w:val="003C60EE"/>
    <w:rsid w:val="003C6459"/>
    <w:rsid w:val="003C65A1"/>
    <w:rsid w:val="003C682E"/>
    <w:rsid w:val="003C6BAA"/>
    <w:rsid w:val="003C7202"/>
    <w:rsid w:val="003C7321"/>
    <w:rsid w:val="003C7400"/>
    <w:rsid w:val="003D00DB"/>
    <w:rsid w:val="003D0655"/>
    <w:rsid w:val="003D0774"/>
    <w:rsid w:val="003D12A6"/>
    <w:rsid w:val="003D19FE"/>
    <w:rsid w:val="003D20EE"/>
    <w:rsid w:val="003D2EE9"/>
    <w:rsid w:val="003D40CD"/>
    <w:rsid w:val="003D50D4"/>
    <w:rsid w:val="003D539A"/>
    <w:rsid w:val="003D5997"/>
    <w:rsid w:val="003D7AE9"/>
    <w:rsid w:val="003D7D19"/>
    <w:rsid w:val="003E01B3"/>
    <w:rsid w:val="003E0CA0"/>
    <w:rsid w:val="003E11D4"/>
    <w:rsid w:val="003E1F44"/>
    <w:rsid w:val="003E372A"/>
    <w:rsid w:val="003E48AD"/>
    <w:rsid w:val="003E5411"/>
    <w:rsid w:val="003E599B"/>
    <w:rsid w:val="003E5DE1"/>
    <w:rsid w:val="003E7A80"/>
    <w:rsid w:val="003F0CFA"/>
    <w:rsid w:val="003F2422"/>
    <w:rsid w:val="003F4549"/>
    <w:rsid w:val="003F474C"/>
    <w:rsid w:val="003F4B0D"/>
    <w:rsid w:val="003F5F10"/>
    <w:rsid w:val="003F6D50"/>
    <w:rsid w:val="003F75DE"/>
    <w:rsid w:val="003F7A86"/>
    <w:rsid w:val="00400678"/>
    <w:rsid w:val="00402670"/>
    <w:rsid w:val="00402677"/>
    <w:rsid w:val="00404007"/>
    <w:rsid w:val="004048AE"/>
    <w:rsid w:val="0040545F"/>
    <w:rsid w:val="00405E1B"/>
    <w:rsid w:val="00407663"/>
    <w:rsid w:val="00407948"/>
    <w:rsid w:val="00407CEC"/>
    <w:rsid w:val="00407ED8"/>
    <w:rsid w:val="004107F5"/>
    <w:rsid w:val="00410A1F"/>
    <w:rsid w:val="004119EA"/>
    <w:rsid w:val="00411A4D"/>
    <w:rsid w:val="00412D21"/>
    <w:rsid w:val="00412EDE"/>
    <w:rsid w:val="00413775"/>
    <w:rsid w:val="00414070"/>
    <w:rsid w:val="00414FD4"/>
    <w:rsid w:val="0041716F"/>
    <w:rsid w:val="0041752E"/>
    <w:rsid w:val="00420C91"/>
    <w:rsid w:val="00421A36"/>
    <w:rsid w:val="00422D7D"/>
    <w:rsid w:val="004254DA"/>
    <w:rsid w:val="00425F31"/>
    <w:rsid w:val="004265BF"/>
    <w:rsid w:val="00427703"/>
    <w:rsid w:val="00427E20"/>
    <w:rsid w:val="00430A77"/>
    <w:rsid w:val="004310C0"/>
    <w:rsid w:val="00432EBB"/>
    <w:rsid w:val="00433201"/>
    <w:rsid w:val="0043355E"/>
    <w:rsid w:val="0043438A"/>
    <w:rsid w:val="004354F2"/>
    <w:rsid w:val="00435C53"/>
    <w:rsid w:val="00436CAF"/>
    <w:rsid w:val="00437A0E"/>
    <w:rsid w:val="00437E1D"/>
    <w:rsid w:val="004409C2"/>
    <w:rsid w:val="00441956"/>
    <w:rsid w:val="00442879"/>
    <w:rsid w:val="00442F9C"/>
    <w:rsid w:val="0044363C"/>
    <w:rsid w:val="004446FD"/>
    <w:rsid w:val="00444AE1"/>
    <w:rsid w:val="00445D00"/>
    <w:rsid w:val="004462F4"/>
    <w:rsid w:val="0044631E"/>
    <w:rsid w:val="00452032"/>
    <w:rsid w:val="00454552"/>
    <w:rsid w:val="004546C9"/>
    <w:rsid w:val="00454BBB"/>
    <w:rsid w:val="0046178F"/>
    <w:rsid w:val="0046214A"/>
    <w:rsid w:val="00462E27"/>
    <w:rsid w:val="00463E4B"/>
    <w:rsid w:val="0046414A"/>
    <w:rsid w:val="004662E7"/>
    <w:rsid w:val="0046731F"/>
    <w:rsid w:val="004676FC"/>
    <w:rsid w:val="004678BD"/>
    <w:rsid w:val="0046794D"/>
    <w:rsid w:val="00467D5B"/>
    <w:rsid w:val="00471162"/>
    <w:rsid w:val="004725EF"/>
    <w:rsid w:val="00472695"/>
    <w:rsid w:val="00473DCF"/>
    <w:rsid w:val="0047414D"/>
    <w:rsid w:val="00474D2B"/>
    <w:rsid w:val="00474E5C"/>
    <w:rsid w:val="00475678"/>
    <w:rsid w:val="004766FF"/>
    <w:rsid w:val="00476AF9"/>
    <w:rsid w:val="004773DD"/>
    <w:rsid w:val="00480257"/>
    <w:rsid w:val="00480F07"/>
    <w:rsid w:val="004810B3"/>
    <w:rsid w:val="0048216B"/>
    <w:rsid w:val="00482609"/>
    <w:rsid w:val="00482A14"/>
    <w:rsid w:val="004842C4"/>
    <w:rsid w:val="004844D7"/>
    <w:rsid w:val="00485572"/>
    <w:rsid w:val="00485680"/>
    <w:rsid w:val="00486B8E"/>
    <w:rsid w:val="00486D9A"/>
    <w:rsid w:val="00487480"/>
    <w:rsid w:val="004903F9"/>
    <w:rsid w:val="004909EC"/>
    <w:rsid w:val="00492A98"/>
    <w:rsid w:val="00492C34"/>
    <w:rsid w:val="0049529A"/>
    <w:rsid w:val="00496C76"/>
    <w:rsid w:val="0049791E"/>
    <w:rsid w:val="004A0809"/>
    <w:rsid w:val="004A1393"/>
    <w:rsid w:val="004A2F66"/>
    <w:rsid w:val="004A3205"/>
    <w:rsid w:val="004A4586"/>
    <w:rsid w:val="004A613C"/>
    <w:rsid w:val="004A62F2"/>
    <w:rsid w:val="004A7F26"/>
    <w:rsid w:val="004B0E3C"/>
    <w:rsid w:val="004B1D52"/>
    <w:rsid w:val="004B28B6"/>
    <w:rsid w:val="004B3789"/>
    <w:rsid w:val="004B4AF5"/>
    <w:rsid w:val="004B4EA7"/>
    <w:rsid w:val="004B54F5"/>
    <w:rsid w:val="004B72E3"/>
    <w:rsid w:val="004B78F4"/>
    <w:rsid w:val="004B7C5A"/>
    <w:rsid w:val="004C0E1D"/>
    <w:rsid w:val="004C174E"/>
    <w:rsid w:val="004C28EF"/>
    <w:rsid w:val="004C333C"/>
    <w:rsid w:val="004C3875"/>
    <w:rsid w:val="004C4192"/>
    <w:rsid w:val="004C4A26"/>
    <w:rsid w:val="004C4C3C"/>
    <w:rsid w:val="004C63D6"/>
    <w:rsid w:val="004C6E30"/>
    <w:rsid w:val="004C7CF7"/>
    <w:rsid w:val="004D0DC8"/>
    <w:rsid w:val="004D1156"/>
    <w:rsid w:val="004D1C94"/>
    <w:rsid w:val="004D4132"/>
    <w:rsid w:val="004D684E"/>
    <w:rsid w:val="004D6D95"/>
    <w:rsid w:val="004D6E8B"/>
    <w:rsid w:val="004D74CC"/>
    <w:rsid w:val="004D7706"/>
    <w:rsid w:val="004D77D7"/>
    <w:rsid w:val="004D7B1B"/>
    <w:rsid w:val="004E0E0D"/>
    <w:rsid w:val="004E1112"/>
    <w:rsid w:val="004E296B"/>
    <w:rsid w:val="004E4EAC"/>
    <w:rsid w:val="004E4EE5"/>
    <w:rsid w:val="004E501D"/>
    <w:rsid w:val="004E5052"/>
    <w:rsid w:val="004F025D"/>
    <w:rsid w:val="004F1E87"/>
    <w:rsid w:val="004F33F4"/>
    <w:rsid w:val="004F3CE3"/>
    <w:rsid w:val="004F477A"/>
    <w:rsid w:val="004F5A8B"/>
    <w:rsid w:val="004F5D64"/>
    <w:rsid w:val="0050021F"/>
    <w:rsid w:val="00500C53"/>
    <w:rsid w:val="00501098"/>
    <w:rsid w:val="0050299F"/>
    <w:rsid w:val="00505BC8"/>
    <w:rsid w:val="00506AF7"/>
    <w:rsid w:val="00506B63"/>
    <w:rsid w:val="005076B1"/>
    <w:rsid w:val="00510278"/>
    <w:rsid w:val="00511FDF"/>
    <w:rsid w:val="00512565"/>
    <w:rsid w:val="00512D49"/>
    <w:rsid w:val="00513113"/>
    <w:rsid w:val="00513ABB"/>
    <w:rsid w:val="00514064"/>
    <w:rsid w:val="00517746"/>
    <w:rsid w:val="00517DE7"/>
    <w:rsid w:val="00520C0B"/>
    <w:rsid w:val="0052150F"/>
    <w:rsid w:val="0052375E"/>
    <w:rsid w:val="0052413F"/>
    <w:rsid w:val="00525EAF"/>
    <w:rsid w:val="0052652B"/>
    <w:rsid w:val="0052682F"/>
    <w:rsid w:val="005279DD"/>
    <w:rsid w:val="005321EA"/>
    <w:rsid w:val="00534803"/>
    <w:rsid w:val="00535457"/>
    <w:rsid w:val="005361AA"/>
    <w:rsid w:val="005369B0"/>
    <w:rsid w:val="00536F44"/>
    <w:rsid w:val="00537DA5"/>
    <w:rsid w:val="00537E60"/>
    <w:rsid w:val="00540B9A"/>
    <w:rsid w:val="0054126E"/>
    <w:rsid w:val="00541F1F"/>
    <w:rsid w:val="00542E51"/>
    <w:rsid w:val="00543174"/>
    <w:rsid w:val="0054354F"/>
    <w:rsid w:val="0054520E"/>
    <w:rsid w:val="005454B1"/>
    <w:rsid w:val="00550C33"/>
    <w:rsid w:val="00552179"/>
    <w:rsid w:val="0055401F"/>
    <w:rsid w:val="00554B3A"/>
    <w:rsid w:val="00555EA8"/>
    <w:rsid w:val="0055754A"/>
    <w:rsid w:val="005577F7"/>
    <w:rsid w:val="00557F9F"/>
    <w:rsid w:val="00560887"/>
    <w:rsid w:val="00562C3C"/>
    <w:rsid w:val="00563C4C"/>
    <w:rsid w:val="0056525F"/>
    <w:rsid w:val="00565BEA"/>
    <w:rsid w:val="00567332"/>
    <w:rsid w:val="00567D7B"/>
    <w:rsid w:val="00567E87"/>
    <w:rsid w:val="005703EC"/>
    <w:rsid w:val="00570466"/>
    <w:rsid w:val="005708D5"/>
    <w:rsid w:val="005719FD"/>
    <w:rsid w:val="00571B38"/>
    <w:rsid w:val="00572D3F"/>
    <w:rsid w:val="00572E0C"/>
    <w:rsid w:val="00574BA5"/>
    <w:rsid w:val="00575018"/>
    <w:rsid w:val="005760F4"/>
    <w:rsid w:val="005761A3"/>
    <w:rsid w:val="00576C37"/>
    <w:rsid w:val="00576D55"/>
    <w:rsid w:val="00576F3E"/>
    <w:rsid w:val="0057748A"/>
    <w:rsid w:val="00581193"/>
    <w:rsid w:val="005813EA"/>
    <w:rsid w:val="00582ED5"/>
    <w:rsid w:val="00584AE2"/>
    <w:rsid w:val="00584E01"/>
    <w:rsid w:val="00586487"/>
    <w:rsid w:val="00587121"/>
    <w:rsid w:val="0058779D"/>
    <w:rsid w:val="00590715"/>
    <w:rsid w:val="00592964"/>
    <w:rsid w:val="00596515"/>
    <w:rsid w:val="005968BE"/>
    <w:rsid w:val="0059697C"/>
    <w:rsid w:val="00596CB4"/>
    <w:rsid w:val="005A0BDA"/>
    <w:rsid w:val="005A0CD0"/>
    <w:rsid w:val="005A0F4A"/>
    <w:rsid w:val="005A2334"/>
    <w:rsid w:val="005A2D52"/>
    <w:rsid w:val="005A2F1A"/>
    <w:rsid w:val="005A46F3"/>
    <w:rsid w:val="005A5BD7"/>
    <w:rsid w:val="005A5EAF"/>
    <w:rsid w:val="005A6C7C"/>
    <w:rsid w:val="005B0149"/>
    <w:rsid w:val="005B0B68"/>
    <w:rsid w:val="005B1DDF"/>
    <w:rsid w:val="005B2C61"/>
    <w:rsid w:val="005B3AD1"/>
    <w:rsid w:val="005B410F"/>
    <w:rsid w:val="005B4A45"/>
    <w:rsid w:val="005B5C8F"/>
    <w:rsid w:val="005B6979"/>
    <w:rsid w:val="005B7B49"/>
    <w:rsid w:val="005C1CA3"/>
    <w:rsid w:val="005C22CF"/>
    <w:rsid w:val="005C300C"/>
    <w:rsid w:val="005C50C1"/>
    <w:rsid w:val="005C5AAC"/>
    <w:rsid w:val="005C6C77"/>
    <w:rsid w:val="005C7269"/>
    <w:rsid w:val="005D0F21"/>
    <w:rsid w:val="005D3572"/>
    <w:rsid w:val="005D40A9"/>
    <w:rsid w:val="005D52A7"/>
    <w:rsid w:val="005D5861"/>
    <w:rsid w:val="005D64AE"/>
    <w:rsid w:val="005D6587"/>
    <w:rsid w:val="005D6ACD"/>
    <w:rsid w:val="005E0011"/>
    <w:rsid w:val="005E0AA8"/>
    <w:rsid w:val="005E37A8"/>
    <w:rsid w:val="005E3800"/>
    <w:rsid w:val="005E50F0"/>
    <w:rsid w:val="005E7970"/>
    <w:rsid w:val="005E7F1A"/>
    <w:rsid w:val="005F0692"/>
    <w:rsid w:val="005F2AD1"/>
    <w:rsid w:val="005F633D"/>
    <w:rsid w:val="005F6D3A"/>
    <w:rsid w:val="006007BD"/>
    <w:rsid w:val="00600DCA"/>
    <w:rsid w:val="00601A9E"/>
    <w:rsid w:val="006020AF"/>
    <w:rsid w:val="006030A8"/>
    <w:rsid w:val="006051ED"/>
    <w:rsid w:val="006056C6"/>
    <w:rsid w:val="00605D37"/>
    <w:rsid w:val="00606F39"/>
    <w:rsid w:val="006072CC"/>
    <w:rsid w:val="00611CB1"/>
    <w:rsid w:val="00612E85"/>
    <w:rsid w:val="00614131"/>
    <w:rsid w:val="00614718"/>
    <w:rsid w:val="00614C58"/>
    <w:rsid w:val="0062352D"/>
    <w:rsid w:val="00623A1B"/>
    <w:rsid w:val="006261E3"/>
    <w:rsid w:val="006305EE"/>
    <w:rsid w:val="00630683"/>
    <w:rsid w:val="006306CD"/>
    <w:rsid w:val="00630ABE"/>
    <w:rsid w:val="00631973"/>
    <w:rsid w:val="006341DE"/>
    <w:rsid w:val="00636C63"/>
    <w:rsid w:val="0063732F"/>
    <w:rsid w:val="00637CFD"/>
    <w:rsid w:val="006411F0"/>
    <w:rsid w:val="00641511"/>
    <w:rsid w:val="00641520"/>
    <w:rsid w:val="00641C1C"/>
    <w:rsid w:val="00643A2E"/>
    <w:rsid w:val="00646EEF"/>
    <w:rsid w:val="006536EC"/>
    <w:rsid w:val="006539AB"/>
    <w:rsid w:val="006540E1"/>
    <w:rsid w:val="006540FD"/>
    <w:rsid w:val="00655766"/>
    <w:rsid w:val="00660E7F"/>
    <w:rsid w:val="00660FD8"/>
    <w:rsid w:val="00662639"/>
    <w:rsid w:val="00662645"/>
    <w:rsid w:val="00662A32"/>
    <w:rsid w:val="0066534F"/>
    <w:rsid w:val="006665BD"/>
    <w:rsid w:val="0067089D"/>
    <w:rsid w:val="006709B4"/>
    <w:rsid w:val="0067169A"/>
    <w:rsid w:val="00672405"/>
    <w:rsid w:val="00673201"/>
    <w:rsid w:val="00673233"/>
    <w:rsid w:val="00676372"/>
    <w:rsid w:val="00676CB1"/>
    <w:rsid w:val="00677684"/>
    <w:rsid w:val="00677777"/>
    <w:rsid w:val="00677CB6"/>
    <w:rsid w:val="00677EC6"/>
    <w:rsid w:val="00680678"/>
    <w:rsid w:val="00681108"/>
    <w:rsid w:val="00681B06"/>
    <w:rsid w:val="00682622"/>
    <w:rsid w:val="0068308E"/>
    <w:rsid w:val="00683530"/>
    <w:rsid w:val="00683778"/>
    <w:rsid w:val="00683D63"/>
    <w:rsid w:val="00684CB5"/>
    <w:rsid w:val="00685E8D"/>
    <w:rsid w:val="00686994"/>
    <w:rsid w:val="00686BC7"/>
    <w:rsid w:val="00687281"/>
    <w:rsid w:val="0069104F"/>
    <w:rsid w:val="00691A64"/>
    <w:rsid w:val="00691AB8"/>
    <w:rsid w:val="00692DFA"/>
    <w:rsid w:val="00693598"/>
    <w:rsid w:val="00693680"/>
    <w:rsid w:val="006942E1"/>
    <w:rsid w:val="00694D2C"/>
    <w:rsid w:val="00694DC5"/>
    <w:rsid w:val="00697540"/>
    <w:rsid w:val="006A127A"/>
    <w:rsid w:val="006A2DD9"/>
    <w:rsid w:val="006A3A1C"/>
    <w:rsid w:val="006A40A0"/>
    <w:rsid w:val="006A4BA9"/>
    <w:rsid w:val="006A508A"/>
    <w:rsid w:val="006A5F68"/>
    <w:rsid w:val="006A6AB1"/>
    <w:rsid w:val="006A7206"/>
    <w:rsid w:val="006B00F0"/>
    <w:rsid w:val="006B42FA"/>
    <w:rsid w:val="006B5331"/>
    <w:rsid w:val="006B6BE4"/>
    <w:rsid w:val="006B77A8"/>
    <w:rsid w:val="006C0B0A"/>
    <w:rsid w:val="006C3F26"/>
    <w:rsid w:val="006C47EA"/>
    <w:rsid w:val="006C5D49"/>
    <w:rsid w:val="006C6047"/>
    <w:rsid w:val="006C6125"/>
    <w:rsid w:val="006C6478"/>
    <w:rsid w:val="006C67CA"/>
    <w:rsid w:val="006C6B76"/>
    <w:rsid w:val="006D27FF"/>
    <w:rsid w:val="006D2873"/>
    <w:rsid w:val="006D301E"/>
    <w:rsid w:val="006D3704"/>
    <w:rsid w:val="006D390A"/>
    <w:rsid w:val="006D430F"/>
    <w:rsid w:val="006D50C1"/>
    <w:rsid w:val="006D5C29"/>
    <w:rsid w:val="006D6523"/>
    <w:rsid w:val="006E1A2A"/>
    <w:rsid w:val="006E2FAC"/>
    <w:rsid w:val="006E34BC"/>
    <w:rsid w:val="006E3A53"/>
    <w:rsid w:val="006E3EA0"/>
    <w:rsid w:val="006E4626"/>
    <w:rsid w:val="006E4BC9"/>
    <w:rsid w:val="006E5A9A"/>
    <w:rsid w:val="006E612F"/>
    <w:rsid w:val="006E616C"/>
    <w:rsid w:val="006E7E87"/>
    <w:rsid w:val="006F0AC1"/>
    <w:rsid w:val="006F0B3D"/>
    <w:rsid w:val="006F0E41"/>
    <w:rsid w:val="006F2CD8"/>
    <w:rsid w:val="006F685B"/>
    <w:rsid w:val="006F6F80"/>
    <w:rsid w:val="006F7C56"/>
    <w:rsid w:val="007033D0"/>
    <w:rsid w:val="007037BC"/>
    <w:rsid w:val="0070403F"/>
    <w:rsid w:val="0070478C"/>
    <w:rsid w:val="00706EFA"/>
    <w:rsid w:val="0070725D"/>
    <w:rsid w:val="0070758D"/>
    <w:rsid w:val="00711AAB"/>
    <w:rsid w:val="007137DB"/>
    <w:rsid w:val="00715CFF"/>
    <w:rsid w:val="00715D59"/>
    <w:rsid w:val="007162CA"/>
    <w:rsid w:val="00716324"/>
    <w:rsid w:val="007164D2"/>
    <w:rsid w:val="00716CF1"/>
    <w:rsid w:val="0071719B"/>
    <w:rsid w:val="00720334"/>
    <w:rsid w:val="0072089C"/>
    <w:rsid w:val="00720D19"/>
    <w:rsid w:val="00720E41"/>
    <w:rsid w:val="00721EBD"/>
    <w:rsid w:val="00721EBF"/>
    <w:rsid w:val="007222F2"/>
    <w:rsid w:val="007230C3"/>
    <w:rsid w:val="00724934"/>
    <w:rsid w:val="007275C9"/>
    <w:rsid w:val="00730789"/>
    <w:rsid w:val="007309F8"/>
    <w:rsid w:val="00731738"/>
    <w:rsid w:val="00731892"/>
    <w:rsid w:val="00731B7E"/>
    <w:rsid w:val="00735E60"/>
    <w:rsid w:val="00736D6B"/>
    <w:rsid w:val="00736E55"/>
    <w:rsid w:val="00737303"/>
    <w:rsid w:val="00737F13"/>
    <w:rsid w:val="00740E39"/>
    <w:rsid w:val="00741465"/>
    <w:rsid w:val="007435A0"/>
    <w:rsid w:val="00744538"/>
    <w:rsid w:val="0074474F"/>
    <w:rsid w:val="00744C75"/>
    <w:rsid w:val="00745278"/>
    <w:rsid w:val="007463B6"/>
    <w:rsid w:val="00746A95"/>
    <w:rsid w:val="00746EB0"/>
    <w:rsid w:val="00747CDE"/>
    <w:rsid w:val="007505F7"/>
    <w:rsid w:val="0075114F"/>
    <w:rsid w:val="0075270E"/>
    <w:rsid w:val="00752B91"/>
    <w:rsid w:val="00752B95"/>
    <w:rsid w:val="00752E04"/>
    <w:rsid w:val="0075312A"/>
    <w:rsid w:val="00755D1B"/>
    <w:rsid w:val="00755D68"/>
    <w:rsid w:val="00760401"/>
    <w:rsid w:val="00760A6B"/>
    <w:rsid w:val="00761A99"/>
    <w:rsid w:val="00761DC6"/>
    <w:rsid w:val="00762F4A"/>
    <w:rsid w:val="00763E80"/>
    <w:rsid w:val="007642DC"/>
    <w:rsid w:val="00767912"/>
    <w:rsid w:val="00767CE3"/>
    <w:rsid w:val="00770C5B"/>
    <w:rsid w:val="00772287"/>
    <w:rsid w:val="00772CFA"/>
    <w:rsid w:val="00774409"/>
    <w:rsid w:val="00777F55"/>
    <w:rsid w:val="007804A0"/>
    <w:rsid w:val="0078112B"/>
    <w:rsid w:val="00781A2F"/>
    <w:rsid w:val="00781BC1"/>
    <w:rsid w:val="007824F7"/>
    <w:rsid w:val="007838D7"/>
    <w:rsid w:val="00784DC6"/>
    <w:rsid w:val="00784F93"/>
    <w:rsid w:val="007858F5"/>
    <w:rsid w:val="00786105"/>
    <w:rsid w:val="00787489"/>
    <w:rsid w:val="007877C4"/>
    <w:rsid w:val="00787C0F"/>
    <w:rsid w:val="0079107A"/>
    <w:rsid w:val="00791A39"/>
    <w:rsid w:val="00791A97"/>
    <w:rsid w:val="00791BB2"/>
    <w:rsid w:val="007924AE"/>
    <w:rsid w:val="00794B65"/>
    <w:rsid w:val="00797EFB"/>
    <w:rsid w:val="007A01FC"/>
    <w:rsid w:val="007A1FA8"/>
    <w:rsid w:val="007A203A"/>
    <w:rsid w:val="007A3F52"/>
    <w:rsid w:val="007A437C"/>
    <w:rsid w:val="007A4B56"/>
    <w:rsid w:val="007A5591"/>
    <w:rsid w:val="007A5A7F"/>
    <w:rsid w:val="007B09D4"/>
    <w:rsid w:val="007B0C0D"/>
    <w:rsid w:val="007B2E3B"/>
    <w:rsid w:val="007B33EC"/>
    <w:rsid w:val="007B3748"/>
    <w:rsid w:val="007B3B65"/>
    <w:rsid w:val="007B51D4"/>
    <w:rsid w:val="007B6110"/>
    <w:rsid w:val="007B6B5D"/>
    <w:rsid w:val="007B7318"/>
    <w:rsid w:val="007B7884"/>
    <w:rsid w:val="007C0C61"/>
    <w:rsid w:val="007C1E8F"/>
    <w:rsid w:val="007C3598"/>
    <w:rsid w:val="007C418A"/>
    <w:rsid w:val="007C4666"/>
    <w:rsid w:val="007C673D"/>
    <w:rsid w:val="007C74E0"/>
    <w:rsid w:val="007C7ABB"/>
    <w:rsid w:val="007C7FE1"/>
    <w:rsid w:val="007D0A11"/>
    <w:rsid w:val="007D116E"/>
    <w:rsid w:val="007D3804"/>
    <w:rsid w:val="007D3D1C"/>
    <w:rsid w:val="007D3D27"/>
    <w:rsid w:val="007D4743"/>
    <w:rsid w:val="007D54E0"/>
    <w:rsid w:val="007D57A9"/>
    <w:rsid w:val="007D5B1E"/>
    <w:rsid w:val="007D5C3A"/>
    <w:rsid w:val="007D677E"/>
    <w:rsid w:val="007D780D"/>
    <w:rsid w:val="007E043A"/>
    <w:rsid w:val="007E1350"/>
    <w:rsid w:val="007E293F"/>
    <w:rsid w:val="007E2D90"/>
    <w:rsid w:val="007E2DF8"/>
    <w:rsid w:val="007E3754"/>
    <w:rsid w:val="007E4A60"/>
    <w:rsid w:val="007E576C"/>
    <w:rsid w:val="007E5876"/>
    <w:rsid w:val="007E5A0B"/>
    <w:rsid w:val="007F1839"/>
    <w:rsid w:val="007F185B"/>
    <w:rsid w:val="007F30E2"/>
    <w:rsid w:val="007F32D7"/>
    <w:rsid w:val="007F48BF"/>
    <w:rsid w:val="007F53A4"/>
    <w:rsid w:val="007F578A"/>
    <w:rsid w:val="007F6CEC"/>
    <w:rsid w:val="007F73FA"/>
    <w:rsid w:val="00800F6F"/>
    <w:rsid w:val="0080107C"/>
    <w:rsid w:val="008016BE"/>
    <w:rsid w:val="00801F4A"/>
    <w:rsid w:val="00803DC6"/>
    <w:rsid w:val="00804A42"/>
    <w:rsid w:val="00804AFB"/>
    <w:rsid w:val="008068F5"/>
    <w:rsid w:val="00807002"/>
    <w:rsid w:val="0080719D"/>
    <w:rsid w:val="00810BC0"/>
    <w:rsid w:val="0081142A"/>
    <w:rsid w:val="00811CF2"/>
    <w:rsid w:val="0081394A"/>
    <w:rsid w:val="00813CEA"/>
    <w:rsid w:val="00814440"/>
    <w:rsid w:val="0081621C"/>
    <w:rsid w:val="00816871"/>
    <w:rsid w:val="00817056"/>
    <w:rsid w:val="00817590"/>
    <w:rsid w:val="00820068"/>
    <w:rsid w:val="00820182"/>
    <w:rsid w:val="00820191"/>
    <w:rsid w:val="00821212"/>
    <w:rsid w:val="00822E69"/>
    <w:rsid w:val="0082336B"/>
    <w:rsid w:val="0082337D"/>
    <w:rsid w:val="0082525F"/>
    <w:rsid w:val="00825C6D"/>
    <w:rsid w:val="00826FA1"/>
    <w:rsid w:val="00827F68"/>
    <w:rsid w:val="00831E94"/>
    <w:rsid w:val="00832050"/>
    <w:rsid w:val="008359AB"/>
    <w:rsid w:val="008369B7"/>
    <w:rsid w:val="00836CEE"/>
    <w:rsid w:val="008372AF"/>
    <w:rsid w:val="008373B8"/>
    <w:rsid w:val="00842404"/>
    <w:rsid w:val="0084248E"/>
    <w:rsid w:val="008426FF"/>
    <w:rsid w:val="0084271A"/>
    <w:rsid w:val="008434E1"/>
    <w:rsid w:val="00844623"/>
    <w:rsid w:val="008446C9"/>
    <w:rsid w:val="00844853"/>
    <w:rsid w:val="008459AB"/>
    <w:rsid w:val="008473F7"/>
    <w:rsid w:val="00847E60"/>
    <w:rsid w:val="008525F4"/>
    <w:rsid w:val="008530B2"/>
    <w:rsid w:val="00854A1E"/>
    <w:rsid w:val="008555E9"/>
    <w:rsid w:val="00855B33"/>
    <w:rsid w:val="00857947"/>
    <w:rsid w:val="0086058B"/>
    <w:rsid w:val="00860761"/>
    <w:rsid w:val="00860CCF"/>
    <w:rsid w:val="00861D68"/>
    <w:rsid w:val="008628AB"/>
    <w:rsid w:val="00862CAC"/>
    <w:rsid w:val="00862CF9"/>
    <w:rsid w:val="0086418F"/>
    <w:rsid w:val="00865133"/>
    <w:rsid w:val="0086526B"/>
    <w:rsid w:val="00865588"/>
    <w:rsid w:val="008678AE"/>
    <w:rsid w:val="00867DE4"/>
    <w:rsid w:val="00867FFC"/>
    <w:rsid w:val="00870AF6"/>
    <w:rsid w:val="00870C80"/>
    <w:rsid w:val="00871711"/>
    <w:rsid w:val="00872645"/>
    <w:rsid w:val="00872790"/>
    <w:rsid w:val="00872D64"/>
    <w:rsid w:val="00872D81"/>
    <w:rsid w:val="00874B09"/>
    <w:rsid w:val="0088106A"/>
    <w:rsid w:val="0088119B"/>
    <w:rsid w:val="00882C48"/>
    <w:rsid w:val="00882DC0"/>
    <w:rsid w:val="008833A1"/>
    <w:rsid w:val="008836A6"/>
    <w:rsid w:val="00884285"/>
    <w:rsid w:val="008853D4"/>
    <w:rsid w:val="00885CED"/>
    <w:rsid w:val="00886C00"/>
    <w:rsid w:val="00890669"/>
    <w:rsid w:val="008915D0"/>
    <w:rsid w:val="00891CFE"/>
    <w:rsid w:val="00891DAB"/>
    <w:rsid w:val="00892C16"/>
    <w:rsid w:val="0089307A"/>
    <w:rsid w:val="0089531F"/>
    <w:rsid w:val="008968F2"/>
    <w:rsid w:val="00897CD9"/>
    <w:rsid w:val="008A177C"/>
    <w:rsid w:val="008A1C08"/>
    <w:rsid w:val="008A3B48"/>
    <w:rsid w:val="008A4665"/>
    <w:rsid w:val="008A59C4"/>
    <w:rsid w:val="008B024A"/>
    <w:rsid w:val="008B15C9"/>
    <w:rsid w:val="008B162E"/>
    <w:rsid w:val="008B4EB0"/>
    <w:rsid w:val="008B61E1"/>
    <w:rsid w:val="008B61EA"/>
    <w:rsid w:val="008B79AD"/>
    <w:rsid w:val="008B7EF4"/>
    <w:rsid w:val="008C0325"/>
    <w:rsid w:val="008C0426"/>
    <w:rsid w:val="008C1590"/>
    <w:rsid w:val="008C2952"/>
    <w:rsid w:val="008C31E4"/>
    <w:rsid w:val="008C352D"/>
    <w:rsid w:val="008C359E"/>
    <w:rsid w:val="008C3678"/>
    <w:rsid w:val="008C391D"/>
    <w:rsid w:val="008C5BD5"/>
    <w:rsid w:val="008C649B"/>
    <w:rsid w:val="008C6517"/>
    <w:rsid w:val="008C6C34"/>
    <w:rsid w:val="008C7CE6"/>
    <w:rsid w:val="008D037A"/>
    <w:rsid w:val="008D0D4C"/>
    <w:rsid w:val="008D5796"/>
    <w:rsid w:val="008D6664"/>
    <w:rsid w:val="008D6DC2"/>
    <w:rsid w:val="008E1E2A"/>
    <w:rsid w:val="008E3FCF"/>
    <w:rsid w:val="008E46EF"/>
    <w:rsid w:val="008E4FB4"/>
    <w:rsid w:val="008E5239"/>
    <w:rsid w:val="008E5B1C"/>
    <w:rsid w:val="008E6E1D"/>
    <w:rsid w:val="008E74BA"/>
    <w:rsid w:val="008E7715"/>
    <w:rsid w:val="008F0E7B"/>
    <w:rsid w:val="008F1733"/>
    <w:rsid w:val="008F1B70"/>
    <w:rsid w:val="008F2866"/>
    <w:rsid w:val="008F37C0"/>
    <w:rsid w:val="008F458F"/>
    <w:rsid w:val="008F5655"/>
    <w:rsid w:val="008F5E68"/>
    <w:rsid w:val="008F7100"/>
    <w:rsid w:val="008F7D3C"/>
    <w:rsid w:val="0090065A"/>
    <w:rsid w:val="00904041"/>
    <w:rsid w:val="0090471C"/>
    <w:rsid w:val="00904EC5"/>
    <w:rsid w:val="009056F6"/>
    <w:rsid w:val="00905D92"/>
    <w:rsid w:val="00905DF3"/>
    <w:rsid w:val="00906C05"/>
    <w:rsid w:val="00907901"/>
    <w:rsid w:val="0091037F"/>
    <w:rsid w:val="00910708"/>
    <w:rsid w:val="00910D78"/>
    <w:rsid w:val="00911151"/>
    <w:rsid w:val="00913EBE"/>
    <w:rsid w:val="00913FD5"/>
    <w:rsid w:val="00914CA2"/>
    <w:rsid w:val="00916E01"/>
    <w:rsid w:val="00917795"/>
    <w:rsid w:val="00917C9A"/>
    <w:rsid w:val="009207EB"/>
    <w:rsid w:val="00921BED"/>
    <w:rsid w:val="00923535"/>
    <w:rsid w:val="009257B8"/>
    <w:rsid w:val="00926AA9"/>
    <w:rsid w:val="00926E5F"/>
    <w:rsid w:val="0093191F"/>
    <w:rsid w:val="00931E2D"/>
    <w:rsid w:val="009332B2"/>
    <w:rsid w:val="009338B2"/>
    <w:rsid w:val="0093410C"/>
    <w:rsid w:val="00934491"/>
    <w:rsid w:val="00934EA4"/>
    <w:rsid w:val="00935516"/>
    <w:rsid w:val="00937773"/>
    <w:rsid w:val="0094043B"/>
    <w:rsid w:val="00941FFF"/>
    <w:rsid w:val="009424BE"/>
    <w:rsid w:val="00942CAE"/>
    <w:rsid w:val="00942CF4"/>
    <w:rsid w:val="0094429E"/>
    <w:rsid w:val="009457B0"/>
    <w:rsid w:val="00945DF3"/>
    <w:rsid w:val="00946067"/>
    <w:rsid w:val="00950705"/>
    <w:rsid w:val="00950D72"/>
    <w:rsid w:val="009520C1"/>
    <w:rsid w:val="00952C94"/>
    <w:rsid w:val="00954044"/>
    <w:rsid w:val="00954E7B"/>
    <w:rsid w:val="00955BC2"/>
    <w:rsid w:val="00956372"/>
    <w:rsid w:val="00956B73"/>
    <w:rsid w:val="00960969"/>
    <w:rsid w:val="009627BB"/>
    <w:rsid w:val="0096291B"/>
    <w:rsid w:val="00962E4A"/>
    <w:rsid w:val="0096398A"/>
    <w:rsid w:val="00967B94"/>
    <w:rsid w:val="00970E24"/>
    <w:rsid w:val="0097105E"/>
    <w:rsid w:val="00972B21"/>
    <w:rsid w:val="00973C41"/>
    <w:rsid w:val="0097412E"/>
    <w:rsid w:val="0097519D"/>
    <w:rsid w:val="00975F29"/>
    <w:rsid w:val="00976059"/>
    <w:rsid w:val="00976D44"/>
    <w:rsid w:val="00977AA4"/>
    <w:rsid w:val="00977E68"/>
    <w:rsid w:val="00980222"/>
    <w:rsid w:val="0098086A"/>
    <w:rsid w:val="009817C9"/>
    <w:rsid w:val="0098359B"/>
    <w:rsid w:val="009843F7"/>
    <w:rsid w:val="0098729C"/>
    <w:rsid w:val="00987FC9"/>
    <w:rsid w:val="00991071"/>
    <w:rsid w:val="00992183"/>
    <w:rsid w:val="00992658"/>
    <w:rsid w:val="009927BB"/>
    <w:rsid w:val="00992E79"/>
    <w:rsid w:val="00995C82"/>
    <w:rsid w:val="009961A1"/>
    <w:rsid w:val="00997E1A"/>
    <w:rsid w:val="009A02AF"/>
    <w:rsid w:val="009A093B"/>
    <w:rsid w:val="009A0B10"/>
    <w:rsid w:val="009A15C2"/>
    <w:rsid w:val="009A15EA"/>
    <w:rsid w:val="009A1843"/>
    <w:rsid w:val="009A21FD"/>
    <w:rsid w:val="009A227F"/>
    <w:rsid w:val="009A2BD0"/>
    <w:rsid w:val="009A2EA1"/>
    <w:rsid w:val="009A36B9"/>
    <w:rsid w:val="009A5638"/>
    <w:rsid w:val="009A6178"/>
    <w:rsid w:val="009A69CF"/>
    <w:rsid w:val="009B239F"/>
    <w:rsid w:val="009B3361"/>
    <w:rsid w:val="009B49AC"/>
    <w:rsid w:val="009B5FBA"/>
    <w:rsid w:val="009B63F3"/>
    <w:rsid w:val="009B774D"/>
    <w:rsid w:val="009C0EB6"/>
    <w:rsid w:val="009C15CA"/>
    <w:rsid w:val="009C22A6"/>
    <w:rsid w:val="009C2AD0"/>
    <w:rsid w:val="009C3CEC"/>
    <w:rsid w:val="009C5263"/>
    <w:rsid w:val="009C7BE4"/>
    <w:rsid w:val="009D1F0B"/>
    <w:rsid w:val="009D21F3"/>
    <w:rsid w:val="009D38EF"/>
    <w:rsid w:val="009D424E"/>
    <w:rsid w:val="009D4CF0"/>
    <w:rsid w:val="009D57AF"/>
    <w:rsid w:val="009D669D"/>
    <w:rsid w:val="009D78BE"/>
    <w:rsid w:val="009E07DD"/>
    <w:rsid w:val="009E1FDA"/>
    <w:rsid w:val="009E3CEE"/>
    <w:rsid w:val="009E5EE9"/>
    <w:rsid w:val="009E6B53"/>
    <w:rsid w:val="009E7E42"/>
    <w:rsid w:val="009E7F22"/>
    <w:rsid w:val="009F1BA9"/>
    <w:rsid w:val="009F1FDC"/>
    <w:rsid w:val="009F2163"/>
    <w:rsid w:val="009F2353"/>
    <w:rsid w:val="009F25FA"/>
    <w:rsid w:val="009F2B0F"/>
    <w:rsid w:val="009F2F4D"/>
    <w:rsid w:val="009F306F"/>
    <w:rsid w:val="009F4683"/>
    <w:rsid w:val="009F4776"/>
    <w:rsid w:val="009F5B1F"/>
    <w:rsid w:val="009F5DBC"/>
    <w:rsid w:val="009F633E"/>
    <w:rsid w:val="009F7DB0"/>
    <w:rsid w:val="00A00C7A"/>
    <w:rsid w:val="00A010C9"/>
    <w:rsid w:val="00A01CDF"/>
    <w:rsid w:val="00A0294C"/>
    <w:rsid w:val="00A02E05"/>
    <w:rsid w:val="00A02F37"/>
    <w:rsid w:val="00A02F9B"/>
    <w:rsid w:val="00A065E5"/>
    <w:rsid w:val="00A06B58"/>
    <w:rsid w:val="00A07146"/>
    <w:rsid w:val="00A07608"/>
    <w:rsid w:val="00A10A37"/>
    <w:rsid w:val="00A10DED"/>
    <w:rsid w:val="00A10E5F"/>
    <w:rsid w:val="00A1122C"/>
    <w:rsid w:val="00A11595"/>
    <w:rsid w:val="00A11BC6"/>
    <w:rsid w:val="00A14CF7"/>
    <w:rsid w:val="00A155A8"/>
    <w:rsid w:val="00A15B12"/>
    <w:rsid w:val="00A17F0C"/>
    <w:rsid w:val="00A208DC"/>
    <w:rsid w:val="00A210F3"/>
    <w:rsid w:val="00A21869"/>
    <w:rsid w:val="00A22A76"/>
    <w:rsid w:val="00A23286"/>
    <w:rsid w:val="00A25362"/>
    <w:rsid w:val="00A274B9"/>
    <w:rsid w:val="00A30548"/>
    <w:rsid w:val="00A34D37"/>
    <w:rsid w:val="00A34FA7"/>
    <w:rsid w:val="00A35C0F"/>
    <w:rsid w:val="00A36149"/>
    <w:rsid w:val="00A36E67"/>
    <w:rsid w:val="00A36EDF"/>
    <w:rsid w:val="00A37410"/>
    <w:rsid w:val="00A40081"/>
    <w:rsid w:val="00A40F09"/>
    <w:rsid w:val="00A42508"/>
    <w:rsid w:val="00A438F9"/>
    <w:rsid w:val="00A43E1E"/>
    <w:rsid w:val="00A45D46"/>
    <w:rsid w:val="00A46F40"/>
    <w:rsid w:val="00A47069"/>
    <w:rsid w:val="00A471AE"/>
    <w:rsid w:val="00A4763B"/>
    <w:rsid w:val="00A47ED7"/>
    <w:rsid w:val="00A50159"/>
    <w:rsid w:val="00A51BC9"/>
    <w:rsid w:val="00A5271E"/>
    <w:rsid w:val="00A53A24"/>
    <w:rsid w:val="00A54791"/>
    <w:rsid w:val="00A566FC"/>
    <w:rsid w:val="00A5677F"/>
    <w:rsid w:val="00A5786C"/>
    <w:rsid w:val="00A6004B"/>
    <w:rsid w:val="00A60827"/>
    <w:rsid w:val="00A60D14"/>
    <w:rsid w:val="00A62543"/>
    <w:rsid w:val="00A6392A"/>
    <w:rsid w:val="00A63F7E"/>
    <w:rsid w:val="00A643F4"/>
    <w:rsid w:val="00A67EFD"/>
    <w:rsid w:val="00A705FC"/>
    <w:rsid w:val="00A70614"/>
    <w:rsid w:val="00A71065"/>
    <w:rsid w:val="00A727C4"/>
    <w:rsid w:val="00A73C5E"/>
    <w:rsid w:val="00A742C7"/>
    <w:rsid w:val="00A7466C"/>
    <w:rsid w:val="00A74B74"/>
    <w:rsid w:val="00A75157"/>
    <w:rsid w:val="00A7701C"/>
    <w:rsid w:val="00A77045"/>
    <w:rsid w:val="00A808D1"/>
    <w:rsid w:val="00A80942"/>
    <w:rsid w:val="00A810CF"/>
    <w:rsid w:val="00A81760"/>
    <w:rsid w:val="00A81BEB"/>
    <w:rsid w:val="00A8579E"/>
    <w:rsid w:val="00A857F4"/>
    <w:rsid w:val="00A86597"/>
    <w:rsid w:val="00A866E5"/>
    <w:rsid w:val="00A867E9"/>
    <w:rsid w:val="00A86C70"/>
    <w:rsid w:val="00A90F3B"/>
    <w:rsid w:val="00A9144A"/>
    <w:rsid w:val="00A9153A"/>
    <w:rsid w:val="00A93B81"/>
    <w:rsid w:val="00A9510C"/>
    <w:rsid w:val="00A9714B"/>
    <w:rsid w:val="00A97796"/>
    <w:rsid w:val="00A97E22"/>
    <w:rsid w:val="00AA06B9"/>
    <w:rsid w:val="00AA121E"/>
    <w:rsid w:val="00AA1A3F"/>
    <w:rsid w:val="00AA1C89"/>
    <w:rsid w:val="00AA371E"/>
    <w:rsid w:val="00AA52F9"/>
    <w:rsid w:val="00AA56CD"/>
    <w:rsid w:val="00AA5C19"/>
    <w:rsid w:val="00AA6500"/>
    <w:rsid w:val="00AA666D"/>
    <w:rsid w:val="00AA6FA9"/>
    <w:rsid w:val="00AA7F7A"/>
    <w:rsid w:val="00AB0C28"/>
    <w:rsid w:val="00AB0C91"/>
    <w:rsid w:val="00AB1127"/>
    <w:rsid w:val="00AB1CFE"/>
    <w:rsid w:val="00AB280A"/>
    <w:rsid w:val="00AB67D5"/>
    <w:rsid w:val="00AB7451"/>
    <w:rsid w:val="00AB7D1C"/>
    <w:rsid w:val="00AC20AE"/>
    <w:rsid w:val="00AC2B6E"/>
    <w:rsid w:val="00AC4963"/>
    <w:rsid w:val="00AC4D2E"/>
    <w:rsid w:val="00AC4E20"/>
    <w:rsid w:val="00AC52E7"/>
    <w:rsid w:val="00AC561C"/>
    <w:rsid w:val="00AC570D"/>
    <w:rsid w:val="00AC5B36"/>
    <w:rsid w:val="00AC6537"/>
    <w:rsid w:val="00AC6C03"/>
    <w:rsid w:val="00AC710F"/>
    <w:rsid w:val="00AD0771"/>
    <w:rsid w:val="00AD0B0F"/>
    <w:rsid w:val="00AD13E2"/>
    <w:rsid w:val="00AD1555"/>
    <w:rsid w:val="00AD19E2"/>
    <w:rsid w:val="00AD2BCA"/>
    <w:rsid w:val="00AD2DBC"/>
    <w:rsid w:val="00AD35BD"/>
    <w:rsid w:val="00AD4104"/>
    <w:rsid w:val="00AD5AF4"/>
    <w:rsid w:val="00AD61E4"/>
    <w:rsid w:val="00AD64AF"/>
    <w:rsid w:val="00AD665A"/>
    <w:rsid w:val="00AD6D12"/>
    <w:rsid w:val="00AD7093"/>
    <w:rsid w:val="00AE06A5"/>
    <w:rsid w:val="00AE1AED"/>
    <w:rsid w:val="00AE2B3E"/>
    <w:rsid w:val="00AE2BC5"/>
    <w:rsid w:val="00AE3C92"/>
    <w:rsid w:val="00AE43DA"/>
    <w:rsid w:val="00AE55DB"/>
    <w:rsid w:val="00AE65C6"/>
    <w:rsid w:val="00AF03BE"/>
    <w:rsid w:val="00AF0FBE"/>
    <w:rsid w:val="00AF18C3"/>
    <w:rsid w:val="00AF2212"/>
    <w:rsid w:val="00AF28D9"/>
    <w:rsid w:val="00AF2D46"/>
    <w:rsid w:val="00AF4204"/>
    <w:rsid w:val="00AF515E"/>
    <w:rsid w:val="00AF66AF"/>
    <w:rsid w:val="00AF6969"/>
    <w:rsid w:val="00AF6CE3"/>
    <w:rsid w:val="00AF74BC"/>
    <w:rsid w:val="00AF7649"/>
    <w:rsid w:val="00AF7BCB"/>
    <w:rsid w:val="00AF7FEC"/>
    <w:rsid w:val="00B00A9E"/>
    <w:rsid w:val="00B00C9F"/>
    <w:rsid w:val="00B00D9F"/>
    <w:rsid w:val="00B025CA"/>
    <w:rsid w:val="00B030F5"/>
    <w:rsid w:val="00B03C19"/>
    <w:rsid w:val="00B03FA1"/>
    <w:rsid w:val="00B040C7"/>
    <w:rsid w:val="00B0410A"/>
    <w:rsid w:val="00B05C64"/>
    <w:rsid w:val="00B06205"/>
    <w:rsid w:val="00B063C9"/>
    <w:rsid w:val="00B065C9"/>
    <w:rsid w:val="00B06D03"/>
    <w:rsid w:val="00B06F6F"/>
    <w:rsid w:val="00B073E3"/>
    <w:rsid w:val="00B07706"/>
    <w:rsid w:val="00B07858"/>
    <w:rsid w:val="00B078E2"/>
    <w:rsid w:val="00B07DF4"/>
    <w:rsid w:val="00B10B69"/>
    <w:rsid w:val="00B11068"/>
    <w:rsid w:val="00B1137E"/>
    <w:rsid w:val="00B11435"/>
    <w:rsid w:val="00B11E39"/>
    <w:rsid w:val="00B12A61"/>
    <w:rsid w:val="00B131D2"/>
    <w:rsid w:val="00B136CD"/>
    <w:rsid w:val="00B13945"/>
    <w:rsid w:val="00B13F8F"/>
    <w:rsid w:val="00B15009"/>
    <w:rsid w:val="00B15A99"/>
    <w:rsid w:val="00B15DFC"/>
    <w:rsid w:val="00B171B9"/>
    <w:rsid w:val="00B209BE"/>
    <w:rsid w:val="00B20DD0"/>
    <w:rsid w:val="00B21E07"/>
    <w:rsid w:val="00B21FE9"/>
    <w:rsid w:val="00B227F8"/>
    <w:rsid w:val="00B237AA"/>
    <w:rsid w:val="00B25EAF"/>
    <w:rsid w:val="00B25F9F"/>
    <w:rsid w:val="00B26519"/>
    <w:rsid w:val="00B31228"/>
    <w:rsid w:val="00B3349B"/>
    <w:rsid w:val="00B33762"/>
    <w:rsid w:val="00B3480A"/>
    <w:rsid w:val="00B353C0"/>
    <w:rsid w:val="00B35AB7"/>
    <w:rsid w:val="00B37144"/>
    <w:rsid w:val="00B3727D"/>
    <w:rsid w:val="00B3730F"/>
    <w:rsid w:val="00B3742E"/>
    <w:rsid w:val="00B37692"/>
    <w:rsid w:val="00B37ABE"/>
    <w:rsid w:val="00B418D7"/>
    <w:rsid w:val="00B4196B"/>
    <w:rsid w:val="00B4213B"/>
    <w:rsid w:val="00B436D2"/>
    <w:rsid w:val="00B447AA"/>
    <w:rsid w:val="00B457D4"/>
    <w:rsid w:val="00B45F10"/>
    <w:rsid w:val="00B47B0E"/>
    <w:rsid w:val="00B50CAF"/>
    <w:rsid w:val="00B523BB"/>
    <w:rsid w:val="00B52745"/>
    <w:rsid w:val="00B53CC8"/>
    <w:rsid w:val="00B543AC"/>
    <w:rsid w:val="00B543D7"/>
    <w:rsid w:val="00B54EEE"/>
    <w:rsid w:val="00B62204"/>
    <w:rsid w:val="00B6340D"/>
    <w:rsid w:val="00B67BD8"/>
    <w:rsid w:val="00B70217"/>
    <w:rsid w:val="00B7029D"/>
    <w:rsid w:val="00B7134D"/>
    <w:rsid w:val="00B7178B"/>
    <w:rsid w:val="00B72116"/>
    <w:rsid w:val="00B72EF5"/>
    <w:rsid w:val="00B77B40"/>
    <w:rsid w:val="00B77CBC"/>
    <w:rsid w:val="00B81C51"/>
    <w:rsid w:val="00B81DB5"/>
    <w:rsid w:val="00B81EAE"/>
    <w:rsid w:val="00B8350F"/>
    <w:rsid w:val="00B83709"/>
    <w:rsid w:val="00B83E18"/>
    <w:rsid w:val="00B84501"/>
    <w:rsid w:val="00B84A7F"/>
    <w:rsid w:val="00B84C63"/>
    <w:rsid w:val="00B84CC9"/>
    <w:rsid w:val="00B84DD6"/>
    <w:rsid w:val="00B84E5A"/>
    <w:rsid w:val="00B8504E"/>
    <w:rsid w:val="00B857E9"/>
    <w:rsid w:val="00B86735"/>
    <w:rsid w:val="00B86B4B"/>
    <w:rsid w:val="00B87B24"/>
    <w:rsid w:val="00B87C36"/>
    <w:rsid w:val="00B90CA1"/>
    <w:rsid w:val="00B912CD"/>
    <w:rsid w:val="00B9183C"/>
    <w:rsid w:val="00B91937"/>
    <w:rsid w:val="00B92D40"/>
    <w:rsid w:val="00B96ACF"/>
    <w:rsid w:val="00B9703D"/>
    <w:rsid w:val="00B9743F"/>
    <w:rsid w:val="00BA069C"/>
    <w:rsid w:val="00BA0CB0"/>
    <w:rsid w:val="00BA0FE9"/>
    <w:rsid w:val="00BA20C5"/>
    <w:rsid w:val="00BA2144"/>
    <w:rsid w:val="00BA2211"/>
    <w:rsid w:val="00BA27C1"/>
    <w:rsid w:val="00BA29E5"/>
    <w:rsid w:val="00BA3F09"/>
    <w:rsid w:val="00BA5B4D"/>
    <w:rsid w:val="00BA613C"/>
    <w:rsid w:val="00BA6461"/>
    <w:rsid w:val="00BA6D65"/>
    <w:rsid w:val="00BB0BED"/>
    <w:rsid w:val="00BB227D"/>
    <w:rsid w:val="00BB2BBB"/>
    <w:rsid w:val="00BB3973"/>
    <w:rsid w:val="00BB4495"/>
    <w:rsid w:val="00BB4F59"/>
    <w:rsid w:val="00BB590F"/>
    <w:rsid w:val="00BB63F2"/>
    <w:rsid w:val="00BB67A8"/>
    <w:rsid w:val="00BB6872"/>
    <w:rsid w:val="00BB691A"/>
    <w:rsid w:val="00BB74DC"/>
    <w:rsid w:val="00BC1008"/>
    <w:rsid w:val="00BC1198"/>
    <w:rsid w:val="00BC1666"/>
    <w:rsid w:val="00BC1E1E"/>
    <w:rsid w:val="00BC3DB2"/>
    <w:rsid w:val="00BC5940"/>
    <w:rsid w:val="00BC6E4F"/>
    <w:rsid w:val="00BC7711"/>
    <w:rsid w:val="00BC7E00"/>
    <w:rsid w:val="00BD0C1E"/>
    <w:rsid w:val="00BD0DC6"/>
    <w:rsid w:val="00BD45B0"/>
    <w:rsid w:val="00BD53A0"/>
    <w:rsid w:val="00BD5678"/>
    <w:rsid w:val="00BD59C2"/>
    <w:rsid w:val="00BD5E5B"/>
    <w:rsid w:val="00BD5F1F"/>
    <w:rsid w:val="00BD659F"/>
    <w:rsid w:val="00BD669D"/>
    <w:rsid w:val="00BD6A7C"/>
    <w:rsid w:val="00BD7E16"/>
    <w:rsid w:val="00BE0E66"/>
    <w:rsid w:val="00BE11EC"/>
    <w:rsid w:val="00BE1B30"/>
    <w:rsid w:val="00BE3A08"/>
    <w:rsid w:val="00BE3AFB"/>
    <w:rsid w:val="00BE4360"/>
    <w:rsid w:val="00BE4E13"/>
    <w:rsid w:val="00BE69C1"/>
    <w:rsid w:val="00BE7863"/>
    <w:rsid w:val="00BF1348"/>
    <w:rsid w:val="00BF1D82"/>
    <w:rsid w:val="00BF1F92"/>
    <w:rsid w:val="00BF2AD1"/>
    <w:rsid w:val="00BF2F5E"/>
    <w:rsid w:val="00BF3D02"/>
    <w:rsid w:val="00BF3D13"/>
    <w:rsid w:val="00BF4436"/>
    <w:rsid w:val="00BF5D22"/>
    <w:rsid w:val="00BF64C2"/>
    <w:rsid w:val="00BF73E4"/>
    <w:rsid w:val="00C002E6"/>
    <w:rsid w:val="00C010C4"/>
    <w:rsid w:val="00C02B39"/>
    <w:rsid w:val="00C035EE"/>
    <w:rsid w:val="00C03D17"/>
    <w:rsid w:val="00C04314"/>
    <w:rsid w:val="00C04B5A"/>
    <w:rsid w:val="00C06A70"/>
    <w:rsid w:val="00C070E1"/>
    <w:rsid w:val="00C07C2C"/>
    <w:rsid w:val="00C07CC9"/>
    <w:rsid w:val="00C07D7C"/>
    <w:rsid w:val="00C1206D"/>
    <w:rsid w:val="00C12364"/>
    <w:rsid w:val="00C13008"/>
    <w:rsid w:val="00C14E45"/>
    <w:rsid w:val="00C15812"/>
    <w:rsid w:val="00C15931"/>
    <w:rsid w:val="00C15C5A"/>
    <w:rsid w:val="00C15F51"/>
    <w:rsid w:val="00C161DC"/>
    <w:rsid w:val="00C1666C"/>
    <w:rsid w:val="00C176C0"/>
    <w:rsid w:val="00C20BBB"/>
    <w:rsid w:val="00C20FFE"/>
    <w:rsid w:val="00C21024"/>
    <w:rsid w:val="00C21032"/>
    <w:rsid w:val="00C211B2"/>
    <w:rsid w:val="00C21890"/>
    <w:rsid w:val="00C21B1A"/>
    <w:rsid w:val="00C2281D"/>
    <w:rsid w:val="00C245C9"/>
    <w:rsid w:val="00C255E5"/>
    <w:rsid w:val="00C25715"/>
    <w:rsid w:val="00C25C41"/>
    <w:rsid w:val="00C2697A"/>
    <w:rsid w:val="00C26B67"/>
    <w:rsid w:val="00C27F1D"/>
    <w:rsid w:val="00C30686"/>
    <w:rsid w:val="00C30904"/>
    <w:rsid w:val="00C31157"/>
    <w:rsid w:val="00C31456"/>
    <w:rsid w:val="00C3199C"/>
    <w:rsid w:val="00C33186"/>
    <w:rsid w:val="00C33188"/>
    <w:rsid w:val="00C33263"/>
    <w:rsid w:val="00C340C0"/>
    <w:rsid w:val="00C340FE"/>
    <w:rsid w:val="00C3449A"/>
    <w:rsid w:val="00C34E21"/>
    <w:rsid w:val="00C34E9D"/>
    <w:rsid w:val="00C369E8"/>
    <w:rsid w:val="00C378B2"/>
    <w:rsid w:val="00C4007C"/>
    <w:rsid w:val="00C40801"/>
    <w:rsid w:val="00C41D65"/>
    <w:rsid w:val="00C42E91"/>
    <w:rsid w:val="00C431C8"/>
    <w:rsid w:val="00C43675"/>
    <w:rsid w:val="00C439B2"/>
    <w:rsid w:val="00C43C4B"/>
    <w:rsid w:val="00C44AB2"/>
    <w:rsid w:val="00C455CB"/>
    <w:rsid w:val="00C467FD"/>
    <w:rsid w:val="00C46BF7"/>
    <w:rsid w:val="00C47B72"/>
    <w:rsid w:val="00C50CF3"/>
    <w:rsid w:val="00C51575"/>
    <w:rsid w:val="00C516AB"/>
    <w:rsid w:val="00C52848"/>
    <w:rsid w:val="00C52CF7"/>
    <w:rsid w:val="00C53370"/>
    <w:rsid w:val="00C5354A"/>
    <w:rsid w:val="00C53D83"/>
    <w:rsid w:val="00C54C52"/>
    <w:rsid w:val="00C5513A"/>
    <w:rsid w:val="00C5578D"/>
    <w:rsid w:val="00C569F5"/>
    <w:rsid w:val="00C56E87"/>
    <w:rsid w:val="00C57194"/>
    <w:rsid w:val="00C60E06"/>
    <w:rsid w:val="00C61261"/>
    <w:rsid w:val="00C61372"/>
    <w:rsid w:val="00C618FB"/>
    <w:rsid w:val="00C61B4F"/>
    <w:rsid w:val="00C62320"/>
    <w:rsid w:val="00C625EC"/>
    <w:rsid w:val="00C628E2"/>
    <w:rsid w:val="00C62B05"/>
    <w:rsid w:val="00C6331F"/>
    <w:rsid w:val="00C6361F"/>
    <w:rsid w:val="00C64765"/>
    <w:rsid w:val="00C648C9"/>
    <w:rsid w:val="00C6508A"/>
    <w:rsid w:val="00C6663C"/>
    <w:rsid w:val="00C66C74"/>
    <w:rsid w:val="00C71E78"/>
    <w:rsid w:val="00C7247C"/>
    <w:rsid w:val="00C73699"/>
    <w:rsid w:val="00C74E42"/>
    <w:rsid w:val="00C7570C"/>
    <w:rsid w:val="00C760F5"/>
    <w:rsid w:val="00C76288"/>
    <w:rsid w:val="00C76CB6"/>
    <w:rsid w:val="00C77686"/>
    <w:rsid w:val="00C7770D"/>
    <w:rsid w:val="00C77F8D"/>
    <w:rsid w:val="00C817AC"/>
    <w:rsid w:val="00C821ED"/>
    <w:rsid w:val="00C836EF"/>
    <w:rsid w:val="00C84790"/>
    <w:rsid w:val="00C85D2E"/>
    <w:rsid w:val="00C87395"/>
    <w:rsid w:val="00C87B85"/>
    <w:rsid w:val="00C91DFA"/>
    <w:rsid w:val="00C9323D"/>
    <w:rsid w:val="00C94903"/>
    <w:rsid w:val="00C95559"/>
    <w:rsid w:val="00C96551"/>
    <w:rsid w:val="00C9739C"/>
    <w:rsid w:val="00CA03C3"/>
    <w:rsid w:val="00CA0F61"/>
    <w:rsid w:val="00CA1313"/>
    <w:rsid w:val="00CA1602"/>
    <w:rsid w:val="00CA1709"/>
    <w:rsid w:val="00CA205B"/>
    <w:rsid w:val="00CA4F06"/>
    <w:rsid w:val="00CA602A"/>
    <w:rsid w:val="00CA665B"/>
    <w:rsid w:val="00CB0FEA"/>
    <w:rsid w:val="00CB1B02"/>
    <w:rsid w:val="00CB3B17"/>
    <w:rsid w:val="00CB4422"/>
    <w:rsid w:val="00CB4747"/>
    <w:rsid w:val="00CB6CCF"/>
    <w:rsid w:val="00CB6F0C"/>
    <w:rsid w:val="00CB7264"/>
    <w:rsid w:val="00CB7E0E"/>
    <w:rsid w:val="00CC191F"/>
    <w:rsid w:val="00CC1AFF"/>
    <w:rsid w:val="00CC337A"/>
    <w:rsid w:val="00CC54DA"/>
    <w:rsid w:val="00CC5F2B"/>
    <w:rsid w:val="00CC69D6"/>
    <w:rsid w:val="00CC6F4D"/>
    <w:rsid w:val="00CC772B"/>
    <w:rsid w:val="00CD259F"/>
    <w:rsid w:val="00CD2838"/>
    <w:rsid w:val="00CD344A"/>
    <w:rsid w:val="00CD54EF"/>
    <w:rsid w:val="00CD56E8"/>
    <w:rsid w:val="00CD5831"/>
    <w:rsid w:val="00CD783C"/>
    <w:rsid w:val="00CE1467"/>
    <w:rsid w:val="00CE1E99"/>
    <w:rsid w:val="00CE22C9"/>
    <w:rsid w:val="00CE2300"/>
    <w:rsid w:val="00CE2410"/>
    <w:rsid w:val="00CE2CDD"/>
    <w:rsid w:val="00CE462A"/>
    <w:rsid w:val="00CE481F"/>
    <w:rsid w:val="00CE4F17"/>
    <w:rsid w:val="00CE75C7"/>
    <w:rsid w:val="00CE79E2"/>
    <w:rsid w:val="00CE7AD4"/>
    <w:rsid w:val="00CE7E4D"/>
    <w:rsid w:val="00CF151E"/>
    <w:rsid w:val="00CF1CA5"/>
    <w:rsid w:val="00CF20E8"/>
    <w:rsid w:val="00CF2B78"/>
    <w:rsid w:val="00CF2D61"/>
    <w:rsid w:val="00CF3630"/>
    <w:rsid w:val="00CF4A18"/>
    <w:rsid w:val="00CF5705"/>
    <w:rsid w:val="00CF62CC"/>
    <w:rsid w:val="00CF70C0"/>
    <w:rsid w:val="00CF745A"/>
    <w:rsid w:val="00CF794D"/>
    <w:rsid w:val="00CF7A1F"/>
    <w:rsid w:val="00D00803"/>
    <w:rsid w:val="00D015A6"/>
    <w:rsid w:val="00D04417"/>
    <w:rsid w:val="00D04A9D"/>
    <w:rsid w:val="00D04D2F"/>
    <w:rsid w:val="00D05786"/>
    <w:rsid w:val="00D0666B"/>
    <w:rsid w:val="00D066AF"/>
    <w:rsid w:val="00D06D83"/>
    <w:rsid w:val="00D11557"/>
    <w:rsid w:val="00D1365C"/>
    <w:rsid w:val="00D1413E"/>
    <w:rsid w:val="00D153ED"/>
    <w:rsid w:val="00D16B6D"/>
    <w:rsid w:val="00D17BF2"/>
    <w:rsid w:val="00D17EA6"/>
    <w:rsid w:val="00D216C2"/>
    <w:rsid w:val="00D217DC"/>
    <w:rsid w:val="00D21962"/>
    <w:rsid w:val="00D22FB9"/>
    <w:rsid w:val="00D2322E"/>
    <w:rsid w:val="00D23BF1"/>
    <w:rsid w:val="00D23EB5"/>
    <w:rsid w:val="00D24459"/>
    <w:rsid w:val="00D24D4A"/>
    <w:rsid w:val="00D2553B"/>
    <w:rsid w:val="00D25638"/>
    <w:rsid w:val="00D261BE"/>
    <w:rsid w:val="00D265AC"/>
    <w:rsid w:val="00D26903"/>
    <w:rsid w:val="00D2757B"/>
    <w:rsid w:val="00D27BB7"/>
    <w:rsid w:val="00D27F93"/>
    <w:rsid w:val="00D30EA0"/>
    <w:rsid w:val="00D33030"/>
    <w:rsid w:val="00D36534"/>
    <w:rsid w:val="00D3677B"/>
    <w:rsid w:val="00D37291"/>
    <w:rsid w:val="00D37C5E"/>
    <w:rsid w:val="00D37F0D"/>
    <w:rsid w:val="00D4048F"/>
    <w:rsid w:val="00D40CB6"/>
    <w:rsid w:val="00D412CE"/>
    <w:rsid w:val="00D41A9A"/>
    <w:rsid w:val="00D43803"/>
    <w:rsid w:val="00D4550D"/>
    <w:rsid w:val="00D47548"/>
    <w:rsid w:val="00D47629"/>
    <w:rsid w:val="00D5070D"/>
    <w:rsid w:val="00D5223A"/>
    <w:rsid w:val="00D52433"/>
    <w:rsid w:val="00D5250B"/>
    <w:rsid w:val="00D5274E"/>
    <w:rsid w:val="00D52A61"/>
    <w:rsid w:val="00D52A98"/>
    <w:rsid w:val="00D536B3"/>
    <w:rsid w:val="00D543D3"/>
    <w:rsid w:val="00D54CAD"/>
    <w:rsid w:val="00D551ED"/>
    <w:rsid w:val="00D56869"/>
    <w:rsid w:val="00D5777F"/>
    <w:rsid w:val="00D57904"/>
    <w:rsid w:val="00D60083"/>
    <w:rsid w:val="00D60E67"/>
    <w:rsid w:val="00D624FE"/>
    <w:rsid w:val="00D63AEC"/>
    <w:rsid w:val="00D647DE"/>
    <w:rsid w:val="00D66027"/>
    <w:rsid w:val="00D705FA"/>
    <w:rsid w:val="00D7122D"/>
    <w:rsid w:val="00D72144"/>
    <w:rsid w:val="00D7225B"/>
    <w:rsid w:val="00D73706"/>
    <w:rsid w:val="00D738EE"/>
    <w:rsid w:val="00D74AC7"/>
    <w:rsid w:val="00D75A26"/>
    <w:rsid w:val="00D75DC0"/>
    <w:rsid w:val="00D75ED3"/>
    <w:rsid w:val="00D8062B"/>
    <w:rsid w:val="00D81EEA"/>
    <w:rsid w:val="00D84410"/>
    <w:rsid w:val="00D85353"/>
    <w:rsid w:val="00D87459"/>
    <w:rsid w:val="00D903B7"/>
    <w:rsid w:val="00D90CAA"/>
    <w:rsid w:val="00D90D8B"/>
    <w:rsid w:val="00D90F4E"/>
    <w:rsid w:val="00D94006"/>
    <w:rsid w:val="00D95B64"/>
    <w:rsid w:val="00DA2A8F"/>
    <w:rsid w:val="00DA2D0C"/>
    <w:rsid w:val="00DA32C5"/>
    <w:rsid w:val="00DA36A2"/>
    <w:rsid w:val="00DA3F3A"/>
    <w:rsid w:val="00DA5D92"/>
    <w:rsid w:val="00DA6145"/>
    <w:rsid w:val="00DA67D8"/>
    <w:rsid w:val="00DA7A15"/>
    <w:rsid w:val="00DA7B11"/>
    <w:rsid w:val="00DA7D80"/>
    <w:rsid w:val="00DB0CDA"/>
    <w:rsid w:val="00DB0E8C"/>
    <w:rsid w:val="00DB1018"/>
    <w:rsid w:val="00DB219B"/>
    <w:rsid w:val="00DB22E1"/>
    <w:rsid w:val="00DB235C"/>
    <w:rsid w:val="00DB4BC5"/>
    <w:rsid w:val="00DB6180"/>
    <w:rsid w:val="00DB79D1"/>
    <w:rsid w:val="00DC0977"/>
    <w:rsid w:val="00DC20CB"/>
    <w:rsid w:val="00DC27F4"/>
    <w:rsid w:val="00DC2F3E"/>
    <w:rsid w:val="00DC5A77"/>
    <w:rsid w:val="00DC62B3"/>
    <w:rsid w:val="00DC693C"/>
    <w:rsid w:val="00DD1AAA"/>
    <w:rsid w:val="00DD2EA9"/>
    <w:rsid w:val="00DD3B56"/>
    <w:rsid w:val="00DD59B7"/>
    <w:rsid w:val="00DD638D"/>
    <w:rsid w:val="00DE0756"/>
    <w:rsid w:val="00DE116C"/>
    <w:rsid w:val="00DE5CC5"/>
    <w:rsid w:val="00DE61DD"/>
    <w:rsid w:val="00DE6572"/>
    <w:rsid w:val="00DE751D"/>
    <w:rsid w:val="00DF1F61"/>
    <w:rsid w:val="00DF3281"/>
    <w:rsid w:val="00DF3B3C"/>
    <w:rsid w:val="00DF4219"/>
    <w:rsid w:val="00DF464B"/>
    <w:rsid w:val="00DF4E3E"/>
    <w:rsid w:val="00DF5910"/>
    <w:rsid w:val="00DF5C03"/>
    <w:rsid w:val="00DF5DF0"/>
    <w:rsid w:val="00DF6305"/>
    <w:rsid w:val="00E0038D"/>
    <w:rsid w:val="00E00A2A"/>
    <w:rsid w:val="00E01389"/>
    <w:rsid w:val="00E0192F"/>
    <w:rsid w:val="00E04CB9"/>
    <w:rsid w:val="00E051FA"/>
    <w:rsid w:val="00E05CA2"/>
    <w:rsid w:val="00E073C3"/>
    <w:rsid w:val="00E07E57"/>
    <w:rsid w:val="00E106A5"/>
    <w:rsid w:val="00E115A4"/>
    <w:rsid w:val="00E11B7C"/>
    <w:rsid w:val="00E15E51"/>
    <w:rsid w:val="00E162A5"/>
    <w:rsid w:val="00E16B1E"/>
    <w:rsid w:val="00E179BA"/>
    <w:rsid w:val="00E20870"/>
    <w:rsid w:val="00E24839"/>
    <w:rsid w:val="00E24906"/>
    <w:rsid w:val="00E24926"/>
    <w:rsid w:val="00E249CB"/>
    <w:rsid w:val="00E24A7C"/>
    <w:rsid w:val="00E250DE"/>
    <w:rsid w:val="00E2562E"/>
    <w:rsid w:val="00E258C7"/>
    <w:rsid w:val="00E2740F"/>
    <w:rsid w:val="00E3013A"/>
    <w:rsid w:val="00E30BBD"/>
    <w:rsid w:val="00E3222A"/>
    <w:rsid w:val="00E3245A"/>
    <w:rsid w:val="00E32943"/>
    <w:rsid w:val="00E331E4"/>
    <w:rsid w:val="00E333F1"/>
    <w:rsid w:val="00E3358A"/>
    <w:rsid w:val="00E34BE7"/>
    <w:rsid w:val="00E4080F"/>
    <w:rsid w:val="00E40868"/>
    <w:rsid w:val="00E45810"/>
    <w:rsid w:val="00E45D82"/>
    <w:rsid w:val="00E460ED"/>
    <w:rsid w:val="00E4798D"/>
    <w:rsid w:val="00E50A5E"/>
    <w:rsid w:val="00E5217C"/>
    <w:rsid w:val="00E5319D"/>
    <w:rsid w:val="00E5340B"/>
    <w:rsid w:val="00E53891"/>
    <w:rsid w:val="00E53AAD"/>
    <w:rsid w:val="00E53EB3"/>
    <w:rsid w:val="00E5452A"/>
    <w:rsid w:val="00E54C0C"/>
    <w:rsid w:val="00E55CE5"/>
    <w:rsid w:val="00E56266"/>
    <w:rsid w:val="00E57EF5"/>
    <w:rsid w:val="00E60B0D"/>
    <w:rsid w:val="00E6133A"/>
    <w:rsid w:val="00E61954"/>
    <w:rsid w:val="00E621F8"/>
    <w:rsid w:val="00E6279B"/>
    <w:rsid w:val="00E62C9F"/>
    <w:rsid w:val="00E642E2"/>
    <w:rsid w:val="00E64FA5"/>
    <w:rsid w:val="00E6756C"/>
    <w:rsid w:val="00E675FC"/>
    <w:rsid w:val="00E702AD"/>
    <w:rsid w:val="00E72E89"/>
    <w:rsid w:val="00E73366"/>
    <w:rsid w:val="00E73B4E"/>
    <w:rsid w:val="00E74348"/>
    <w:rsid w:val="00E7457B"/>
    <w:rsid w:val="00E7460B"/>
    <w:rsid w:val="00E748F6"/>
    <w:rsid w:val="00E75A9D"/>
    <w:rsid w:val="00E75AAD"/>
    <w:rsid w:val="00E75ECE"/>
    <w:rsid w:val="00E76F40"/>
    <w:rsid w:val="00E773B2"/>
    <w:rsid w:val="00E81158"/>
    <w:rsid w:val="00E818E2"/>
    <w:rsid w:val="00E849DD"/>
    <w:rsid w:val="00E853CE"/>
    <w:rsid w:val="00E85656"/>
    <w:rsid w:val="00E8642A"/>
    <w:rsid w:val="00E86D38"/>
    <w:rsid w:val="00E8725D"/>
    <w:rsid w:val="00E874DF"/>
    <w:rsid w:val="00E91681"/>
    <w:rsid w:val="00E91D50"/>
    <w:rsid w:val="00E92DE6"/>
    <w:rsid w:val="00E941C9"/>
    <w:rsid w:val="00E94B10"/>
    <w:rsid w:val="00E9565E"/>
    <w:rsid w:val="00E959AC"/>
    <w:rsid w:val="00E95C9B"/>
    <w:rsid w:val="00E96734"/>
    <w:rsid w:val="00E97523"/>
    <w:rsid w:val="00EA03AE"/>
    <w:rsid w:val="00EA0408"/>
    <w:rsid w:val="00EA0483"/>
    <w:rsid w:val="00EA06F9"/>
    <w:rsid w:val="00EA1EC8"/>
    <w:rsid w:val="00EA27C1"/>
    <w:rsid w:val="00EA5F49"/>
    <w:rsid w:val="00EA6156"/>
    <w:rsid w:val="00EA6576"/>
    <w:rsid w:val="00EB08A3"/>
    <w:rsid w:val="00EB3F4B"/>
    <w:rsid w:val="00EB5770"/>
    <w:rsid w:val="00EB603A"/>
    <w:rsid w:val="00EC0B9A"/>
    <w:rsid w:val="00EC19DA"/>
    <w:rsid w:val="00EC1C5A"/>
    <w:rsid w:val="00EC1EFA"/>
    <w:rsid w:val="00EC206E"/>
    <w:rsid w:val="00EC3CA6"/>
    <w:rsid w:val="00EC4972"/>
    <w:rsid w:val="00EC4D93"/>
    <w:rsid w:val="00EC5D6B"/>
    <w:rsid w:val="00EC738C"/>
    <w:rsid w:val="00ED1E11"/>
    <w:rsid w:val="00ED1FBA"/>
    <w:rsid w:val="00ED2A9E"/>
    <w:rsid w:val="00ED47EB"/>
    <w:rsid w:val="00ED7DFA"/>
    <w:rsid w:val="00EE0736"/>
    <w:rsid w:val="00EE3E4B"/>
    <w:rsid w:val="00EE51E5"/>
    <w:rsid w:val="00EE5632"/>
    <w:rsid w:val="00EF084F"/>
    <w:rsid w:val="00EF1964"/>
    <w:rsid w:val="00EF3A75"/>
    <w:rsid w:val="00EF529F"/>
    <w:rsid w:val="00EF6585"/>
    <w:rsid w:val="00EF65BC"/>
    <w:rsid w:val="00EF6AD7"/>
    <w:rsid w:val="00EF6D04"/>
    <w:rsid w:val="00EF7B4E"/>
    <w:rsid w:val="00F001A2"/>
    <w:rsid w:val="00F01585"/>
    <w:rsid w:val="00F015E0"/>
    <w:rsid w:val="00F01FAE"/>
    <w:rsid w:val="00F02FCA"/>
    <w:rsid w:val="00F0486C"/>
    <w:rsid w:val="00F056D7"/>
    <w:rsid w:val="00F05762"/>
    <w:rsid w:val="00F05EB8"/>
    <w:rsid w:val="00F10C21"/>
    <w:rsid w:val="00F1135F"/>
    <w:rsid w:val="00F11CCE"/>
    <w:rsid w:val="00F11ED8"/>
    <w:rsid w:val="00F1248D"/>
    <w:rsid w:val="00F12976"/>
    <w:rsid w:val="00F12C39"/>
    <w:rsid w:val="00F134D8"/>
    <w:rsid w:val="00F14B29"/>
    <w:rsid w:val="00F150DD"/>
    <w:rsid w:val="00F1592D"/>
    <w:rsid w:val="00F16875"/>
    <w:rsid w:val="00F20386"/>
    <w:rsid w:val="00F21332"/>
    <w:rsid w:val="00F2230B"/>
    <w:rsid w:val="00F226B3"/>
    <w:rsid w:val="00F23533"/>
    <w:rsid w:val="00F23CA0"/>
    <w:rsid w:val="00F24234"/>
    <w:rsid w:val="00F24581"/>
    <w:rsid w:val="00F278D4"/>
    <w:rsid w:val="00F27DF1"/>
    <w:rsid w:val="00F30308"/>
    <w:rsid w:val="00F30525"/>
    <w:rsid w:val="00F30EB0"/>
    <w:rsid w:val="00F30FD5"/>
    <w:rsid w:val="00F31313"/>
    <w:rsid w:val="00F31E56"/>
    <w:rsid w:val="00F3395E"/>
    <w:rsid w:val="00F3466B"/>
    <w:rsid w:val="00F3482B"/>
    <w:rsid w:val="00F35558"/>
    <w:rsid w:val="00F35809"/>
    <w:rsid w:val="00F369D8"/>
    <w:rsid w:val="00F37E89"/>
    <w:rsid w:val="00F4015D"/>
    <w:rsid w:val="00F40A4B"/>
    <w:rsid w:val="00F40DAE"/>
    <w:rsid w:val="00F417AA"/>
    <w:rsid w:val="00F41ED2"/>
    <w:rsid w:val="00F41F7E"/>
    <w:rsid w:val="00F423F6"/>
    <w:rsid w:val="00F4274F"/>
    <w:rsid w:val="00F42D17"/>
    <w:rsid w:val="00F42F4A"/>
    <w:rsid w:val="00F44C04"/>
    <w:rsid w:val="00F456A1"/>
    <w:rsid w:val="00F45937"/>
    <w:rsid w:val="00F45AA0"/>
    <w:rsid w:val="00F45B90"/>
    <w:rsid w:val="00F47738"/>
    <w:rsid w:val="00F52536"/>
    <w:rsid w:val="00F5503F"/>
    <w:rsid w:val="00F5600F"/>
    <w:rsid w:val="00F566B1"/>
    <w:rsid w:val="00F567EA"/>
    <w:rsid w:val="00F57BE3"/>
    <w:rsid w:val="00F600C2"/>
    <w:rsid w:val="00F61C25"/>
    <w:rsid w:val="00F61D98"/>
    <w:rsid w:val="00F66FC0"/>
    <w:rsid w:val="00F67746"/>
    <w:rsid w:val="00F7098E"/>
    <w:rsid w:val="00F710F3"/>
    <w:rsid w:val="00F72168"/>
    <w:rsid w:val="00F738CD"/>
    <w:rsid w:val="00F74164"/>
    <w:rsid w:val="00F7460E"/>
    <w:rsid w:val="00F75201"/>
    <w:rsid w:val="00F75614"/>
    <w:rsid w:val="00F7644E"/>
    <w:rsid w:val="00F77988"/>
    <w:rsid w:val="00F80D7A"/>
    <w:rsid w:val="00F8354D"/>
    <w:rsid w:val="00F84D57"/>
    <w:rsid w:val="00F84E0A"/>
    <w:rsid w:val="00F859BC"/>
    <w:rsid w:val="00F85CCF"/>
    <w:rsid w:val="00F86D9E"/>
    <w:rsid w:val="00F875F6"/>
    <w:rsid w:val="00F90D83"/>
    <w:rsid w:val="00F921FE"/>
    <w:rsid w:val="00F92462"/>
    <w:rsid w:val="00F92A2D"/>
    <w:rsid w:val="00F93A84"/>
    <w:rsid w:val="00F94360"/>
    <w:rsid w:val="00F96B0A"/>
    <w:rsid w:val="00F96D0A"/>
    <w:rsid w:val="00F9792E"/>
    <w:rsid w:val="00FA068C"/>
    <w:rsid w:val="00FA1910"/>
    <w:rsid w:val="00FA1CD7"/>
    <w:rsid w:val="00FA22B8"/>
    <w:rsid w:val="00FA2F73"/>
    <w:rsid w:val="00FA31C1"/>
    <w:rsid w:val="00FA59B1"/>
    <w:rsid w:val="00FA65CA"/>
    <w:rsid w:val="00FA7B68"/>
    <w:rsid w:val="00FB05C0"/>
    <w:rsid w:val="00FB0CDA"/>
    <w:rsid w:val="00FB170C"/>
    <w:rsid w:val="00FB2F1C"/>
    <w:rsid w:val="00FB542D"/>
    <w:rsid w:val="00FB54BC"/>
    <w:rsid w:val="00FB5E13"/>
    <w:rsid w:val="00FB675D"/>
    <w:rsid w:val="00FB784F"/>
    <w:rsid w:val="00FB79BC"/>
    <w:rsid w:val="00FB7ECA"/>
    <w:rsid w:val="00FC0620"/>
    <w:rsid w:val="00FC067E"/>
    <w:rsid w:val="00FC237A"/>
    <w:rsid w:val="00FC2A3C"/>
    <w:rsid w:val="00FC2C91"/>
    <w:rsid w:val="00FC2CD2"/>
    <w:rsid w:val="00FC58FD"/>
    <w:rsid w:val="00FC61F3"/>
    <w:rsid w:val="00FC6F30"/>
    <w:rsid w:val="00FC757D"/>
    <w:rsid w:val="00FC7CC9"/>
    <w:rsid w:val="00FD0970"/>
    <w:rsid w:val="00FD0A84"/>
    <w:rsid w:val="00FD1188"/>
    <w:rsid w:val="00FD2427"/>
    <w:rsid w:val="00FD28CB"/>
    <w:rsid w:val="00FD2B3C"/>
    <w:rsid w:val="00FD434B"/>
    <w:rsid w:val="00FE0304"/>
    <w:rsid w:val="00FE353B"/>
    <w:rsid w:val="00FE3DDB"/>
    <w:rsid w:val="00FE4A13"/>
    <w:rsid w:val="00FE6124"/>
    <w:rsid w:val="00FE6677"/>
    <w:rsid w:val="00FF0425"/>
    <w:rsid w:val="00FF1840"/>
    <w:rsid w:val="00FF23BC"/>
    <w:rsid w:val="00FF2893"/>
    <w:rsid w:val="00FF3E89"/>
    <w:rsid w:val="00FF4826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19AAD"/>
  <w15:docId w15:val="{E7215E2B-7EE5-4089-B311-40433C2A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37C"/>
    <w:pPr>
      <w:spacing w:line="288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3F7E"/>
    <w:pPr>
      <w:pBdr>
        <w:top w:val="single" w:sz="24" w:space="0" w:color="92D050"/>
        <w:left w:val="single" w:sz="24" w:space="0" w:color="92D050"/>
        <w:bottom w:val="single" w:sz="24" w:space="0" w:color="92D050"/>
        <w:right w:val="single" w:sz="24" w:space="0" w:color="92D050"/>
      </w:pBdr>
      <w:shd w:val="clear" w:color="auto" w:fill="92D050"/>
      <w:outlineLvl w:val="0"/>
    </w:pPr>
    <w:rPr>
      <w:b/>
      <w:bCs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3F7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3F7E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3F7E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3F7E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3F7E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3F7E"/>
    <w:pPr>
      <w:spacing w:before="30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63F7E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63F7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3F7E"/>
    <w:rPr>
      <w:rFonts w:cs="Times New Roman"/>
      <w:b/>
      <w:caps/>
      <w:color w:val="FFFFFF"/>
      <w:spacing w:val="15"/>
      <w:shd w:val="clear" w:color="auto" w:fill="92D05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3F7E"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63F7E"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63F7E"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63F7E"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63F7E"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63F7E"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63F7E"/>
    <w:rPr>
      <w:rFonts w:cs="Times New Roman"/>
      <w:caps/>
      <w:spacing w:val="10"/>
      <w:sz w:val="18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63F7E"/>
    <w:rPr>
      <w:rFonts w:cs="Times New Roman"/>
      <w:i/>
      <w:caps/>
      <w:spacing w:val="10"/>
      <w:sz w:val="18"/>
    </w:rPr>
  </w:style>
  <w:style w:type="paragraph" w:styleId="Tekstdymka">
    <w:name w:val="Balloon Text"/>
    <w:basedOn w:val="Normalny"/>
    <w:link w:val="TekstdymkaZnak"/>
    <w:uiPriority w:val="99"/>
    <w:semiHidden/>
    <w:rsid w:val="00614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spisutreci">
    <w:name w:val="TOC Heading"/>
    <w:basedOn w:val="Nagwek1"/>
    <w:next w:val="Normalny"/>
    <w:uiPriority w:val="99"/>
    <w:qFormat/>
    <w:rsid w:val="00A63F7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</w:style>
  <w:style w:type="paragraph" w:styleId="Tekstpodstawowywcity2">
    <w:name w:val="Body Text Indent 2"/>
    <w:basedOn w:val="Normalny"/>
    <w:link w:val="Tekstpodstawowywcity2Znak"/>
    <w:uiPriority w:val="99"/>
    <w:rsid w:val="0090065A"/>
    <w:pPr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517DE7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17D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862CF9"/>
    <w:pPr>
      <w:tabs>
        <w:tab w:val="right" w:leader="dot" w:pos="9345"/>
      </w:tabs>
      <w:spacing w:after="100"/>
      <w:ind w:left="220"/>
    </w:pPr>
    <w:rPr>
      <w:noProof/>
      <w:color w:val="000000" w:themeColor="text1"/>
    </w:rPr>
  </w:style>
  <w:style w:type="paragraph" w:styleId="Spistreci3">
    <w:name w:val="toc 3"/>
    <w:basedOn w:val="Normalny"/>
    <w:next w:val="Normalny"/>
    <w:autoRedefine/>
    <w:uiPriority w:val="39"/>
    <w:rsid w:val="00517DE7"/>
    <w:pPr>
      <w:spacing w:after="100"/>
      <w:ind w:left="440"/>
    </w:pPr>
  </w:style>
  <w:style w:type="paragraph" w:customStyle="1" w:styleId="ListParagraph2">
    <w:name w:val="List Paragraph2"/>
    <w:basedOn w:val="Normalny"/>
    <w:uiPriority w:val="99"/>
    <w:rsid w:val="00C5578D"/>
    <w:pPr>
      <w:ind w:left="720"/>
      <w:contextualSpacing/>
    </w:pPr>
  </w:style>
  <w:style w:type="paragraph" w:customStyle="1" w:styleId="TekstBaza">
    <w:name w:val="Tekst_Baza"/>
    <w:basedOn w:val="Normalny"/>
    <w:uiPriority w:val="99"/>
    <w:rsid w:val="00C5578D"/>
    <w:pPr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ListParagraph1">
    <w:name w:val="List Paragraph1"/>
    <w:basedOn w:val="Normalny"/>
    <w:uiPriority w:val="99"/>
    <w:rsid w:val="00C5578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2C1173"/>
    <w:rPr>
      <w:rFonts w:cs="Times New Roman"/>
      <w:vertAlign w:val="superscript"/>
    </w:rPr>
  </w:style>
  <w:style w:type="paragraph" w:customStyle="1" w:styleId="Default">
    <w:name w:val="Default"/>
    <w:uiPriority w:val="99"/>
    <w:rsid w:val="00E6756C"/>
    <w:pPr>
      <w:autoSpaceDE w:val="0"/>
      <w:autoSpaceDN w:val="0"/>
      <w:adjustRightInd w:val="0"/>
      <w:spacing w:before="200" w:after="200" w:line="276" w:lineRule="auto"/>
      <w:ind w:firstLine="36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rsid w:val="00B12A61"/>
    <w:rPr>
      <w:rFonts w:cs="Times New Roman"/>
      <w:color w:val="800080"/>
      <w:u w:val="single"/>
    </w:rPr>
  </w:style>
  <w:style w:type="paragraph" w:styleId="Stopka">
    <w:name w:val="footer"/>
    <w:basedOn w:val="Normalny"/>
    <w:link w:val="StopkaZnak"/>
    <w:uiPriority w:val="99"/>
    <w:rsid w:val="00372EDC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372ED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D6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A63F7E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A63F7E"/>
    <w:rPr>
      <w:rFonts w:cs="Times New Roman"/>
      <w:caps/>
      <w:color w:val="243F60"/>
      <w:spacing w:val="5"/>
    </w:rPr>
  </w:style>
  <w:style w:type="character" w:styleId="Odwoaniedokomentarza">
    <w:name w:val="annotation reference"/>
    <w:basedOn w:val="Domylnaczcionkaakapitu"/>
    <w:uiPriority w:val="99"/>
    <w:semiHidden/>
    <w:rsid w:val="00CC5F2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5F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5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D38C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D38C9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99"/>
    <w:qFormat/>
    <w:rsid w:val="00A63F7E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A63F7E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A63F7E"/>
    <w:rPr>
      <w:rFonts w:cs="Times New Roman"/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63F7E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63F7E"/>
    <w:rPr>
      <w:rFonts w:cs="Times New Roman"/>
      <w:caps/>
      <w:color w:val="595959"/>
      <w:spacing w:val="10"/>
      <w:sz w:val="24"/>
    </w:rPr>
  </w:style>
  <w:style w:type="paragraph" w:styleId="Bezodstpw">
    <w:name w:val="No Spacing"/>
    <w:basedOn w:val="Normalny"/>
    <w:link w:val="BezodstpwZnak"/>
    <w:uiPriority w:val="99"/>
    <w:qFormat/>
    <w:rsid w:val="00A63F7E"/>
    <w:pPr>
      <w:spacing w:line="240" w:lineRule="auto"/>
    </w:pPr>
  </w:style>
  <w:style w:type="character" w:customStyle="1" w:styleId="BezodstpwZnak">
    <w:name w:val="Bez odstępów Znak"/>
    <w:link w:val="Bezodstpw"/>
    <w:uiPriority w:val="99"/>
    <w:locked/>
    <w:rsid w:val="00A63F7E"/>
    <w:rPr>
      <w:sz w:val="20"/>
    </w:rPr>
  </w:style>
  <w:style w:type="paragraph" w:styleId="Akapitzlist">
    <w:name w:val="List Paragraph"/>
    <w:basedOn w:val="Normalny"/>
    <w:uiPriority w:val="99"/>
    <w:qFormat/>
    <w:rsid w:val="00A63F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63F7E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A63F7E"/>
    <w:rPr>
      <w:rFonts w:cs="Times New Roman"/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63F7E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63F7E"/>
    <w:rPr>
      <w:rFonts w:cs="Times New Roman"/>
      <w:i/>
      <w:color w:val="4F81BD"/>
      <w:sz w:val="20"/>
    </w:rPr>
  </w:style>
  <w:style w:type="character" w:styleId="Wyrnieniedelikatne">
    <w:name w:val="Subtle Emphasis"/>
    <w:basedOn w:val="Domylnaczcionkaakapitu"/>
    <w:uiPriority w:val="99"/>
    <w:qFormat/>
    <w:rsid w:val="00A63F7E"/>
    <w:rPr>
      <w:rFonts w:cs="Times New Roman"/>
      <w:i/>
      <w:color w:val="243F60"/>
    </w:rPr>
  </w:style>
  <w:style w:type="character" w:styleId="Wyrnienieintensywne">
    <w:name w:val="Intense Emphasis"/>
    <w:basedOn w:val="Domylnaczcionkaakapitu"/>
    <w:uiPriority w:val="99"/>
    <w:qFormat/>
    <w:rsid w:val="00A63F7E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basedOn w:val="Domylnaczcionkaakapitu"/>
    <w:uiPriority w:val="99"/>
    <w:qFormat/>
    <w:rsid w:val="00A63F7E"/>
    <w:rPr>
      <w:rFonts w:cs="Times New Roman"/>
      <w:b/>
      <w:color w:val="4F81BD"/>
    </w:rPr>
  </w:style>
  <w:style w:type="character" w:styleId="Odwoanieintensywne">
    <w:name w:val="Intense Reference"/>
    <w:basedOn w:val="Domylnaczcionkaakapitu"/>
    <w:uiPriority w:val="99"/>
    <w:qFormat/>
    <w:rsid w:val="00A63F7E"/>
    <w:rPr>
      <w:rFonts w:cs="Times New Roman"/>
      <w:b/>
      <w:i/>
      <w:caps/>
      <w:color w:val="4F81BD"/>
    </w:rPr>
  </w:style>
  <w:style w:type="character" w:styleId="Tytuksiki">
    <w:name w:val="Book Title"/>
    <w:basedOn w:val="Domylnaczcionkaakapitu"/>
    <w:uiPriority w:val="99"/>
    <w:qFormat/>
    <w:rsid w:val="00A63F7E"/>
    <w:rPr>
      <w:rFonts w:cs="Times New Roman"/>
      <w:b/>
      <w:i/>
      <w:spacing w:val="9"/>
    </w:rPr>
  </w:style>
  <w:style w:type="paragraph" w:styleId="Tekstpodstawowy">
    <w:name w:val="Body Text"/>
    <w:basedOn w:val="Normalny"/>
    <w:link w:val="TekstpodstawowyZnak"/>
    <w:uiPriority w:val="99"/>
    <w:rsid w:val="00DA67D8"/>
    <w:pPr>
      <w:spacing w:after="12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A67D8"/>
    <w:rPr>
      <w:rFonts w:cs="Times New Roman"/>
      <w:sz w:val="22"/>
    </w:rPr>
  </w:style>
  <w:style w:type="paragraph" w:styleId="Spistreci4">
    <w:name w:val="toc 4"/>
    <w:basedOn w:val="Normalny"/>
    <w:next w:val="Normalny"/>
    <w:autoRedefine/>
    <w:uiPriority w:val="39"/>
    <w:rsid w:val="000B275D"/>
    <w:pPr>
      <w:spacing w:after="100" w:line="276" w:lineRule="auto"/>
      <w:ind w:left="660"/>
    </w:pPr>
  </w:style>
  <w:style w:type="paragraph" w:styleId="Spistreci5">
    <w:name w:val="toc 5"/>
    <w:basedOn w:val="Normalny"/>
    <w:next w:val="Normalny"/>
    <w:autoRedefine/>
    <w:uiPriority w:val="39"/>
    <w:rsid w:val="000B275D"/>
    <w:pPr>
      <w:spacing w:after="100" w:line="276" w:lineRule="auto"/>
      <w:ind w:left="880"/>
    </w:pPr>
  </w:style>
  <w:style w:type="paragraph" w:styleId="Spistreci6">
    <w:name w:val="toc 6"/>
    <w:basedOn w:val="Normalny"/>
    <w:next w:val="Normalny"/>
    <w:autoRedefine/>
    <w:uiPriority w:val="39"/>
    <w:rsid w:val="000B275D"/>
    <w:pPr>
      <w:spacing w:after="100" w:line="276" w:lineRule="auto"/>
      <w:ind w:left="1100"/>
    </w:pPr>
  </w:style>
  <w:style w:type="paragraph" w:styleId="Spistreci7">
    <w:name w:val="toc 7"/>
    <w:basedOn w:val="Normalny"/>
    <w:next w:val="Normalny"/>
    <w:autoRedefine/>
    <w:uiPriority w:val="39"/>
    <w:rsid w:val="000B275D"/>
    <w:pPr>
      <w:spacing w:after="100" w:line="276" w:lineRule="auto"/>
      <w:ind w:left="1320"/>
    </w:pPr>
  </w:style>
  <w:style w:type="paragraph" w:styleId="Spistreci8">
    <w:name w:val="toc 8"/>
    <w:basedOn w:val="Normalny"/>
    <w:next w:val="Normalny"/>
    <w:autoRedefine/>
    <w:uiPriority w:val="39"/>
    <w:rsid w:val="000B275D"/>
    <w:pPr>
      <w:spacing w:after="100" w:line="276" w:lineRule="auto"/>
      <w:ind w:left="1540"/>
    </w:pPr>
  </w:style>
  <w:style w:type="paragraph" w:styleId="Spistreci9">
    <w:name w:val="toc 9"/>
    <w:basedOn w:val="Normalny"/>
    <w:next w:val="Normalny"/>
    <w:autoRedefine/>
    <w:uiPriority w:val="39"/>
    <w:rsid w:val="000B275D"/>
    <w:pPr>
      <w:spacing w:after="100" w:line="276" w:lineRule="auto"/>
      <w:ind w:left="1760"/>
    </w:pPr>
  </w:style>
  <w:style w:type="table" w:styleId="Tabela-Siatka">
    <w:name w:val="Table Grid"/>
    <w:basedOn w:val="Standardowy"/>
    <w:uiPriority w:val="59"/>
    <w:rsid w:val="00D115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551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E6124"/>
    <w:rPr>
      <w:rFonts w:cs="Times New Roman"/>
    </w:rPr>
  </w:style>
  <w:style w:type="table" w:customStyle="1" w:styleId="Tabela-Siatka1">
    <w:name w:val="Tabela - Siatka1"/>
    <w:uiPriority w:val="99"/>
    <w:rsid w:val="00691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1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691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1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3B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B8350F"/>
    <w:pPr>
      <w:spacing w:before="200" w:after="200" w:line="276" w:lineRule="auto"/>
    </w:pPr>
  </w:style>
  <w:style w:type="paragraph" w:customStyle="1" w:styleId="Mnormal">
    <w:name w:val="M_normal"/>
    <w:basedOn w:val="Normalny"/>
    <w:link w:val="MnormalZnak"/>
    <w:qFormat/>
    <w:rsid w:val="00B9703D"/>
    <w:pPr>
      <w:spacing w:before="120" w:after="120" w:line="240" w:lineRule="auto"/>
      <w:jc w:val="both"/>
    </w:pPr>
  </w:style>
  <w:style w:type="character" w:customStyle="1" w:styleId="MnormalZnak">
    <w:name w:val="M_normal Znak"/>
    <w:basedOn w:val="Domylnaczcionkaakapitu"/>
    <w:link w:val="Mnormal"/>
    <w:rsid w:val="00B9703D"/>
    <w:rPr>
      <w:sz w:val="20"/>
      <w:szCs w:val="20"/>
    </w:rPr>
  </w:style>
  <w:style w:type="paragraph" w:customStyle="1" w:styleId="Mwypkt">
    <w:name w:val="M_wypkt"/>
    <w:basedOn w:val="Normalny"/>
    <w:link w:val="MwypktZnak"/>
    <w:qFormat/>
    <w:rsid w:val="00B9703D"/>
    <w:pPr>
      <w:numPr>
        <w:numId w:val="129"/>
      </w:numPr>
      <w:spacing w:line="240" w:lineRule="auto"/>
      <w:ind w:left="568" w:hanging="284"/>
      <w:jc w:val="both"/>
    </w:pPr>
  </w:style>
  <w:style w:type="character" w:customStyle="1" w:styleId="MwypktZnak">
    <w:name w:val="M_wypkt Znak"/>
    <w:basedOn w:val="Domylnaczcionkaakapitu"/>
    <w:link w:val="Mwypkt"/>
    <w:rsid w:val="00B9703D"/>
    <w:rPr>
      <w:sz w:val="20"/>
      <w:szCs w:val="20"/>
    </w:rPr>
  </w:style>
  <w:style w:type="paragraph" w:customStyle="1" w:styleId="ZPKTzmpktartykuempunktem">
    <w:name w:val="Z/PKT – zm. pkt artykułem (punktem)"/>
    <w:basedOn w:val="PKTpunkt"/>
    <w:qFormat/>
    <w:rsid w:val="00A010C9"/>
    <w:pPr>
      <w:ind w:left="1020"/>
    </w:pPr>
  </w:style>
  <w:style w:type="paragraph" w:customStyle="1" w:styleId="PKTpunkt">
    <w:name w:val="PKT – punkt"/>
    <w:uiPriority w:val="13"/>
    <w:qFormat/>
    <w:rsid w:val="00A010C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A010C9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A010C9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qFormat/>
    <w:rsid w:val="00A010C9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character" w:customStyle="1" w:styleId="IGindeksgrny">
    <w:name w:val="_IG_ – indeks górny"/>
    <w:basedOn w:val="Domylnaczcionkaakapitu"/>
    <w:uiPriority w:val="2"/>
    <w:qFormat/>
    <w:rsid w:val="00A010C9"/>
    <w:rPr>
      <w:b w:val="0"/>
      <w:i w:val="0"/>
      <w:vanish w:val="0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6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5.xml"/><Relationship Id="rId18" Type="http://schemas.openxmlformats.org/officeDocument/2006/relationships/chart" Target="charts/chart1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chart" Target="charts/chart3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chart" Target="charts/chart7.xml"/><Relationship Id="rId32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chart" Target="charts/chart6.xml"/><Relationship Id="rId28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chart" Target="charts/chart2.xml"/><Relationship Id="rId31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chart" Target="charts/chart5.xml"/><Relationship Id="rId27" Type="http://schemas.openxmlformats.org/officeDocument/2006/relationships/footer" Target="footer12.xml"/><Relationship Id="rId30" Type="http://schemas.openxmlformats.org/officeDocument/2006/relationships/footer" Target="footer1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aea.org/sites/default/files/documents/review-missions/artemis_poland_final_report_.pdf" TargetMode="External"/><Relationship Id="rId1" Type="http://schemas.openxmlformats.org/officeDocument/2006/relationships/hyperlink" Target="https://www.iaea.org/sites/default/files/documents/review-missions/artemis_poland_final_report_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NULL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49" b="0"/>
            </a:pPr>
            <a:r>
              <a:rPr lang="pl-PL" sz="1297" b="1"/>
              <a:t>Rys. 3.1 Ilości odpadów</a:t>
            </a:r>
            <a:r>
              <a:rPr lang="pl-PL" sz="1297" b="1" baseline="0"/>
              <a:t> </a:t>
            </a:r>
            <a:r>
              <a:rPr lang="pl-PL" sz="1297" b="1"/>
              <a:t>promieniotwórcze odebranych przez ZUOP w latach 2000 -2019.</a:t>
            </a:r>
            <a:r>
              <a:rPr lang="pl-PL" sz="1297" b="1" baseline="0">
                <a:solidFill>
                  <a:srgbClr val="FF0000"/>
                </a:solidFill>
              </a:rPr>
              <a:t> </a:t>
            </a:r>
            <a:r>
              <a:rPr lang="pl-PL" sz="1297" b="1"/>
              <a:t>Źródło</a:t>
            </a:r>
            <a:r>
              <a:rPr lang="pl-PL" sz="1297" b="1" baseline="0"/>
              <a:t>: ZUOP</a:t>
            </a:r>
          </a:p>
          <a:p>
            <a:pPr>
              <a:defRPr sz="1649" b="0"/>
            </a:pPr>
            <a:r>
              <a:rPr lang="pl-PL" sz="1297" b="1" baseline="0"/>
              <a:t>[m</a:t>
            </a:r>
            <a:r>
              <a:rPr lang="pl-PL" sz="1297" b="1" baseline="0">
                <a:latin typeface="Times New Roman"/>
                <a:cs typeface="Times New Roman"/>
              </a:rPr>
              <a:t>³]</a:t>
            </a:r>
            <a:endParaRPr lang="pl-PL" sz="1100" b="1"/>
          </a:p>
          <a:p>
            <a:pPr>
              <a:defRPr sz="1649" b="0"/>
            </a:pPr>
            <a:endParaRPr lang="pl-PL" sz="1200" b="1"/>
          </a:p>
        </c:rich>
      </c:tx>
      <c:overlay val="0"/>
      <c:spPr>
        <a:noFill/>
        <a:ln w="2513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44965972173833"/>
          <c:y val="0.31399219957318431"/>
          <c:w val="0.70564243640667923"/>
          <c:h val="0.466540412351993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Odpady stałe </c:v>
                </c:pt>
              </c:strCache>
            </c:strRef>
          </c:tx>
          <c:invertIfNegative val="0"/>
          <c:cat>
            <c:numRef>
              <c:f>Arkusz1!$A$2:$A$21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Arkusz1!$B$2:$B$21</c:f>
              <c:numCache>
                <c:formatCode>General</c:formatCode>
                <c:ptCount val="20"/>
                <c:pt idx="0">
                  <c:v>84.76</c:v>
                </c:pt>
                <c:pt idx="1">
                  <c:v>145.47999999999999</c:v>
                </c:pt>
                <c:pt idx="2">
                  <c:v>48.03</c:v>
                </c:pt>
                <c:pt idx="3">
                  <c:v>59.54</c:v>
                </c:pt>
                <c:pt idx="4">
                  <c:v>52.48</c:v>
                </c:pt>
                <c:pt idx="5">
                  <c:v>42.32</c:v>
                </c:pt>
                <c:pt idx="6">
                  <c:v>42.17</c:v>
                </c:pt>
                <c:pt idx="7">
                  <c:v>30.48</c:v>
                </c:pt>
                <c:pt idx="8">
                  <c:v>22.79</c:v>
                </c:pt>
                <c:pt idx="9">
                  <c:v>29.92</c:v>
                </c:pt>
                <c:pt idx="10">
                  <c:v>51.3</c:v>
                </c:pt>
                <c:pt idx="11">
                  <c:v>48.1</c:v>
                </c:pt>
                <c:pt idx="12">
                  <c:v>56.3</c:v>
                </c:pt>
                <c:pt idx="13">
                  <c:v>44.68</c:v>
                </c:pt>
                <c:pt idx="14">
                  <c:v>39.659999999999997</c:v>
                </c:pt>
                <c:pt idx="15">
                  <c:v>99.4</c:v>
                </c:pt>
                <c:pt idx="16">
                  <c:v>29.92</c:v>
                </c:pt>
                <c:pt idx="17">
                  <c:v>37.49</c:v>
                </c:pt>
                <c:pt idx="18">
                  <c:v>28.87</c:v>
                </c:pt>
                <c:pt idx="19">
                  <c:v>38.74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3D-4E93-A5F7-8F392A35246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Odpady ciekłe</c:v>
                </c:pt>
              </c:strCache>
            </c:strRef>
          </c:tx>
          <c:invertIfNegative val="0"/>
          <c:cat>
            <c:numRef>
              <c:f>Arkusz1!$A$2:$A$21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Arkusz1!$C$2:$C$21</c:f>
              <c:numCache>
                <c:formatCode>General</c:formatCode>
                <c:ptCount val="20"/>
                <c:pt idx="0">
                  <c:v>275.2</c:v>
                </c:pt>
                <c:pt idx="1">
                  <c:v>119.73</c:v>
                </c:pt>
                <c:pt idx="2">
                  <c:v>100.85</c:v>
                </c:pt>
                <c:pt idx="3">
                  <c:v>39.68</c:v>
                </c:pt>
                <c:pt idx="4">
                  <c:v>101.22</c:v>
                </c:pt>
                <c:pt idx="5">
                  <c:v>26.68</c:v>
                </c:pt>
                <c:pt idx="6">
                  <c:v>153.08000000000001</c:v>
                </c:pt>
                <c:pt idx="7">
                  <c:v>84.5</c:v>
                </c:pt>
                <c:pt idx="8">
                  <c:v>37.64</c:v>
                </c:pt>
                <c:pt idx="9">
                  <c:v>59.88</c:v>
                </c:pt>
                <c:pt idx="10">
                  <c:v>36.090000000000003</c:v>
                </c:pt>
                <c:pt idx="11">
                  <c:v>26.2</c:v>
                </c:pt>
                <c:pt idx="12">
                  <c:v>48.7</c:v>
                </c:pt>
                <c:pt idx="13">
                  <c:v>28.37</c:v>
                </c:pt>
                <c:pt idx="14">
                  <c:v>20.93</c:v>
                </c:pt>
                <c:pt idx="15">
                  <c:v>49.5</c:v>
                </c:pt>
                <c:pt idx="16">
                  <c:v>18.579999999999998</c:v>
                </c:pt>
                <c:pt idx="17">
                  <c:v>23.93</c:v>
                </c:pt>
                <c:pt idx="18">
                  <c:v>50.24</c:v>
                </c:pt>
                <c:pt idx="19">
                  <c:v>26.97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3D-4E93-A5F7-8F392A35246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numRef>
              <c:f>Arkusz1!$A$2:$A$21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Arkusz1!$D$2:$D$21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3D-4E93-A5F7-8F392A352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6050008"/>
        <c:axId val="416050400"/>
      </c:barChart>
      <c:catAx>
        <c:axId val="416050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16050400"/>
        <c:crosses val="autoZero"/>
        <c:auto val="1"/>
        <c:lblAlgn val="ctr"/>
        <c:lblOffset val="100"/>
        <c:noMultiLvlLbl val="0"/>
      </c:catAx>
      <c:valAx>
        <c:axId val="41605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6050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399057738103591"/>
          <c:y val="0.32684824774261706"/>
          <c:w val="0.18977654820174505"/>
          <c:h val="0.15505177608425952"/>
        </c:manualLayout>
      </c:layout>
      <c:overlay val="0"/>
    </c:legend>
    <c:plotVisOnly val="1"/>
    <c:dispBlanksAs val="gap"/>
    <c:showDLblsOverMax val="0"/>
  </c:chart>
  <c:spPr>
    <a:noFill/>
    <a:ln w="0"/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 sz="1200"/>
              <a:t>Rys. 3.2. Ilości przetworzonych odpadów promieniotwórczych przekazanych do składowania/przechowania w KSOP w Różanie w latach 2000 - 2019. Źródło: ZUOP</a:t>
            </a:r>
          </a:p>
          <a:p>
            <a:pPr>
              <a:defRPr/>
            </a:pPr>
            <a:r>
              <a:rPr lang="pl-PL" sz="1200"/>
              <a:t>[m</a:t>
            </a:r>
            <a:r>
              <a:rPr lang="pl-PL" sz="1200">
                <a:latin typeface="Times New Roman"/>
                <a:cs typeface="Times New Roman"/>
              </a:rPr>
              <a:t>³]</a:t>
            </a:r>
            <a:endParaRPr lang="pl-PL" sz="1200"/>
          </a:p>
          <a:p>
            <a:pPr>
              <a:defRPr/>
            </a:pPr>
            <a:endParaRPr lang="pl-PL" sz="1200"/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0250671607225567"/>
          <c:y val="2.7695345421271882E-2"/>
        </c:manualLayout>
      </c:layout>
      <c:overlay val="0"/>
      <c:spPr>
        <a:noFill/>
        <a:ln w="2540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142317954057396E-2"/>
          <c:y val="0.30594484294804414"/>
          <c:w val="0.8766152578035189"/>
          <c:h val="0.5949388225581596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numRef>
              <c:f>Arkusz1!$A$2:$A$21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Arkusz1!$B$2:$B$21</c:f>
              <c:numCache>
                <c:formatCode>General</c:formatCode>
                <c:ptCount val="20"/>
                <c:pt idx="0">
                  <c:v>44.87</c:v>
                </c:pt>
                <c:pt idx="1">
                  <c:v>137.16</c:v>
                </c:pt>
                <c:pt idx="2">
                  <c:v>40.72</c:v>
                </c:pt>
                <c:pt idx="3">
                  <c:v>40.99</c:v>
                </c:pt>
                <c:pt idx="4">
                  <c:v>33.03</c:v>
                </c:pt>
                <c:pt idx="5">
                  <c:v>36.299999999999997</c:v>
                </c:pt>
                <c:pt idx="6">
                  <c:v>67.95</c:v>
                </c:pt>
                <c:pt idx="7">
                  <c:v>48.88</c:v>
                </c:pt>
                <c:pt idx="8">
                  <c:v>73.41</c:v>
                </c:pt>
                <c:pt idx="9">
                  <c:v>42.79</c:v>
                </c:pt>
                <c:pt idx="10">
                  <c:v>57.71</c:v>
                </c:pt>
                <c:pt idx="11">
                  <c:v>52.4</c:v>
                </c:pt>
                <c:pt idx="12">
                  <c:v>34.200000000000003</c:v>
                </c:pt>
                <c:pt idx="13">
                  <c:v>28.99</c:v>
                </c:pt>
                <c:pt idx="14">
                  <c:v>19.77</c:v>
                </c:pt>
                <c:pt idx="15">
                  <c:v>121.8</c:v>
                </c:pt>
                <c:pt idx="16">
                  <c:v>46.3</c:v>
                </c:pt>
                <c:pt idx="17">
                  <c:v>52.5</c:v>
                </c:pt>
                <c:pt idx="18">
                  <c:v>33</c:v>
                </c:pt>
                <c:pt idx="19">
                  <c:v>35.659999999999997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E7-4E92-A6F7-519423B5B6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4"/>
        <c:overlap val="16"/>
        <c:axId val="416051184"/>
        <c:axId val="403437128"/>
      </c:barChart>
      <c:catAx>
        <c:axId val="41605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03437128"/>
        <c:crosses val="autoZero"/>
        <c:auto val="1"/>
        <c:lblAlgn val="ctr"/>
        <c:lblOffset val="100"/>
        <c:tickLblSkip val="2"/>
        <c:noMultiLvlLbl val="0"/>
      </c:catAx>
      <c:valAx>
        <c:axId val="403437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160511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 sz="1200" b="1" cap="none">
                <a:effectLst/>
                <a:latin typeface="+mn-lt"/>
              </a:rPr>
              <a:t>Rys.3.3. Prognoza ilości odpadów promieniotwórczych stałych nisko- i średnioaktywnych obejmująca lata 2033-2152, pochodzących z energetyki jądrowej</a:t>
            </a:r>
          </a:p>
          <a:p>
            <a:pPr>
              <a:defRPr/>
            </a:pPr>
            <a:r>
              <a:rPr lang="pl-PL" sz="1200" b="1" cap="none">
                <a:effectLst/>
                <a:latin typeface="+mn-lt"/>
              </a:rPr>
              <a:t>[m</a:t>
            </a:r>
            <a:r>
              <a:rPr lang="pl-PL" sz="1200" b="1" cap="none">
                <a:effectLst/>
                <a:latin typeface="+mn-lt"/>
                <a:cs typeface="Times New Roman"/>
              </a:rPr>
              <a:t>³</a:t>
            </a:r>
            <a:r>
              <a:rPr lang="pl-PL" sz="1400" b="1" cap="none">
                <a:effectLst/>
                <a:latin typeface="Times New Roman"/>
                <a:cs typeface="Times New Roman"/>
              </a:rPr>
              <a:t>]</a:t>
            </a:r>
            <a:endParaRPr lang="pl-PL" sz="1400" b="1" cap="none">
              <a:effectLst/>
              <a:latin typeface="+mn-lt"/>
            </a:endParaRPr>
          </a:p>
        </c:rich>
      </c:tx>
      <c:layout>
        <c:manualLayout>
          <c:xMode val="edge"/>
          <c:yMode val="edge"/>
          <c:x val="8.4097542352660468E-2"/>
          <c:y val="1.616148144348406E-2"/>
        </c:manualLayout>
      </c:layout>
      <c:overlay val="0"/>
      <c:spPr>
        <a:noFill/>
        <a:ln w="25401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Odpady z
eksploatacji elektrowni jądrowych</c:v>
                </c:pt>
              </c:strCache>
            </c:strRef>
          </c:tx>
          <c:marker>
            <c:symbol val="none"/>
          </c:marker>
          <c:cat>
            <c:numRef>
              <c:f>Arkusz1!$A$2:$A$99</c:f>
              <c:numCache>
                <c:formatCode>General</c:formatCode>
                <c:ptCount val="98"/>
                <c:pt idx="0">
                  <c:v>2033</c:v>
                </c:pt>
                <c:pt idx="1">
                  <c:v>2034</c:v>
                </c:pt>
                <c:pt idx="2">
                  <c:v>2035</c:v>
                </c:pt>
                <c:pt idx="3">
                  <c:v>2036</c:v>
                </c:pt>
                <c:pt idx="4">
                  <c:v>2037</c:v>
                </c:pt>
                <c:pt idx="5">
                  <c:v>2038</c:v>
                </c:pt>
                <c:pt idx="6">
                  <c:v>2039</c:v>
                </c:pt>
                <c:pt idx="7">
                  <c:v>2040</c:v>
                </c:pt>
                <c:pt idx="8">
                  <c:v>2041</c:v>
                </c:pt>
                <c:pt idx="9">
                  <c:v>2042</c:v>
                </c:pt>
                <c:pt idx="10">
                  <c:v>2043</c:v>
                </c:pt>
                <c:pt idx="11">
                  <c:v>2044</c:v>
                </c:pt>
                <c:pt idx="12">
                  <c:v>2045</c:v>
                </c:pt>
                <c:pt idx="13">
                  <c:v>2046</c:v>
                </c:pt>
                <c:pt idx="14">
                  <c:v>2047</c:v>
                </c:pt>
                <c:pt idx="15">
                  <c:v>2048</c:v>
                </c:pt>
                <c:pt idx="16">
                  <c:v>2049</c:v>
                </c:pt>
                <c:pt idx="17">
                  <c:v>2050</c:v>
                </c:pt>
                <c:pt idx="18">
                  <c:v>2051</c:v>
                </c:pt>
                <c:pt idx="19">
                  <c:v>2052</c:v>
                </c:pt>
                <c:pt idx="20">
                  <c:v>2053</c:v>
                </c:pt>
                <c:pt idx="21">
                  <c:v>2054</c:v>
                </c:pt>
                <c:pt idx="22">
                  <c:v>2055</c:v>
                </c:pt>
                <c:pt idx="23">
                  <c:v>2056</c:v>
                </c:pt>
                <c:pt idx="24">
                  <c:v>2057</c:v>
                </c:pt>
                <c:pt idx="25">
                  <c:v>2058</c:v>
                </c:pt>
                <c:pt idx="26">
                  <c:v>2059</c:v>
                </c:pt>
                <c:pt idx="27">
                  <c:v>2060</c:v>
                </c:pt>
                <c:pt idx="28">
                  <c:v>2061</c:v>
                </c:pt>
                <c:pt idx="29">
                  <c:v>2062</c:v>
                </c:pt>
                <c:pt idx="30">
                  <c:v>2063</c:v>
                </c:pt>
                <c:pt idx="31">
                  <c:v>2064</c:v>
                </c:pt>
                <c:pt idx="32">
                  <c:v>2065</c:v>
                </c:pt>
                <c:pt idx="33">
                  <c:v>2066</c:v>
                </c:pt>
                <c:pt idx="34">
                  <c:v>2067</c:v>
                </c:pt>
                <c:pt idx="35">
                  <c:v>2068</c:v>
                </c:pt>
                <c:pt idx="36">
                  <c:v>2069</c:v>
                </c:pt>
                <c:pt idx="37">
                  <c:v>2070</c:v>
                </c:pt>
                <c:pt idx="38">
                  <c:v>2071</c:v>
                </c:pt>
                <c:pt idx="39">
                  <c:v>2072</c:v>
                </c:pt>
                <c:pt idx="40">
                  <c:v>2073</c:v>
                </c:pt>
                <c:pt idx="41">
                  <c:v>2074</c:v>
                </c:pt>
                <c:pt idx="42">
                  <c:v>2075</c:v>
                </c:pt>
                <c:pt idx="43">
                  <c:v>2076</c:v>
                </c:pt>
                <c:pt idx="44">
                  <c:v>2077</c:v>
                </c:pt>
                <c:pt idx="45">
                  <c:v>2078</c:v>
                </c:pt>
                <c:pt idx="46">
                  <c:v>2079</c:v>
                </c:pt>
                <c:pt idx="47">
                  <c:v>2080</c:v>
                </c:pt>
                <c:pt idx="48">
                  <c:v>2081</c:v>
                </c:pt>
                <c:pt idx="49">
                  <c:v>2082</c:v>
                </c:pt>
                <c:pt idx="50">
                  <c:v>2083</c:v>
                </c:pt>
                <c:pt idx="51">
                  <c:v>2084</c:v>
                </c:pt>
                <c:pt idx="52">
                  <c:v>2085</c:v>
                </c:pt>
                <c:pt idx="53">
                  <c:v>2086</c:v>
                </c:pt>
                <c:pt idx="54">
                  <c:v>2087</c:v>
                </c:pt>
                <c:pt idx="55">
                  <c:v>2088</c:v>
                </c:pt>
                <c:pt idx="56">
                  <c:v>2089</c:v>
                </c:pt>
                <c:pt idx="57">
                  <c:v>2090</c:v>
                </c:pt>
                <c:pt idx="58">
                  <c:v>2091</c:v>
                </c:pt>
                <c:pt idx="59">
                  <c:v>2092</c:v>
                </c:pt>
                <c:pt idx="60">
                  <c:v>2093</c:v>
                </c:pt>
                <c:pt idx="61">
                  <c:v>2094</c:v>
                </c:pt>
                <c:pt idx="62">
                  <c:v>2095</c:v>
                </c:pt>
                <c:pt idx="63">
                  <c:v>2096</c:v>
                </c:pt>
                <c:pt idx="64">
                  <c:v>2097</c:v>
                </c:pt>
                <c:pt idx="65">
                  <c:v>2098</c:v>
                </c:pt>
                <c:pt idx="66">
                  <c:v>2099</c:v>
                </c:pt>
                <c:pt idx="67">
                  <c:v>2100</c:v>
                </c:pt>
                <c:pt idx="68">
                  <c:v>2101</c:v>
                </c:pt>
                <c:pt idx="69">
                  <c:v>2102</c:v>
                </c:pt>
                <c:pt idx="70">
                  <c:v>2103</c:v>
                </c:pt>
                <c:pt idx="71">
                  <c:v>2104</c:v>
                </c:pt>
                <c:pt idx="72">
                  <c:v>2105</c:v>
                </c:pt>
                <c:pt idx="73">
                  <c:v>2106</c:v>
                </c:pt>
                <c:pt idx="74">
                  <c:v>2107</c:v>
                </c:pt>
                <c:pt idx="75">
                  <c:v>2108</c:v>
                </c:pt>
                <c:pt idx="76">
                  <c:v>2109</c:v>
                </c:pt>
                <c:pt idx="77">
                  <c:v>2110</c:v>
                </c:pt>
                <c:pt idx="78">
                  <c:v>2111</c:v>
                </c:pt>
                <c:pt idx="79">
                  <c:v>2112</c:v>
                </c:pt>
                <c:pt idx="80">
                  <c:v>2113</c:v>
                </c:pt>
                <c:pt idx="81">
                  <c:v>2114</c:v>
                </c:pt>
                <c:pt idx="82">
                  <c:v>2115</c:v>
                </c:pt>
                <c:pt idx="83">
                  <c:v>2116</c:v>
                </c:pt>
                <c:pt idx="84">
                  <c:v>2117</c:v>
                </c:pt>
                <c:pt idx="85">
                  <c:v>2118</c:v>
                </c:pt>
                <c:pt idx="86">
                  <c:v>2119</c:v>
                </c:pt>
                <c:pt idx="87">
                  <c:v>2120</c:v>
                </c:pt>
                <c:pt idx="88">
                  <c:v>2121</c:v>
                </c:pt>
                <c:pt idx="89">
                  <c:v>2122</c:v>
                </c:pt>
                <c:pt idx="90">
                  <c:v>2123</c:v>
                </c:pt>
                <c:pt idx="91">
                  <c:v>2124</c:v>
                </c:pt>
                <c:pt idx="92">
                  <c:v>2125</c:v>
                </c:pt>
                <c:pt idx="93">
                  <c:v>2126</c:v>
                </c:pt>
                <c:pt idx="94">
                  <c:v>2127</c:v>
                </c:pt>
                <c:pt idx="95">
                  <c:v>2128</c:v>
                </c:pt>
                <c:pt idx="96">
                  <c:v>2129</c:v>
                </c:pt>
                <c:pt idx="97">
                  <c:v>2130</c:v>
                </c:pt>
              </c:numCache>
            </c:numRef>
          </c:cat>
          <c:val>
            <c:numRef>
              <c:f>Arkusz1!$B$2:$B$99</c:f>
              <c:numCache>
                <c:formatCode>General</c:formatCode>
                <c:ptCount val="98"/>
                <c:pt idx="0">
                  <c:v>450</c:v>
                </c:pt>
                <c:pt idx="1">
                  <c:v>450</c:v>
                </c:pt>
                <c:pt idx="2">
                  <c:v>450</c:v>
                </c:pt>
                <c:pt idx="3">
                  <c:v>900</c:v>
                </c:pt>
                <c:pt idx="4">
                  <c:v>900</c:v>
                </c:pt>
                <c:pt idx="5">
                  <c:v>900</c:v>
                </c:pt>
                <c:pt idx="6">
                  <c:v>900</c:v>
                </c:pt>
                <c:pt idx="7">
                  <c:v>900</c:v>
                </c:pt>
                <c:pt idx="8">
                  <c:v>900</c:v>
                </c:pt>
                <c:pt idx="9">
                  <c:v>900</c:v>
                </c:pt>
                <c:pt idx="10">
                  <c:v>900</c:v>
                </c:pt>
                <c:pt idx="11">
                  <c:v>900</c:v>
                </c:pt>
                <c:pt idx="12">
                  <c:v>900</c:v>
                </c:pt>
                <c:pt idx="13">
                  <c:v>900</c:v>
                </c:pt>
                <c:pt idx="14">
                  <c:v>900</c:v>
                </c:pt>
                <c:pt idx="15">
                  <c:v>900</c:v>
                </c:pt>
                <c:pt idx="16">
                  <c:v>900</c:v>
                </c:pt>
                <c:pt idx="17">
                  <c:v>900</c:v>
                </c:pt>
                <c:pt idx="18">
                  <c:v>900</c:v>
                </c:pt>
                <c:pt idx="19">
                  <c:v>900</c:v>
                </c:pt>
                <c:pt idx="20">
                  <c:v>900</c:v>
                </c:pt>
                <c:pt idx="21">
                  <c:v>900</c:v>
                </c:pt>
                <c:pt idx="22">
                  <c:v>900</c:v>
                </c:pt>
                <c:pt idx="23">
                  <c:v>900</c:v>
                </c:pt>
                <c:pt idx="24">
                  <c:v>900</c:v>
                </c:pt>
                <c:pt idx="25">
                  <c:v>900</c:v>
                </c:pt>
                <c:pt idx="26">
                  <c:v>900</c:v>
                </c:pt>
                <c:pt idx="27">
                  <c:v>900</c:v>
                </c:pt>
                <c:pt idx="28">
                  <c:v>900</c:v>
                </c:pt>
                <c:pt idx="29">
                  <c:v>900</c:v>
                </c:pt>
                <c:pt idx="30">
                  <c:v>900</c:v>
                </c:pt>
                <c:pt idx="31">
                  <c:v>900</c:v>
                </c:pt>
                <c:pt idx="32">
                  <c:v>900</c:v>
                </c:pt>
                <c:pt idx="33">
                  <c:v>900</c:v>
                </c:pt>
                <c:pt idx="34">
                  <c:v>900</c:v>
                </c:pt>
                <c:pt idx="35">
                  <c:v>900</c:v>
                </c:pt>
                <c:pt idx="36">
                  <c:v>900</c:v>
                </c:pt>
                <c:pt idx="37">
                  <c:v>900</c:v>
                </c:pt>
                <c:pt idx="38">
                  <c:v>900</c:v>
                </c:pt>
                <c:pt idx="39">
                  <c:v>900</c:v>
                </c:pt>
                <c:pt idx="40">
                  <c:v>900</c:v>
                </c:pt>
                <c:pt idx="41">
                  <c:v>900</c:v>
                </c:pt>
                <c:pt idx="42">
                  <c:v>900</c:v>
                </c:pt>
                <c:pt idx="43">
                  <c:v>900</c:v>
                </c:pt>
                <c:pt idx="44">
                  <c:v>900</c:v>
                </c:pt>
                <c:pt idx="45">
                  <c:v>900</c:v>
                </c:pt>
                <c:pt idx="46">
                  <c:v>900</c:v>
                </c:pt>
                <c:pt idx="47">
                  <c:v>900</c:v>
                </c:pt>
                <c:pt idx="48">
                  <c:v>900</c:v>
                </c:pt>
                <c:pt idx="49">
                  <c:v>900</c:v>
                </c:pt>
                <c:pt idx="50">
                  <c:v>900</c:v>
                </c:pt>
                <c:pt idx="51">
                  <c:v>900</c:v>
                </c:pt>
                <c:pt idx="52">
                  <c:v>900</c:v>
                </c:pt>
                <c:pt idx="53">
                  <c:v>750</c:v>
                </c:pt>
                <c:pt idx="54">
                  <c:v>750</c:v>
                </c:pt>
                <c:pt idx="55">
                  <c:v>750</c:v>
                </c:pt>
                <c:pt idx="56">
                  <c:v>750</c:v>
                </c:pt>
                <c:pt idx="57">
                  <c:v>750</c:v>
                </c:pt>
                <c:pt idx="58">
                  <c:v>450</c:v>
                </c:pt>
                <c:pt idx="59">
                  <c:v>450</c:v>
                </c:pt>
                <c:pt idx="60">
                  <c:v>450</c:v>
                </c:pt>
                <c:pt idx="61">
                  <c:v>450</c:v>
                </c:pt>
                <c:pt idx="62">
                  <c:v>450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6D9-472C-9E14-7453E8FF765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Odpady z
likwidacji elektrowni jądrowych
</c:v>
                </c:pt>
              </c:strCache>
            </c:strRef>
          </c:tx>
          <c:marker>
            <c:symbol val="none"/>
          </c:marker>
          <c:cat>
            <c:numRef>
              <c:f>Arkusz1!$A$2:$A$99</c:f>
              <c:numCache>
                <c:formatCode>General</c:formatCode>
                <c:ptCount val="98"/>
                <c:pt idx="0">
                  <c:v>2033</c:v>
                </c:pt>
                <c:pt idx="1">
                  <c:v>2034</c:v>
                </c:pt>
                <c:pt idx="2">
                  <c:v>2035</c:v>
                </c:pt>
                <c:pt idx="3">
                  <c:v>2036</c:v>
                </c:pt>
                <c:pt idx="4">
                  <c:v>2037</c:v>
                </c:pt>
                <c:pt idx="5">
                  <c:v>2038</c:v>
                </c:pt>
                <c:pt idx="6">
                  <c:v>2039</c:v>
                </c:pt>
                <c:pt idx="7">
                  <c:v>2040</c:v>
                </c:pt>
                <c:pt idx="8">
                  <c:v>2041</c:v>
                </c:pt>
                <c:pt idx="9">
                  <c:v>2042</c:v>
                </c:pt>
                <c:pt idx="10">
                  <c:v>2043</c:v>
                </c:pt>
                <c:pt idx="11">
                  <c:v>2044</c:v>
                </c:pt>
                <c:pt idx="12">
                  <c:v>2045</c:v>
                </c:pt>
                <c:pt idx="13">
                  <c:v>2046</c:v>
                </c:pt>
                <c:pt idx="14">
                  <c:v>2047</c:v>
                </c:pt>
                <c:pt idx="15">
                  <c:v>2048</c:v>
                </c:pt>
                <c:pt idx="16">
                  <c:v>2049</c:v>
                </c:pt>
                <c:pt idx="17">
                  <c:v>2050</c:v>
                </c:pt>
                <c:pt idx="18">
                  <c:v>2051</c:v>
                </c:pt>
                <c:pt idx="19">
                  <c:v>2052</c:v>
                </c:pt>
                <c:pt idx="20">
                  <c:v>2053</c:v>
                </c:pt>
                <c:pt idx="21">
                  <c:v>2054</c:v>
                </c:pt>
                <c:pt idx="22">
                  <c:v>2055</c:v>
                </c:pt>
                <c:pt idx="23">
                  <c:v>2056</c:v>
                </c:pt>
                <c:pt idx="24">
                  <c:v>2057</c:v>
                </c:pt>
                <c:pt idx="25">
                  <c:v>2058</c:v>
                </c:pt>
                <c:pt idx="26">
                  <c:v>2059</c:v>
                </c:pt>
                <c:pt idx="27">
                  <c:v>2060</c:v>
                </c:pt>
                <c:pt idx="28">
                  <c:v>2061</c:v>
                </c:pt>
                <c:pt idx="29">
                  <c:v>2062</c:v>
                </c:pt>
                <c:pt idx="30">
                  <c:v>2063</c:v>
                </c:pt>
                <c:pt idx="31">
                  <c:v>2064</c:v>
                </c:pt>
                <c:pt idx="32">
                  <c:v>2065</c:v>
                </c:pt>
                <c:pt idx="33">
                  <c:v>2066</c:v>
                </c:pt>
                <c:pt idx="34">
                  <c:v>2067</c:v>
                </c:pt>
                <c:pt idx="35">
                  <c:v>2068</c:v>
                </c:pt>
                <c:pt idx="36">
                  <c:v>2069</c:v>
                </c:pt>
                <c:pt idx="37">
                  <c:v>2070</c:v>
                </c:pt>
                <c:pt idx="38">
                  <c:v>2071</c:v>
                </c:pt>
                <c:pt idx="39">
                  <c:v>2072</c:v>
                </c:pt>
                <c:pt idx="40">
                  <c:v>2073</c:v>
                </c:pt>
                <c:pt idx="41">
                  <c:v>2074</c:v>
                </c:pt>
                <c:pt idx="42">
                  <c:v>2075</c:v>
                </c:pt>
                <c:pt idx="43">
                  <c:v>2076</c:v>
                </c:pt>
                <c:pt idx="44">
                  <c:v>2077</c:v>
                </c:pt>
                <c:pt idx="45">
                  <c:v>2078</c:v>
                </c:pt>
                <c:pt idx="46">
                  <c:v>2079</c:v>
                </c:pt>
                <c:pt idx="47">
                  <c:v>2080</c:v>
                </c:pt>
                <c:pt idx="48">
                  <c:v>2081</c:v>
                </c:pt>
                <c:pt idx="49">
                  <c:v>2082</c:v>
                </c:pt>
                <c:pt idx="50">
                  <c:v>2083</c:v>
                </c:pt>
                <c:pt idx="51">
                  <c:v>2084</c:v>
                </c:pt>
                <c:pt idx="52">
                  <c:v>2085</c:v>
                </c:pt>
                <c:pt idx="53">
                  <c:v>2086</c:v>
                </c:pt>
                <c:pt idx="54">
                  <c:v>2087</c:v>
                </c:pt>
                <c:pt idx="55">
                  <c:v>2088</c:v>
                </c:pt>
                <c:pt idx="56">
                  <c:v>2089</c:v>
                </c:pt>
                <c:pt idx="57">
                  <c:v>2090</c:v>
                </c:pt>
                <c:pt idx="58">
                  <c:v>2091</c:v>
                </c:pt>
                <c:pt idx="59">
                  <c:v>2092</c:v>
                </c:pt>
                <c:pt idx="60">
                  <c:v>2093</c:v>
                </c:pt>
                <c:pt idx="61">
                  <c:v>2094</c:v>
                </c:pt>
                <c:pt idx="62">
                  <c:v>2095</c:v>
                </c:pt>
                <c:pt idx="63">
                  <c:v>2096</c:v>
                </c:pt>
                <c:pt idx="64">
                  <c:v>2097</c:v>
                </c:pt>
                <c:pt idx="65">
                  <c:v>2098</c:v>
                </c:pt>
                <c:pt idx="66">
                  <c:v>2099</c:v>
                </c:pt>
                <c:pt idx="67">
                  <c:v>2100</c:v>
                </c:pt>
                <c:pt idx="68">
                  <c:v>2101</c:v>
                </c:pt>
                <c:pt idx="69">
                  <c:v>2102</c:v>
                </c:pt>
                <c:pt idx="70">
                  <c:v>2103</c:v>
                </c:pt>
                <c:pt idx="71">
                  <c:v>2104</c:v>
                </c:pt>
                <c:pt idx="72">
                  <c:v>2105</c:v>
                </c:pt>
                <c:pt idx="73">
                  <c:v>2106</c:v>
                </c:pt>
                <c:pt idx="74">
                  <c:v>2107</c:v>
                </c:pt>
                <c:pt idx="75">
                  <c:v>2108</c:v>
                </c:pt>
                <c:pt idx="76">
                  <c:v>2109</c:v>
                </c:pt>
                <c:pt idx="77">
                  <c:v>2110</c:v>
                </c:pt>
                <c:pt idx="78">
                  <c:v>2111</c:v>
                </c:pt>
                <c:pt idx="79">
                  <c:v>2112</c:v>
                </c:pt>
                <c:pt idx="80">
                  <c:v>2113</c:v>
                </c:pt>
                <c:pt idx="81">
                  <c:v>2114</c:v>
                </c:pt>
                <c:pt idx="82">
                  <c:v>2115</c:v>
                </c:pt>
                <c:pt idx="83">
                  <c:v>2116</c:v>
                </c:pt>
                <c:pt idx="84">
                  <c:v>2117</c:v>
                </c:pt>
                <c:pt idx="85">
                  <c:v>2118</c:v>
                </c:pt>
                <c:pt idx="86">
                  <c:v>2119</c:v>
                </c:pt>
                <c:pt idx="87">
                  <c:v>2120</c:v>
                </c:pt>
                <c:pt idx="88">
                  <c:v>2121</c:v>
                </c:pt>
                <c:pt idx="89">
                  <c:v>2122</c:v>
                </c:pt>
                <c:pt idx="90">
                  <c:v>2123</c:v>
                </c:pt>
                <c:pt idx="91">
                  <c:v>2124</c:v>
                </c:pt>
                <c:pt idx="92">
                  <c:v>2125</c:v>
                </c:pt>
                <c:pt idx="93">
                  <c:v>2126</c:v>
                </c:pt>
                <c:pt idx="94">
                  <c:v>2127</c:v>
                </c:pt>
                <c:pt idx="95">
                  <c:v>2128</c:v>
                </c:pt>
                <c:pt idx="96">
                  <c:v>2129</c:v>
                </c:pt>
                <c:pt idx="97">
                  <c:v>2130</c:v>
                </c:pt>
              </c:numCache>
            </c:numRef>
          </c:cat>
          <c:val>
            <c:numRef>
              <c:f>Arkusz1!$C$2:$C$99</c:f>
              <c:numCache>
                <c:formatCode>General</c:formatCode>
                <c:ptCount val="98"/>
                <c:pt idx="67">
                  <c:v>1125</c:v>
                </c:pt>
                <c:pt idx="68">
                  <c:v>1125</c:v>
                </c:pt>
                <c:pt idx="69">
                  <c:v>1125</c:v>
                </c:pt>
                <c:pt idx="70">
                  <c:v>1125</c:v>
                </c:pt>
                <c:pt idx="71">
                  <c:v>1125</c:v>
                </c:pt>
                <c:pt idx="72">
                  <c:v>2250</c:v>
                </c:pt>
                <c:pt idx="73">
                  <c:v>2250</c:v>
                </c:pt>
                <c:pt idx="74">
                  <c:v>2250</c:v>
                </c:pt>
                <c:pt idx="75">
                  <c:v>2250</c:v>
                </c:pt>
                <c:pt idx="76">
                  <c:v>2250</c:v>
                </c:pt>
                <c:pt idx="77">
                  <c:v>2250</c:v>
                </c:pt>
                <c:pt idx="78">
                  <c:v>2250</c:v>
                </c:pt>
                <c:pt idx="79">
                  <c:v>2250</c:v>
                </c:pt>
                <c:pt idx="80">
                  <c:v>2250</c:v>
                </c:pt>
                <c:pt idx="81">
                  <c:v>2250</c:v>
                </c:pt>
                <c:pt idx="82">
                  <c:v>2250</c:v>
                </c:pt>
                <c:pt idx="83">
                  <c:v>2250</c:v>
                </c:pt>
                <c:pt idx="84">
                  <c:v>2250</c:v>
                </c:pt>
                <c:pt idx="85">
                  <c:v>2250</c:v>
                </c:pt>
                <c:pt idx="86">
                  <c:v>2250</c:v>
                </c:pt>
                <c:pt idx="87">
                  <c:v>2250</c:v>
                </c:pt>
                <c:pt idx="88">
                  <c:v>2250</c:v>
                </c:pt>
                <c:pt idx="89">
                  <c:v>2250</c:v>
                </c:pt>
                <c:pt idx="90">
                  <c:v>2250</c:v>
                </c:pt>
                <c:pt idx="91">
                  <c:v>2250</c:v>
                </c:pt>
                <c:pt idx="92">
                  <c:v>2250</c:v>
                </c:pt>
                <c:pt idx="93">
                  <c:v>2250</c:v>
                </c:pt>
                <c:pt idx="94">
                  <c:v>2250</c:v>
                </c:pt>
                <c:pt idx="95">
                  <c:v>2250</c:v>
                </c:pt>
                <c:pt idx="96">
                  <c:v>2250</c:v>
                </c:pt>
                <c:pt idx="97">
                  <c:v>1125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6D9-472C-9E14-7453E8FF7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3437912"/>
        <c:axId val="403438304"/>
      </c:lineChart>
      <c:catAx>
        <c:axId val="403437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03438304"/>
        <c:crosses val="autoZero"/>
        <c:auto val="1"/>
        <c:lblAlgn val="ctr"/>
        <c:lblOffset val="100"/>
        <c:noMultiLvlLbl val="0"/>
      </c:catAx>
      <c:valAx>
        <c:axId val="4034383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6">
            <a:noFill/>
          </a:ln>
        </c:spPr>
        <c:crossAx val="403437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4359150560725364E-2"/>
          <c:y val="0.87049988458283112"/>
          <c:w val="0.9"/>
          <c:h val="0.1252992724443646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 sz="1200">
                <a:latin typeface="+mn-lt"/>
              </a:rPr>
              <a:t>Rys. 3.4. Prognoza ilości w</a:t>
            </a:r>
            <a:r>
              <a:rPr lang="en-US" sz="1200">
                <a:latin typeface="+mn-lt"/>
              </a:rPr>
              <a:t>ypalone</a:t>
            </a:r>
            <a:r>
              <a:rPr lang="pl-PL" sz="1200">
                <a:latin typeface="+mn-lt"/>
              </a:rPr>
              <a:t>go</a:t>
            </a:r>
            <a:r>
              <a:rPr lang="en-US" sz="1200">
                <a:latin typeface="+mn-lt"/>
              </a:rPr>
              <a:t> paliw</a:t>
            </a:r>
            <a:r>
              <a:rPr lang="pl-PL" sz="1200">
                <a:latin typeface="+mn-lt"/>
              </a:rPr>
              <a:t>a</a:t>
            </a:r>
            <a:r>
              <a:rPr lang="en-US" sz="1200">
                <a:latin typeface="+mn-lt"/>
              </a:rPr>
              <a:t> jądrowe</a:t>
            </a:r>
            <a:r>
              <a:rPr lang="pl-PL" sz="1200">
                <a:latin typeface="+mn-lt"/>
              </a:rPr>
              <a:t>go</a:t>
            </a:r>
          </a:p>
          <a:p>
            <a:pPr>
              <a:defRPr/>
            </a:pPr>
            <a:r>
              <a:rPr lang="en-US" sz="1200">
                <a:latin typeface="+mn-lt"/>
              </a:rPr>
              <a:t>z</a:t>
            </a:r>
            <a:r>
              <a:rPr lang="pl-PL" sz="1200">
                <a:latin typeface="+mn-lt"/>
              </a:rPr>
              <a:t> dwóch</a:t>
            </a:r>
            <a:r>
              <a:rPr lang="en-US" sz="1200">
                <a:latin typeface="+mn-lt"/>
              </a:rPr>
              <a:t> elektrowni jądrowych</a:t>
            </a:r>
            <a:endParaRPr lang="pl-PL" sz="1200">
              <a:latin typeface="+mn-lt"/>
            </a:endParaRPr>
          </a:p>
          <a:p>
            <a:pPr>
              <a:defRPr/>
            </a:pPr>
            <a:r>
              <a:rPr lang="pl-PL" sz="1200">
                <a:latin typeface="+mn-lt"/>
              </a:rPr>
              <a:t>[tHM]</a:t>
            </a:r>
            <a:endParaRPr lang="en-US" sz="1200">
              <a:latin typeface="+mn-lt"/>
            </a:endParaRPr>
          </a:p>
        </c:rich>
      </c:tx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8768272293365462E-2"/>
          <c:y val="0.20330255014419493"/>
          <c:w val="0.90038949757614817"/>
          <c:h val="0.5612672952917922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Wypalone paliwo jądrowe z elektrowni jądrowych</c:v>
                </c:pt>
              </c:strCache>
            </c:strRef>
          </c:tx>
          <c:marker>
            <c:symbol val="none"/>
          </c:marker>
          <c:cat>
            <c:numRef>
              <c:f>Arkusz1!$A$2:$A$64</c:f>
              <c:numCache>
                <c:formatCode>General</c:formatCode>
                <c:ptCount val="63"/>
                <c:pt idx="0">
                  <c:v>2033</c:v>
                </c:pt>
                <c:pt idx="1">
                  <c:v>2034</c:v>
                </c:pt>
                <c:pt idx="2">
                  <c:v>2035</c:v>
                </c:pt>
                <c:pt idx="3">
                  <c:v>2036</c:v>
                </c:pt>
                <c:pt idx="4">
                  <c:v>2037</c:v>
                </c:pt>
                <c:pt idx="5">
                  <c:v>2038</c:v>
                </c:pt>
                <c:pt idx="6">
                  <c:v>2039</c:v>
                </c:pt>
                <c:pt idx="7">
                  <c:v>2040</c:v>
                </c:pt>
                <c:pt idx="8">
                  <c:v>2041</c:v>
                </c:pt>
                <c:pt idx="9">
                  <c:v>2042</c:v>
                </c:pt>
                <c:pt idx="10">
                  <c:v>2043</c:v>
                </c:pt>
                <c:pt idx="11">
                  <c:v>2044</c:v>
                </c:pt>
                <c:pt idx="12">
                  <c:v>2045</c:v>
                </c:pt>
                <c:pt idx="13">
                  <c:v>2046</c:v>
                </c:pt>
                <c:pt idx="14">
                  <c:v>2047</c:v>
                </c:pt>
                <c:pt idx="15">
                  <c:v>2048</c:v>
                </c:pt>
                <c:pt idx="16">
                  <c:v>2049</c:v>
                </c:pt>
                <c:pt idx="17">
                  <c:v>2050</c:v>
                </c:pt>
                <c:pt idx="18">
                  <c:v>2051</c:v>
                </c:pt>
                <c:pt idx="19">
                  <c:v>2052</c:v>
                </c:pt>
                <c:pt idx="20">
                  <c:v>2053</c:v>
                </c:pt>
                <c:pt idx="21">
                  <c:v>2054</c:v>
                </c:pt>
                <c:pt idx="22">
                  <c:v>2055</c:v>
                </c:pt>
                <c:pt idx="23">
                  <c:v>2056</c:v>
                </c:pt>
                <c:pt idx="24">
                  <c:v>2057</c:v>
                </c:pt>
                <c:pt idx="25">
                  <c:v>2058</c:v>
                </c:pt>
                <c:pt idx="26">
                  <c:v>2059</c:v>
                </c:pt>
                <c:pt idx="27">
                  <c:v>2060</c:v>
                </c:pt>
                <c:pt idx="28">
                  <c:v>2061</c:v>
                </c:pt>
                <c:pt idx="29">
                  <c:v>2062</c:v>
                </c:pt>
                <c:pt idx="30">
                  <c:v>2063</c:v>
                </c:pt>
                <c:pt idx="31">
                  <c:v>2064</c:v>
                </c:pt>
                <c:pt idx="32">
                  <c:v>2065</c:v>
                </c:pt>
                <c:pt idx="33">
                  <c:v>2066</c:v>
                </c:pt>
                <c:pt idx="34">
                  <c:v>2067</c:v>
                </c:pt>
                <c:pt idx="35">
                  <c:v>2068</c:v>
                </c:pt>
                <c:pt idx="36">
                  <c:v>2069</c:v>
                </c:pt>
                <c:pt idx="37">
                  <c:v>2070</c:v>
                </c:pt>
                <c:pt idx="38">
                  <c:v>2071</c:v>
                </c:pt>
                <c:pt idx="39">
                  <c:v>2072</c:v>
                </c:pt>
                <c:pt idx="40">
                  <c:v>2073</c:v>
                </c:pt>
                <c:pt idx="41">
                  <c:v>2074</c:v>
                </c:pt>
                <c:pt idx="42">
                  <c:v>2075</c:v>
                </c:pt>
                <c:pt idx="43">
                  <c:v>2076</c:v>
                </c:pt>
                <c:pt idx="44">
                  <c:v>2077</c:v>
                </c:pt>
                <c:pt idx="45">
                  <c:v>2078</c:v>
                </c:pt>
                <c:pt idx="46">
                  <c:v>2079</c:v>
                </c:pt>
                <c:pt idx="47">
                  <c:v>2080</c:v>
                </c:pt>
                <c:pt idx="48">
                  <c:v>2081</c:v>
                </c:pt>
                <c:pt idx="49">
                  <c:v>2082</c:v>
                </c:pt>
                <c:pt idx="50">
                  <c:v>2083</c:v>
                </c:pt>
                <c:pt idx="51">
                  <c:v>2084</c:v>
                </c:pt>
                <c:pt idx="52">
                  <c:v>2085</c:v>
                </c:pt>
                <c:pt idx="53">
                  <c:v>2086</c:v>
                </c:pt>
                <c:pt idx="54">
                  <c:v>2087</c:v>
                </c:pt>
                <c:pt idx="55">
                  <c:v>2088</c:v>
                </c:pt>
                <c:pt idx="56">
                  <c:v>2089</c:v>
                </c:pt>
                <c:pt idx="57">
                  <c:v>2090</c:v>
                </c:pt>
                <c:pt idx="58">
                  <c:v>2091</c:v>
                </c:pt>
                <c:pt idx="59">
                  <c:v>2092</c:v>
                </c:pt>
                <c:pt idx="60">
                  <c:v>2093</c:v>
                </c:pt>
                <c:pt idx="61">
                  <c:v>2094</c:v>
                </c:pt>
                <c:pt idx="62">
                  <c:v>2095</c:v>
                </c:pt>
              </c:numCache>
            </c:numRef>
          </c:cat>
          <c:val>
            <c:numRef>
              <c:f>Arkusz1!$B$2:$B$64</c:f>
              <c:numCache>
                <c:formatCode>General</c:formatCode>
                <c:ptCount val="63"/>
                <c:pt idx="0">
                  <c:v>55.83</c:v>
                </c:pt>
                <c:pt idx="1">
                  <c:v>55.83</c:v>
                </c:pt>
                <c:pt idx="2">
                  <c:v>55.83</c:v>
                </c:pt>
                <c:pt idx="3">
                  <c:v>111.66</c:v>
                </c:pt>
                <c:pt idx="4">
                  <c:v>111.66</c:v>
                </c:pt>
                <c:pt idx="5">
                  <c:v>111.66</c:v>
                </c:pt>
                <c:pt idx="6">
                  <c:v>111.66</c:v>
                </c:pt>
                <c:pt idx="7">
                  <c:v>111.66</c:v>
                </c:pt>
                <c:pt idx="8">
                  <c:v>111.66</c:v>
                </c:pt>
                <c:pt idx="9">
                  <c:v>111.66</c:v>
                </c:pt>
                <c:pt idx="10">
                  <c:v>111.66</c:v>
                </c:pt>
                <c:pt idx="11">
                  <c:v>111.66</c:v>
                </c:pt>
                <c:pt idx="12">
                  <c:v>111.66</c:v>
                </c:pt>
                <c:pt idx="13">
                  <c:v>111.66</c:v>
                </c:pt>
                <c:pt idx="14">
                  <c:v>111.65</c:v>
                </c:pt>
                <c:pt idx="15">
                  <c:v>111.66</c:v>
                </c:pt>
                <c:pt idx="16">
                  <c:v>111.66</c:v>
                </c:pt>
                <c:pt idx="17">
                  <c:v>111.66</c:v>
                </c:pt>
                <c:pt idx="18">
                  <c:v>111.66</c:v>
                </c:pt>
                <c:pt idx="19">
                  <c:v>111.66</c:v>
                </c:pt>
                <c:pt idx="20">
                  <c:v>111.66</c:v>
                </c:pt>
                <c:pt idx="21">
                  <c:v>111.66</c:v>
                </c:pt>
                <c:pt idx="22">
                  <c:v>111.66</c:v>
                </c:pt>
                <c:pt idx="23">
                  <c:v>111.66</c:v>
                </c:pt>
                <c:pt idx="24">
                  <c:v>111.66</c:v>
                </c:pt>
                <c:pt idx="25">
                  <c:v>111.66</c:v>
                </c:pt>
                <c:pt idx="26">
                  <c:v>111.66</c:v>
                </c:pt>
                <c:pt idx="27">
                  <c:v>111.66</c:v>
                </c:pt>
                <c:pt idx="28">
                  <c:v>111.66</c:v>
                </c:pt>
                <c:pt idx="29">
                  <c:v>111.66</c:v>
                </c:pt>
                <c:pt idx="30">
                  <c:v>111.66</c:v>
                </c:pt>
                <c:pt idx="31">
                  <c:v>111.66</c:v>
                </c:pt>
                <c:pt idx="32">
                  <c:v>111.66</c:v>
                </c:pt>
                <c:pt idx="33">
                  <c:v>111.66</c:v>
                </c:pt>
                <c:pt idx="34">
                  <c:v>111.66</c:v>
                </c:pt>
                <c:pt idx="35">
                  <c:v>111.66</c:v>
                </c:pt>
                <c:pt idx="36">
                  <c:v>111.66</c:v>
                </c:pt>
                <c:pt idx="37">
                  <c:v>111.66</c:v>
                </c:pt>
                <c:pt idx="38">
                  <c:v>111.66</c:v>
                </c:pt>
                <c:pt idx="39">
                  <c:v>111.66</c:v>
                </c:pt>
                <c:pt idx="40">
                  <c:v>111.66</c:v>
                </c:pt>
                <c:pt idx="41">
                  <c:v>111.66</c:v>
                </c:pt>
                <c:pt idx="42">
                  <c:v>111.66</c:v>
                </c:pt>
                <c:pt idx="43">
                  <c:v>111.66</c:v>
                </c:pt>
                <c:pt idx="44">
                  <c:v>111.66</c:v>
                </c:pt>
                <c:pt idx="45">
                  <c:v>111.66</c:v>
                </c:pt>
                <c:pt idx="46">
                  <c:v>111.66</c:v>
                </c:pt>
                <c:pt idx="47">
                  <c:v>111.66</c:v>
                </c:pt>
                <c:pt idx="48">
                  <c:v>111.66</c:v>
                </c:pt>
                <c:pt idx="49">
                  <c:v>111.66</c:v>
                </c:pt>
                <c:pt idx="50">
                  <c:v>111.66</c:v>
                </c:pt>
                <c:pt idx="51">
                  <c:v>111.66</c:v>
                </c:pt>
                <c:pt idx="52">
                  <c:v>111.66</c:v>
                </c:pt>
                <c:pt idx="53">
                  <c:v>93.05</c:v>
                </c:pt>
                <c:pt idx="54">
                  <c:v>93.05</c:v>
                </c:pt>
                <c:pt idx="55">
                  <c:v>93.05</c:v>
                </c:pt>
                <c:pt idx="56">
                  <c:v>93.05</c:v>
                </c:pt>
                <c:pt idx="57">
                  <c:v>93.05</c:v>
                </c:pt>
                <c:pt idx="58">
                  <c:v>55.83</c:v>
                </c:pt>
                <c:pt idx="59">
                  <c:v>55.83</c:v>
                </c:pt>
                <c:pt idx="60">
                  <c:v>55.83</c:v>
                </c:pt>
                <c:pt idx="61">
                  <c:v>55.83</c:v>
                </c:pt>
                <c:pt idx="62">
                  <c:v>55.83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FCA-436D-9891-A4228BE23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6428352"/>
        <c:axId val="416428744"/>
      </c:lineChart>
      <c:catAx>
        <c:axId val="41642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16428744"/>
        <c:crosses val="autoZero"/>
        <c:auto val="1"/>
        <c:lblAlgn val="ctr"/>
        <c:lblOffset val="100"/>
        <c:noMultiLvlLbl val="0"/>
      </c:catAx>
      <c:valAx>
        <c:axId val="416428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6">
            <a:noFill/>
          </a:ln>
        </c:spPr>
        <c:crossAx val="4164283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349">
                <a:latin typeface="+mn-lt"/>
              </a:defRPr>
            </a:pPr>
            <a:r>
              <a:rPr lang="pl-PL" sz="1272" b="1" cap="none">
                <a:effectLst/>
                <a:latin typeface="+mn-lt"/>
              </a:rPr>
              <a:t>Rys. 3.5. Prognoza dostaw nisko- i średnioaktywnych odpadów promieniotwórczych do NSPOP w latach 2033 - 2152</a:t>
            </a:r>
          </a:p>
          <a:p>
            <a:pPr algn="ctr">
              <a:defRPr sz="1349">
                <a:latin typeface="+mn-lt"/>
              </a:defRPr>
            </a:pPr>
            <a:r>
              <a:rPr lang="pl-PL" sz="1272" b="1" cap="all">
                <a:effectLst/>
                <a:latin typeface="+mn-lt"/>
              </a:rPr>
              <a:t>[</a:t>
            </a:r>
            <a:r>
              <a:rPr lang="pl-PL" sz="1272" b="1" cap="none">
                <a:effectLst/>
                <a:latin typeface="+mn-lt"/>
              </a:rPr>
              <a:t>m</a:t>
            </a:r>
            <a:r>
              <a:rPr lang="pl-PL" sz="1272" b="1" cap="all">
                <a:effectLst/>
                <a:latin typeface="+mn-lt"/>
                <a:cs typeface="Times New Roman"/>
              </a:rPr>
              <a:t>³</a:t>
            </a:r>
            <a:r>
              <a:rPr lang="pl-PL" sz="1272" b="1" cap="all">
                <a:effectLst/>
                <a:latin typeface="+mn-lt"/>
              </a:rPr>
              <a:t>]</a:t>
            </a:r>
          </a:p>
        </c:rich>
      </c:tx>
      <c:overlay val="0"/>
      <c:spPr>
        <a:noFill/>
        <a:ln w="2693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001475451161822E-2"/>
          <c:y val="0.26519817206757201"/>
          <c:w val="0.88922827972774587"/>
          <c:h val="0.38226486057058962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Odpady z zastosowań medycznych, naukowych i przemysłowych </c:v>
                </c:pt>
              </c:strCache>
            </c:strRef>
          </c:tx>
          <c:spPr>
            <a:ln>
              <a:solidFill>
                <a:schemeClr val="tx2">
                  <a:lumMod val="40000"/>
                  <a:lumOff val="60000"/>
                </a:schemeClr>
              </a:solidFill>
            </a:ln>
          </c:spPr>
          <c:marker>
            <c:symbol val="none"/>
          </c:marker>
          <c:cat>
            <c:numRef>
              <c:f>Arkusz1!$A$2:$A$121</c:f>
              <c:numCache>
                <c:formatCode>General</c:formatCode>
                <c:ptCount val="120"/>
                <c:pt idx="0">
                  <c:v>2033</c:v>
                </c:pt>
                <c:pt idx="1">
                  <c:v>2034</c:v>
                </c:pt>
                <c:pt idx="2">
                  <c:v>2035</c:v>
                </c:pt>
                <c:pt idx="3">
                  <c:v>2036</c:v>
                </c:pt>
                <c:pt idx="4">
                  <c:v>2037</c:v>
                </c:pt>
                <c:pt idx="5">
                  <c:v>2038</c:v>
                </c:pt>
                <c:pt idx="6">
                  <c:v>2039</c:v>
                </c:pt>
                <c:pt idx="7">
                  <c:v>2040</c:v>
                </c:pt>
                <c:pt idx="8">
                  <c:v>2041</c:v>
                </c:pt>
                <c:pt idx="9">
                  <c:v>2042</c:v>
                </c:pt>
                <c:pt idx="10">
                  <c:v>2043</c:v>
                </c:pt>
                <c:pt idx="11">
                  <c:v>2044</c:v>
                </c:pt>
                <c:pt idx="12">
                  <c:v>2045</c:v>
                </c:pt>
                <c:pt idx="13">
                  <c:v>2046</c:v>
                </c:pt>
                <c:pt idx="14">
                  <c:v>2047</c:v>
                </c:pt>
                <c:pt idx="15">
                  <c:v>2048</c:v>
                </c:pt>
                <c:pt idx="16">
                  <c:v>2049</c:v>
                </c:pt>
                <c:pt idx="17">
                  <c:v>2050</c:v>
                </c:pt>
                <c:pt idx="18">
                  <c:v>2051</c:v>
                </c:pt>
                <c:pt idx="19">
                  <c:v>2052</c:v>
                </c:pt>
                <c:pt idx="20">
                  <c:v>2053</c:v>
                </c:pt>
                <c:pt idx="21">
                  <c:v>2054</c:v>
                </c:pt>
                <c:pt idx="22">
                  <c:v>2055</c:v>
                </c:pt>
                <c:pt idx="23">
                  <c:v>2056</c:v>
                </c:pt>
                <c:pt idx="24">
                  <c:v>2057</c:v>
                </c:pt>
                <c:pt idx="25">
                  <c:v>2058</c:v>
                </c:pt>
                <c:pt idx="26">
                  <c:v>2059</c:v>
                </c:pt>
                <c:pt idx="27">
                  <c:v>2060</c:v>
                </c:pt>
                <c:pt idx="28">
                  <c:v>2061</c:v>
                </c:pt>
                <c:pt idx="29">
                  <c:v>2062</c:v>
                </c:pt>
                <c:pt idx="30">
                  <c:v>2063</c:v>
                </c:pt>
                <c:pt idx="31">
                  <c:v>2064</c:v>
                </c:pt>
                <c:pt idx="32">
                  <c:v>2065</c:v>
                </c:pt>
                <c:pt idx="33">
                  <c:v>2066</c:v>
                </c:pt>
                <c:pt idx="34">
                  <c:v>2067</c:v>
                </c:pt>
                <c:pt idx="35">
                  <c:v>2068</c:v>
                </c:pt>
                <c:pt idx="36">
                  <c:v>2069</c:v>
                </c:pt>
                <c:pt idx="37">
                  <c:v>2070</c:v>
                </c:pt>
                <c:pt idx="38">
                  <c:v>2071</c:v>
                </c:pt>
                <c:pt idx="39">
                  <c:v>2072</c:v>
                </c:pt>
                <c:pt idx="40">
                  <c:v>2073</c:v>
                </c:pt>
                <c:pt idx="41">
                  <c:v>2074</c:v>
                </c:pt>
                <c:pt idx="42">
                  <c:v>2075</c:v>
                </c:pt>
                <c:pt idx="43">
                  <c:v>2076</c:v>
                </c:pt>
                <c:pt idx="44">
                  <c:v>2077</c:v>
                </c:pt>
                <c:pt idx="45">
                  <c:v>2078</c:v>
                </c:pt>
                <c:pt idx="46">
                  <c:v>2079</c:v>
                </c:pt>
                <c:pt idx="47">
                  <c:v>2080</c:v>
                </c:pt>
                <c:pt idx="48">
                  <c:v>2081</c:v>
                </c:pt>
                <c:pt idx="49">
                  <c:v>2082</c:v>
                </c:pt>
                <c:pt idx="50">
                  <c:v>2083</c:v>
                </c:pt>
                <c:pt idx="51">
                  <c:v>2084</c:v>
                </c:pt>
                <c:pt idx="52">
                  <c:v>2085</c:v>
                </c:pt>
                <c:pt idx="53">
                  <c:v>2086</c:v>
                </c:pt>
                <c:pt idx="54">
                  <c:v>2087</c:v>
                </c:pt>
                <c:pt idx="55">
                  <c:v>2088</c:v>
                </c:pt>
                <c:pt idx="56">
                  <c:v>2089</c:v>
                </c:pt>
                <c:pt idx="57">
                  <c:v>2090</c:v>
                </c:pt>
                <c:pt idx="58">
                  <c:v>2091</c:v>
                </c:pt>
                <c:pt idx="59">
                  <c:v>2092</c:v>
                </c:pt>
                <c:pt idx="60">
                  <c:v>2093</c:v>
                </c:pt>
                <c:pt idx="61">
                  <c:v>2094</c:v>
                </c:pt>
                <c:pt idx="62">
                  <c:v>2095</c:v>
                </c:pt>
                <c:pt idx="63">
                  <c:v>2096</c:v>
                </c:pt>
                <c:pt idx="64">
                  <c:v>2097</c:v>
                </c:pt>
                <c:pt idx="65">
                  <c:v>2098</c:v>
                </c:pt>
                <c:pt idx="66">
                  <c:v>2099</c:v>
                </c:pt>
                <c:pt idx="67">
                  <c:v>2100</c:v>
                </c:pt>
                <c:pt idx="68">
                  <c:v>2101</c:v>
                </c:pt>
                <c:pt idx="69">
                  <c:v>2102</c:v>
                </c:pt>
                <c:pt idx="70">
                  <c:v>2103</c:v>
                </c:pt>
                <c:pt idx="71">
                  <c:v>2104</c:v>
                </c:pt>
                <c:pt idx="72">
                  <c:v>2105</c:v>
                </c:pt>
                <c:pt idx="73">
                  <c:v>2106</c:v>
                </c:pt>
                <c:pt idx="74">
                  <c:v>2107</c:v>
                </c:pt>
                <c:pt idx="75">
                  <c:v>2108</c:v>
                </c:pt>
                <c:pt idx="76">
                  <c:v>2109</c:v>
                </c:pt>
                <c:pt idx="77">
                  <c:v>2110</c:v>
                </c:pt>
                <c:pt idx="78">
                  <c:v>2111</c:v>
                </c:pt>
                <c:pt idx="79">
                  <c:v>2112</c:v>
                </c:pt>
                <c:pt idx="80">
                  <c:v>2113</c:v>
                </c:pt>
                <c:pt idx="81">
                  <c:v>2114</c:v>
                </c:pt>
                <c:pt idx="82">
                  <c:v>2115</c:v>
                </c:pt>
                <c:pt idx="83">
                  <c:v>2116</c:v>
                </c:pt>
                <c:pt idx="84">
                  <c:v>2117</c:v>
                </c:pt>
                <c:pt idx="85">
                  <c:v>2118</c:v>
                </c:pt>
                <c:pt idx="86">
                  <c:v>2119</c:v>
                </c:pt>
                <c:pt idx="87">
                  <c:v>2120</c:v>
                </c:pt>
                <c:pt idx="88">
                  <c:v>2121</c:v>
                </c:pt>
                <c:pt idx="89">
                  <c:v>2122</c:v>
                </c:pt>
                <c:pt idx="90">
                  <c:v>2123</c:v>
                </c:pt>
                <c:pt idx="91">
                  <c:v>2124</c:v>
                </c:pt>
                <c:pt idx="92">
                  <c:v>2125</c:v>
                </c:pt>
                <c:pt idx="93">
                  <c:v>2126</c:v>
                </c:pt>
                <c:pt idx="94">
                  <c:v>2127</c:v>
                </c:pt>
                <c:pt idx="95">
                  <c:v>2128</c:v>
                </c:pt>
                <c:pt idx="96">
                  <c:v>2129</c:v>
                </c:pt>
                <c:pt idx="97">
                  <c:v>2130</c:v>
                </c:pt>
                <c:pt idx="98">
                  <c:v>2131</c:v>
                </c:pt>
                <c:pt idx="99">
                  <c:v>2132</c:v>
                </c:pt>
                <c:pt idx="100">
                  <c:v>2133</c:v>
                </c:pt>
                <c:pt idx="101">
                  <c:v>2134</c:v>
                </c:pt>
                <c:pt idx="102">
                  <c:v>2135</c:v>
                </c:pt>
                <c:pt idx="103">
                  <c:v>2136</c:v>
                </c:pt>
                <c:pt idx="104">
                  <c:v>2137</c:v>
                </c:pt>
                <c:pt idx="105">
                  <c:v>2138</c:v>
                </c:pt>
                <c:pt idx="106">
                  <c:v>2139</c:v>
                </c:pt>
                <c:pt idx="107">
                  <c:v>2140</c:v>
                </c:pt>
                <c:pt idx="108">
                  <c:v>2141</c:v>
                </c:pt>
                <c:pt idx="109">
                  <c:v>2142</c:v>
                </c:pt>
                <c:pt idx="110">
                  <c:v>2143</c:v>
                </c:pt>
                <c:pt idx="111">
                  <c:v>2144</c:v>
                </c:pt>
                <c:pt idx="112">
                  <c:v>2145</c:v>
                </c:pt>
                <c:pt idx="113">
                  <c:v>2146</c:v>
                </c:pt>
                <c:pt idx="114">
                  <c:v>2147</c:v>
                </c:pt>
                <c:pt idx="115">
                  <c:v>2148</c:v>
                </c:pt>
                <c:pt idx="116">
                  <c:v>2149</c:v>
                </c:pt>
                <c:pt idx="117">
                  <c:v>2150</c:v>
                </c:pt>
                <c:pt idx="118">
                  <c:v>2151</c:v>
                </c:pt>
                <c:pt idx="119">
                  <c:v>2152</c:v>
                </c:pt>
              </c:numCache>
            </c:numRef>
          </c:cat>
          <c:val>
            <c:numRef>
              <c:f>Arkusz1!$B$2:$B$121</c:f>
              <c:numCache>
                <c:formatCode>General</c:formatCode>
                <c:ptCount val="1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  <c:pt idx="36">
                  <c:v>100</c:v>
                </c:pt>
                <c:pt idx="37">
                  <c:v>100</c:v>
                </c:pt>
                <c:pt idx="38">
                  <c:v>100</c:v>
                </c:pt>
                <c:pt idx="39">
                  <c:v>100</c:v>
                </c:pt>
                <c:pt idx="40">
                  <c:v>100</c:v>
                </c:pt>
                <c:pt idx="41">
                  <c:v>100</c:v>
                </c:pt>
                <c:pt idx="42">
                  <c:v>100</c:v>
                </c:pt>
                <c:pt idx="43">
                  <c:v>100</c:v>
                </c:pt>
                <c:pt idx="44">
                  <c:v>100</c:v>
                </c:pt>
                <c:pt idx="45">
                  <c:v>100</c:v>
                </c:pt>
                <c:pt idx="46">
                  <c:v>100</c:v>
                </c:pt>
                <c:pt idx="47">
                  <c:v>100</c:v>
                </c:pt>
                <c:pt idx="48">
                  <c:v>100</c:v>
                </c:pt>
                <c:pt idx="49">
                  <c:v>100</c:v>
                </c:pt>
                <c:pt idx="50">
                  <c:v>100</c:v>
                </c:pt>
                <c:pt idx="51">
                  <c:v>100</c:v>
                </c:pt>
                <c:pt idx="52">
                  <c:v>100</c:v>
                </c:pt>
                <c:pt idx="53">
                  <c:v>100</c:v>
                </c:pt>
                <c:pt idx="54">
                  <c:v>100</c:v>
                </c:pt>
                <c:pt idx="55">
                  <c:v>100</c:v>
                </c:pt>
                <c:pt idx="56">
                  <c:v>100</c:v>
                </c:pt>
                <c:pt idx="57">
                  <c:v>100</c:v>
                </c:pt>
                <c:pt idx="58">
                  <c:v>100</c:v>
                </c:pt>
                <c:pt idx="59">
                  <c:v>100</c:v>
                </c:pt>
                <c:pt idx="60">
                  <c:v>100</c:v>
                </c:pt>
                <c:pt idx="61">
                  <c:v>100</c:v>
                </c:pt>
                <c:pt idx="62">
                  <c:v>100</c:v>
                </c:pt>
                <c:pt idx="63">
                  <c:v>100</c:v>
                </c:pt>
                <c:pt idx="64">
                  <c:v>100</c:v>
                </c:pt>
                <c:pt idx="65">
                  <c:v>100</c:v>
                </c:pt>
                <c:pt idx="66">
                  <c:v>100</c:v>
                </c:pt>
                <c:pt idx="67">
                  <c:v>100</c:v>
                </c:pt>
                <c:pt idx="68">
                  <c:v>100</c:v>
                </c:pt>
                <c:pt idx="69">
                  <c:v>100</c:v>
                </c:pt>
                <c:pt idx="70">
                  <c:v>100</c:v>
                </c:pt>
                <c:pt idx="71">
                  <c:v>100</c:v>
                </c:pt>
                <c:pt idx="72">
                  <c:v>100</c:v>
                </c:pt>
                <c:pt idx="73">
                  <c:v>100</c:v>
                </c:pt>
                <c:pt idx="74">
                  <c:v>100</c:v>
                </c:pt>
                <c:pt idx="75">
                  <c:v>100</c:v>
                </c:pt>
                <c:pt idx="76">
                  <c:v>100</c:v>
                </c:pt>
                <c:pt idx="77">
                  <c:v>100</c:v>
                </c:pt>
                <c:pt idx="78">
                  <c:v>100</c:v>
                </c:pt>
                <c:pt idx="79">
                  <c:v>100</c:v>
                </c:pt>
                <c:pt idx="80">
                  <c:v>100</c:v>
                </c:pt>
                <c:pt idx="81">
                  <c:v>100</c:v>
                </c:pt>
                <c:pt idx="82">
                  <c:v>100</c:v>
                </c:pt>
                <c:pt idx="83">
                  <c:v>100</c:v>
                </c:pt>
                <c:pt idx="84">
                  <c:v>100</c:v>
                </c:pt>
                <c:pt idx="85">
                  <c:v>100</c:v>
                </c:pt>
                <c:pt idx="86">
                  <c:v>100</c:v>
                </c:pt>
                <c:pt idx="87">
                  <c:v>100</c:v>
                </c:pt>
                <c:pt idx="88">
                  <c:v>100</c:v>
                </c:pt>
                <c:pt idx="89">
                  <c:v>100</c:v>
                </c:pt>
                <c:pt idx="90">
                  <c:v>100</c:v>
                </c:pt>
                <c:pt idx="91">
                  <c:v>100</c:v>
                </c:pt>
                <c:pt idx="92">
                  <c:v>100</c:v>
                </c:pt>
                <c:pt idx="93">
                  <c:v>100</c:v>
                </c:pt>
                <c:pt idx="94">
                  <c:v>100</c:v>
                </c:pt>
                <c:pt idx="95">
                  <c:v>100</c:v>
                </c:pt>
                <c:pt idx="96">
                  <c:v>100</c:v>
                </c:pt>
                <c:pt idx="97">
                  <c:v>100</c:v>
                </c:pt>
                <c:pt idx="98">
                  <c:v>100</c:v>
                </c:pt>
                <c:pt idx="99">
                  <c:v>100</c:v>
                </c:pt>
                <c:pt idx="100">
                  <c:v>100</c:v>
                </c:pt>
                <c:pt idx="101">
                  <c:v>100</c:v>
                </c:pt>
                <c:pt idx="102">
                  <c:v>100</c:v>
                </c:pt>
                <c:pt idx="103">
                  <c:v>100</c:v>
                </c:pt>
                <c:pt idx="104">
                  <c:v>100</c:v>
                </c:pt>
                <c:pt idx="105">
                  <c:v>100</c:v>
                </c:pt>
                <c:pt idx="106">
                  <c:v>100</c:v>
                </c:pt>
                <c:pt idx="107">
                  <c:v>100</c:v>
                </c:pt>
                <c:pt idx="108">
                  <c:v>100</c:v>
                </c:pt>
                <c:pt idx="109">
                  <c:v>100</c:v>
                </c:pt>
                <c:pt idx="110">
                  <c:v>100</c:v>
                </c:pt>
                <c:pt idx="111">
                  <c:v>100</c:v>
                </c:pt>
                <c:pt idx="112">
                  <c:v>100</c:v>
                </c:pt>
                <c:pt idx="113">
                  <c:v>100</c:v>
                </c:pt>
                <c:pt idx="114">
                  <c:v>100</c:v>
                </c:pt>
                <c:pt idx="115">
                  <c:v>100</c:v>
                </c:pt>
                <c:pt idx="116">
                  <c:v>100</c:v>
                </c:pt>
                <c:pt idx="117">
                  <c:v>100</c:v>
                </c:pt>
                <c:pt idx="118">
                  <c:v>100</c:v>
                </c:pt>
                <c:pt idx="119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47B-4AF1-AAA7-B25CC98D63C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Odpady z likwidacja reaktora MARIA i laboratoriów NCBJ</c:v>
                </c:pt>
              </c:strCache>
            </c:strRef>
          </c:tx>
          <c:marker>
            <c:symbol val="none"/>
          </c:marker>
          <c:cat>
            <c:numRef>
              <c:f>Arkusz1!$A$2:$A$121</c:f>
              <c:numCache>
                <c:formatCode>General</c:formatCode>
                <c:ptCount val="120"/>
                <c:pt idx="0">
                  <c:v>2033</c:v>
                </c:pt>
                <c:pt idx="1">
                  <c:v>2034</c:v>
                </c:pt>
                <c:pt idx="2">
                  <c:v>2035</c:v>
                </c:pt>
                <c:pt idx="3">
                  <c:v>2036</c:v>
                </c:pt>
                <c:pt idx="4">
                  <c:v>2037</c:v>
                </c:pt>
                <c:pt idx="5">
                  <c:v>2038</c:v>
                </c:pt>
                <c:pt idx="6">
                  <c:v>2039</c:v>
                </c:pt>
                <c:pt idx="7">
                  <c:v>2040</c:v>
                </c:pt>
                <c:pt idx="8">
                  <c:v>2041</c:v>
                </c:pt>
                <c:pt idx="9">
                  <c:v>2042</c:v>
                </c:pt>
                <c:pt idx="10">
                  <c:v>2043</c:v>
                </c:pt>
                <c:pt idx="11">
                  <c:v>2044</c:v>
                </c:pt>
                <c:pt idx="12">
                  <c:v>2045</c:v>
                </c:pt>
                <c:pt idx="13">
                  <c:v>2046</c:v>
                </c:pt>
                <c:pt idx="14">
                  <c:v>2047</c:v>
                </c:pt>
                <c:pt idx="15">
                  <c:v>2048</c:v>
                </c:pt>
                <c:pt idx="16">
                  <c:v>2049</c:v>
                </c:pt>
                <c:pt idx="17">
                  <c:v>2050</c:v>
                </c:pt>
                <c:pt idx="18">
                  <c:v>2051</c:v>
                </c:pt>
                <c:pt idx="19">
                  <c:v>2052</c:v>
                </c:pt>
                <c:pt idx="20">
                  <c:v>2053</c:v>
                </c:pt>
                <c:pt idx="21">
                  <c:v>2054</c:v>
                </c:pt>
                <c:pt idx="22">
                  <c:v>2055</c:v>
                </c:pt>
                <c:pt idx="23">
                  <c:v>2056</c:v>
                </c:pt>
                <c:pt idx="24">
                  <c:v>2057</c:v>
                </c:pt>
                <c:pt idx="25">
                  <c:v>2058</c:v>
                </c:pt>
                <c:pt idx="26">
                  <c:v>2059</c:v>
                </c:pt>
                <c:pt idx="27">
                  <c:v>2060</c:v>
                </c:pt>
                <c:pt idx="28">
                  <c:v>2061</c:v>
                </c:pt>
                <c:pt idx="29">
                  <c:v>2062</c:v>
                </c:pt>
                <c:pt idx="30">
                  <c:v>2063</c:v>
                </c:pt>
                <c:pt idx="31">
                  <c:v>2064</c:v>
                </c:pt>
                <c:pt idx="32">
                  <c:v>2065</c:v>
                </c:pt>
                <c:pt idx="33">
                  <c:v>2066</c:v>
                </c:pt>
                <c:pt idx="34">
                  <c:v>2067</c:v>
                </c:pt>
                <c:pt idx="35">
                  <c:v>2068</c:v>
                </c:pt>
                <c:pt idx="36">
                  <c:v>2069</c:v>
                </c:pt>
                <c:pt idx="37">
                  <c:v>2070</c:v>
                </c:pt>
                <c:pt idx="38">
                  <c:v>2071</c:v>
                </c:pt>
                <c:pt idx="39">
                  <c:v>2072</c:v>
                </c:pt>
                <c:pt idx="40">
                  <c:v>2073</c:v>
                </c:pt>
                <c:pt idx="41">
                  <c:v>2074</c:v>
                </c:pt>
                <c:pt idx="42">
                  <c:v>2075</c:v>
                </c:pt>
                <c:pt idx="43">
                  <c:v>2076</c:v>
                </c:pt>
                <c:pt idx="44">
                  <c:v>2077</c:v>
                </c:pt>
                <c:pt idx="45">
                  <c:v>2078</c:v>
                </c:pt>
                <c:pt idx="46">
                  <c:v>2079</c:v>
                </c:pt>
                <c:pt idx="47">
                  <c:v>2080</c:v>
                </c:pt>
                <c:pt idx="48">
                  <c:v>2081</c:v>
                </c:pt>
                <c:pt idx="49">
                  <c:v>2082</c:v>
                </c:pt>
                <c:pt idx="50">
                  <c:v>2083</c:v>
                </c:pt>
                <c:pt idx="51">
                  <c:v>2084</c:v>
                </c:pt>
                <c:pt idx="52">
                  <c:v>2085</c:v>
                </c:pt>
                <c:pt idx="53">
                  <c:v>2086</c:v>
                </c:pt>
                <c:pt idx="54">
                  <c:v>2087</c:v>
                </c:pt>
                <c:pt idx="55">
                  <c:v>2088</c:v>
                </c:pt>
                <c:pt idx="56">
                  <c:v>2089</c:v>
                </c:pt>
                <c:pt idx="57">
                  <c:v>2090</c:v>
                </c:pt>
                <c:pt idx="58">
                  <c:v>2091</c:v>
                </c:pt>
                <c:pt idx="59">
                  <c:v>2092</c:v>
                </c:pt>
                <c:pt idx="60">
                  <c:v>2093</c:v>
                </c:pt>
                <c:pt idx="61">
                  <c:v>2094</c:v>
                </c:pt>
                <c:pt idx="62">
                  <c:v>2095</c:v>
                </c:pt>
                <c:pt idx="63">
                  <c:v>2096</c:v>
                </c:pt>
                <c:pt idx="64">
                  <c:v>2097</c:v>
                </c:pt>
                <c:pt idx="65">
                  <c:v>2098</c:v>
                </c:pt>
                <c:pt idx="66">
                  <c:v>2099</c:v>
                </c:pt>
                <c:pt idx="67">
                  <c:v>2100</c:v>
                </c:pt>
                <c:pt idx="68">
                  <c:v>2101</c:v>
                </c:pt>
                <c:pt idx="69">
                  <c:v>2102</c:v>
                </c:pt>
                <c:pt idx="70">
                  <c:v>2103</c:v>
                </c:pt>
                <c:pt idx="71">
                  <c:v>2104</c:v>
                </c:pt>
                <c:pt idx="72">
                  <c:v>2105</c:v>
                </c:pt>
                <c:pt idx="73">
                  <c:v>2106</c:v>
                </c:pt>
                <c:pt idx="74">
                  <c:v>2107</c:v>
                </c:pt>
                <c:pt idx="75">
                  <c:v>2108</c:v>
                </c:pt>
                <c:pt idx="76">
                  <c:v>2109</c:v>
                </c:pt>
                <c:pt idx="77">
                  <c:v>2110</c:v>
                </c:pt>
                <c:pt idx="78">
                  <c:v>2111</c:v>
                </c:pt>
                <c:pt idx="79">
                  <c:v>2112</c:v>
                </c:pt>
                <c:pt idx="80">
                  <c:v>2113</c:v>
                </c:pt>
                <c:pt idx="81">
                  <c:v>2114</c:v>
                </c:pt>
                <c:pt idx="82">
                  <c:v>2115</c:v>
                </c:pt>
                <c:pt idx="83">
                  <c:v>2116</c:v>
                </c:pt>
                <c:pt idx="84">
                  <c:v>2117</c:v>
                </c:pt>
                <c:pt idx="85">
                  <c:v>2118</c:v>
                </c:pt>
                <c:pt idx="86">
                  <c:v>2119</c:v>
                </c:pt>
                <c:pt idx="87">
                  <c:v>2120</c:v>
                </c:pt>
                <c:pt idx="88">
                  <c:v>2121</c:v>
                </c:pt>
                <c:pt idx="89">
                  <c:v>2122</c:v>
                </c:pt>
                <c:pt idx="90">
                  <c:v>2123</c:v>
                </c:pt>
                <c:pt idx="91">
                  <c:v>2124</c:v>
                </c:pt>
                <c:pt idx="92">
                  <c:v>2125</c:v>
                </c:pt>
                <c:pt idx="93">
                  <c:v>2126</c:v>
                </c:pt>
                <c:pt idx="94">
                  <c:v>2127</c:v>
                </c:pt>
                <c:pt idx="95">
                  <c:v>2128</c:v>
                </c:pt>
                <c:pt idx="96">
                  <c:v>2129</c:v>
                </c:pt>
                <c:pt idx="97">
                  <c:v>2130</c:v>
                </c:pt>
                <c:pt idx="98">
                  <c:v>2131</c:v>
                </c:pt>
                <c:pt idx="99">
                  <c:v>2132</c:v>
                </c:pt>
                <c:pt idx="100">
                  <c:v>2133</c:v>
                </c:pt>
                <c:pt idx="101">
                  <c:v>2134</c:v>
                </c:pt>
                <c:pt idx="102">
                  <c:v>2135</c:v>
                </c:pt>
                <c:pt idx="103">
                  <c:v>2136</c:v>
                </c:pt>
                <c:pt idx="104">
                  <c:v>2137</c:v>
                </c:pt>
                <c:pt idx="105">
                  <c:v>2138</c:v>
                </c:pt>
                <c:pt idx="106">
                  <c:v>2139</c:v>
                </c:pt>
                <c:pt idx="107">
                  <c:v>2140</c:v>
                </c:pt>
                <c:pt idx="108">
                  <c:v>2141</c:v>
                </c:pt>
                <c:pt idx="109">
                  <c:v>2142</c:v>
                </c:pt>
                <c:pt idx="110">
                  <c:v>2143</c:v>
                </c:pt>
                <c:pt idx="111">
                  <c:v>2144</c:v>
                </c:pt>
                <c:pt idx="112">
                  <c:v>2145</c:v>
                </c:pt>
                <c:pt idx="113">
                  <c:v>2146</c:v>
                </c:pt>
                <c:pt idx="114">
                  <c:v>2147</c:v>
                </c:pt>
                <c:pt idx="115">
                  <c:v>2148</c:v>
                </c:pt>
                <c:pt idx="116">
                  <c:v>2149</c:v>
                </c:pt>
                <c:pt idx="117">
                  <c:v>2150</c:v>
                </c:pt>
                <c:pt idx="118">
                  <c:v>2151</c:v>
                </c:pt>
                <c:pt idx="119">
                  <c:v>2152</c:v>
                </c:pt>
              </c:numCache>
            </c:numRef>
          </c:cat>
          <c:val>
            <c:numRef>
              <c:f>Arkusz1!$C$2:$C$121</c:f>
              <c:numCache>
                <c:formatCode>General</c:formatCode>
                <c:ptCount val="120"/>
                <c:pt idx="18">
                  <c:v>1000</c:v>
                </c:pt>
                <c:pt idx="19">
                  <c:v>1000</c:v>
                </c:pt>
                <c:pt idx="20">
                  <c:v>1000</c:v>
                </c:pt>
                <c:pt idx="21">
                  <c:v>1000</c:v>
                </c:pt>
                <c:pt idx="22">
                  <c:v>1000</c:v>
                </c:pt>
                <c:pt idx="23">
                  <c:v>1000</c:v>
                </c:pt>
                <c:pt idx="24">
                  <c:v>1000</c:v>
                </c:pt>
                <c:pt idx="25">
                  <c:v>1000</c:v>
                </c:pt>
                <c:pt idx="26">
                  <c:v>1000</c:v>
                </c:pt>
                <c:pt idx="27">
                  <c:v>1000</c:v>
                </c:pt>
                <c:pt idx="28">
                  <c:v>1000</c:v>
                </c:pt>
                <c:pt idx="29">
                  <c:v>1000</c:v>
                </c:pt>
                <c:pt idx="30">
                  <c:v>1000</c:v>
                </c:pt>
                <c:pt idx="31">
                  <c:v>1000</c:v>
                </c:pt>
                <c:pt idx="32">
                  <c:v>1000</c:v>
                </c:pt>
                <c:pt idx="33">
                  <c:v>1000</c:v>
                </c:pt>
                <c:pt idx="34">
                  <c:v>1000</c:v>
                </c:pt>
                <c:pt idx="35">
                  <c:v>1000</c:v>
                </c:pt>
                <c:pt idx="36">
                  <c:v>1000</c:v>
                </c:pt>
                <c:pt idx="37">
                  <c:v>1000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47B-4AF1-AAA7-B25CC98D63C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Odpady z eksploatacji dwóch elektrowni jądrowych </c:v>
                </c:pt>
              </c:strCache>
            </c:strRef>
          </c:tx>
          <c:marker>
            <c:symbol val="none"/>
          </c:marker>
          <c:cat>
            <c:numRef>
              <c:f>Arkusz1!$A$2:$A$121</c:f>
              <c:numCache>
                <c:formatCode>General</c:formatCode>
                <c:ptCount val="120"/>
                <c:pt idx="0">
                  <c:v>2033</c:v>
                </c:pt>
                <c:pt idx="1">
                  <c:v>2034</c:v>
                </c:pt>
                <c:pt idx="2">
                  <c:v>2035</c:v>
                </c:pt>
                <c:pt idx="3">
                  <c:v>2036</c:v>
                </c:pt>
                <c:pt idx="4">
                  <c:v>2037</c:v>
                </c:pt>
                <c:pt idx="5">
                  <c:v>2038</c:v>
                </c:pt>
                <c:pt idx="6">
                  <c:v>2039</c:v>
                </c:pt>
                <c:pt idx="7">
                  <c:v>2040</c:v>
                </c:pt>
                <c:pt idx="8">
                  <c:v>2041</c:v>
                </c:pt>
                <c:pt idx="9">
                  <c:v>2042</c:v>
                </c:pt>
                <c:pt idx="10">
                  <c:v>2043</c:v>
                </c:pt>
                <c:pt idx="11">
                  <c:v>2044</c:v>
                </c:pt>
                <c:pt idx="12">
                  <c:v>2045</c:v>
                </c:pt>
                <c:pt idx="13">
                  <c:v>2046</c:v>
                </c:pt>
                <c:pt idx="14">
                  <c:v>2047</c:v>
                </c:pt>
                <c:pt idx="15">
                  <c:v>2048</c:v>
                </c:pt>
                <c:pt idx="16">
                  <c:v>2049</c:v>
                </c:pt>
                <c:pt idx="17">
                  <c:v>2050</c:v>
                </c:pt>
                <c:pt idx="18">
                  <c:v>2051</c:v>
                </c:pt>
                <c:pt idx="19">
                  <c:v>2052</c:v>
                </c:pt>
                <c:pt idx="20">
                  <c:v>2053</c:v>
                </c:pt>
                <c:pt idx="21">
                  <c:v>2054</c:v>
                </c:pt>
                <c:pt idx="22">
                  <c:v>2055</c:v>
                </c:pt>
                <c:pt idx="23">
                  <c:v>2056</c:v>
                </c:pt>
                <c:pt idx="24">
                  <c:v>2057</c:v>
                </c:pt>
                <c:pt idx="25">
                  <c:v>2058</c:v>
                </c:pt>
                <c:pt idx="26">
                  <c:v>2059</c:v>
                </c:pt>
                <c:pt idx="27">
                  <c:v>2060</c:v>
                </c:pt>
                <c:pt idx="28">
                  <c:v>2061</c:v>
                </c:pt>
                <c:pt idx="29">
                  <c:v>2062</c:v>
                </c:pt>
                <c:pt idx="30">
                  <c:v>2063</c:v>
                </c:pt>
                <c:pt idx="31">
                  <c:v>2064</c:v>
                </c:pt>
                <c:pt idx="32">
                  <c:v>2065</c:v>
                </c:pt>
                <c:pt idx="33">
                  <c:v>2066</c:v>
                </c:pt>
                <c:pt idx="34">
                  <c:v>2067</c:v>
                </c:pt>
                <c:pt idx="35">
                  <c:v>2068</c:v>
                </c:pt>
                <c:pt idx="36">
                  <c:v>2069</c:v>
                </c:pt>
                <c:pt idx="37">
                  <c:v>2070</c:v>
                </c:pt>
                <c:pt idx="38">
                  <c:v>2071</c:v>
                </c:pt>
                <c:pt idx="39">
                  <c:v>2072</c:v>
                </c:pt>
                <c:pt idx="40">
                  <c:v>2073</c:v>
                </c:pt>
                <c:pt idx="41">
                  <c:v>2074</c:v>
                </c:pt>
                <c:pt idx="42">
                  <c:v>2075</c:v>
                </c:pt>
                <c:pt idx="43">
                  <c:v>2076</c:v>
                </c:pt>
                <c:pt idx="44">
                  <c:v>2077</c:v>
                </c:pt>
                <c:pt idx="45">
                  <c:v>2078</c:v>
                </c:pt>
                <c:pt idx="46">
                  <c:v>2079</c:v>
                </c:pt>
                <c:pt idx="47">
                  <c:v>2080</c:v>
                </c:pt>
                <c:pt idx="48">
                  <c:v>2081</c:v>
                </c:pt>
                <c:pt idx="49">
                  <c:v>2082</c:v>
                </c:pt>
                <c:pt idx="50">
                  <c:v>2083</c:v>
                </c:pt>
                <c:pt idx="51">
                  <c:v>2084</c:v>
                </c:pt>
                <c:pt idx="52">
                  <c:v>2085</c:v>
                </c:pt>
                <c:pt idx="53">
                  <c:v>2086</c:v>
                </c:pt>
                <c:pt idx="54">
                  <c:v>2087</c:v>
                </c:pt>
                <c:pt idx="55">
                  <c:v>2088</c:v>
                </c:pt>
                <c:pt idx="56">
                  <c:v>2089</c:v>
                </c:pt>
                <c:pt idx="57">
                  <c:v>2090</c:v>
                </c:pt>
                <c:pt idx="58">
                  <c:v>2091</c:v>
                </c:pt>
                <c:pt idx="59">
                  <c:v>2092</c:v>
                </c:pt>
                <c:pt idx="60">
                  <c:v>2093</c:v>
                </c:pt>
                <c:pt idx="61">
                  <c:v>2094</c:v>
                </c:pt>
                <c:pt idx="62">
                  <c:v>2095</c:v>
                </c:pt>
                <c:pt idx="63">
                  <c:v>2096</c:v>
                </c:pt>
                <c:pt idx="64">
                  <c:v>2097</c:v>
                </c:pt>
                <c:pt idx="65">
                  <c:v>2098</c:v>
                </c:pt>
                <c:pt idx="66">
                  <c:v>2099</c:v>
                </c:pt>
                <c:pt idx="67">
                  <c:v>2100</c:v>
                </c:pt>
                <c:pt idx="68">
                  <c:v>2101</c:v>
                </c:pt>
                <c:pt idx="69">
                  <c:v>2102</c:v>
                </c:pt>
                <c:pt idx="70">
                  <c:v>2103</c:v>
                </c:pt>
                <c:pt idx="71">
                  <c:v>2104</c:v>
                </c:pt>
                <c:pt idx="72">
                  <c:v>2105</c:v>
                </c:pt>
                <c:pt idx="73">
                  <c:v>2106</c:v>
                </c:pt>
                <c:pt idx="74">
                  <c:v>2107</c:v>
                </c:pt>
                <c:pt idx="75">
                  <c:v>2108</c:v>
                </c:pt>
                <c:pt idx="76">
                  <c:v>2109</c:v>
                </c:pt>
                <c:pt idx="77">
                  <c:v>2110</c:v>
                </c:pt>
                <c:pt idx="78">
                  <c:v>2111</c:v>
                </c:pt>
                <c:pt idx="79">
                  <c:v>2112</c:v>
                </c:pt>
                <c:pt idx="80">
                  <c:v>2113</c:v>
                </c:pt>
                <c:pt idx="81">
                  <c:v>2114</c:v>
                </c:pt>
                <c:pt idx="82">
                  <c:v>2115</c:v>
                </c:pt>
                <c:pt idx="83">
                  <c:v>2116</c:v>
                </c:pt>
                <c:pt idx="84">
                  <c:v>2117</c:v>
                </c:pt>
                <c:pt idx="85">
                  <c:v>2118</c:v>
                </c:pt>
                <c:pt idx="86">
                  <c:v>2119</c:v>
                </c:pt>
                <c:pt idx="87">
                  <c:v>2120</c:v>
                </c:pt>
                <c:pt idx="88">
                  <c:v>2121</c:v>
                </c:pt>
                <c:pt idx="89">
                  <c:v>2122</c:v>
                </c:pt>
                <c:pt idx="90">
                  <c:v>2123</c:v>
                </c:pt>
                <c:pt idx="91">
                  <c:v>2124</c:v>
                </c:pt>
                <c:pt idx="92">
                  <c:v>2125</c:v>
                </c:pt>
                <c:pt idx="93">
                  <c:v>2126</c:v>
                </c:pt>
                <c:pt idx="94">
                  <c:v>2127</c:v>
                </c:pt>
                <c:pt idx="95">
                  <c:v>2128</c:v>
                </c:pt>
                <c:pt idx="96">
                  <c:v>2129</c:v>
                </c:pt>
                <c:pt idx="97">
                  <c:v>2130</c:v>
                </c:pt>
                <c:pt idx="98">
                  <c:v>2131</c:v>
                </c:pt>
                <c:pt idx="99">
                  <c:v>2132</c:v>
                </c:pt>
                <c:pt idx="100">
                  <c:v>2133</c:v>
                </c:pt>
                <c:pt idx="101">
                  <c:v>2134</c:v>
                </c:pt>
                <c:pt idx="102">
                  <c:v>2135</c:v>
                </c:pt>
                <c:pt idx="103">
                  <c:v>2136</c:v>
                </c:pt>
                <c:pt idx="104">
                  <c:v>2137</c:v>
                </c:pt>
                <c:pt idx="105">
                  <c:v>2138</c:v>
                </c:pt>
                <c:pt idx="106">
                  <c:v>2139</c:v>
                </c:pt>
                <c:pt idx="107">
                  <c:v>2140</c:v>
                </c:pt>
                <c:pt idx="108">
                  <c:v>2141</c:v>
                </c:pt>
                <c:pt idx="109">
                  <c:v>2142</c:v>
                </c:pt>
                <c:pt idx="110">
                  <c:v>2143</c:v>
                </c:pt>
                <c:pt idx="111">
                  <c:v>2144</c:v>
                </c:pt>
                <c:pt idx="112">
                  <c:v>2145</c:v>
                </c:pt>
                <c:pt idx="113">
                  <c:v>2146</c:v>
                </c:pt>
                <c:pt idx="114">
                  <c:v>2147</c:v>
                </c:pt>
                <c:pt idx="115">
                  <c:v>2148</c:v>
                </c:pt>
                <c:pt idx="116">
                  <c:v>2149</c:v>
                </c:pt>
                <c:pt idx="117">
                  <c:v>2150</c:v>
                </c:pt>
                <c:pt idx="118">
                  <c:v>2151</c:v>
                </c:pt>
                <c:pt idx="119">
                  <c:v>2152</c:v>
                </c:pt>
              </c:numCache>
            </c:numRef>
          </c:cat>
          <c:val>
            <c:numRef>
              <c:f>Arkusz1!$D$2:$D$121</c:f>
              <c:numCache>
                <c:formatCode>General</c:formatCode>
                <c:ptCount val="120"/>
                <c:pt idx="0">
                  <c:v>450</c:v>
                </c:pt>
                <c:pt idx="1">
                  <c:v>450</c:v>
                </c:pt>
                <c:pt idx="2">
                  <c:v>450</c:v>
                </c:pt>
                <c:pt idx="3">
                  <c:v>900</c:v>
                </c:pt>
                <c:pt idx="4">
                  <c:v>900</c:v>
                </c:pt>
                <c:pt idx="5">
                  <c:v>900</c:v>
                </c:pt>
                <c:pt idx="6">
                  <c:v>900</c:v>
                </c:pt>
                <c:pt idx="7">
                  <c:v>900</c:v>
                </c:pt>
                <c:pt idx="8">
                  <c:v>900</c:v>
                </c:pt>
                <c:pt idx="9">
                  <c:v>900</c:v>
                </c:pt>
                <c:pt idx="10">
                  <c:v>900</c:v>
                </c:pt>
                <c:pt idx="11">
                  <c:v>900</c:v>
                </c:pt>
                <c:pt idx="12">
                  <c:v>900</c:v>
                </c:pt>
                <c:pt idx="13">
                  <c:v>900</c:v>
                </c:pt>
                <c:pt idx="14">
                  <c:v>900</c:v>
                </c:pt>
                <c:pt idx="15">
                  <c:v>900</c:v>
                </c:pt>
                <c:pt idx="16">
                  <c:v>900</c:v>
                </c:pt>
                <c:pt idx="17">
                  <c:v>900</c:v>
                </c:pt>
                <c:pt idx="18">
                  <c:v>900</c:v>
                </c:pt>
                <c:pt idx="19">
                  <c:v>900</c:v>
                </c:pt>
                <c:pt idx="20">
                  <c:v>900</c:v>
                </c:pt>
                <c:pt idx="21">
                  <c:v>900</c:v>
                </c:pt>
                <c:pt idx="22">
                  <c:v>900</c:v>
                </c:pt>
                <c:pt idx="23">
                  <c:v>900</c:v>
                </c:pt>
                <c:pt idx="24">
                  <c:v>900</c:v>
                </c:pt>
                <c:pt idx="25">
                  <c:v>900</c:v>
                </c:pt>
                <c:pt idx="26">
                  <c:v>900</c:v>
                </c:pt>
                <c:pt idx="27">
                  <c:v>900</c:v>
                </c:pt>
                <c:pt idx="28">
                  <c:v>900</c:v>
                </c:pt>
                <c:pt idx="29">
                  <c:v>900</c:v>
                </c:pt>
                <c:pt idx="30">
                  <c:v>900</c:v>
                </c:pt>
                <c:pt idx="31">
                  <c:v>900</c:v>
                </c:pt>
                <c:pt idx="32">
                  <c:v>900</c:v>
                </c:pt>
                <c:pt idx="33">
                  <c:v>900</c:v>
                </c:pt>
                <c:pt idx="34">
                  <c:v>900</c:v>
                </c:pt>
                <c:pt idx="35">
                  <c:v>900</c:v>
                </c:pt>
                <c:pt idx="36">
                  <c:v>900</c:v>
                </c:pt>
                <c:pt idx="37">
                  <c:v>900</c:v>
                </c:pt>
                <c:pt idx="38">
                  <c:v>900</c:v>
                </c:pt>
                <c:pt idx="39">
                  <c:v>900</c:v>
                </c:pt>
                <c:pt idx="40">
                  <c:v>900</c:v>
                </c:pt>
                <c:pt idx="41">
                  <c:v>900</c:v>
                </c:pt>
                <c:pt idx="42">
                  <c:v>900</c:v>
                </c:pt>
                <c:pt idx="43">
                  <c:v>900</c:v>
                </c:pt>
                <c:pt idx="44">
                  <c:v>900</c:v>
                </c:pt>
                <c:pt idx="45">
                  <c:v>900</c:v>
                </c:pt>
                <c:pt idx="46">
                  <c:v>900</c:v>
                </c:pt>
                <c:pt idx="47">
                  <c:v>900</c:v>
                </c:pt>
                <c:pt idx="48">
                  <c:v>900</c:v>
                </c:pt>
                <c:pt idx="49">
                  <c:v>900</c:v>
                </c:pt>
                <c:pt idx="50">
                  <c:v>900</c:v>
                </c:pt>
                <c:pt idx="51">
                  <c:v>900</c:v>
                </c:pt>
                <c:pt idx="52">
                  <c:v>900</c:v>
                </c:pt>
                <c:pt idx="53">
                  <c:v>750</c:v>
                </c:pt>
                <c:pt idx="54">
                  <c:v>750</c:v>
                </c:pt>
                <c:pt idx="55">
                  <c:v>750</c:v>
                </c:pt>
                <c:pt idx="56">
                  <c:v>750</c:v>
                </c:pt>
                <c:pt idx="57">
                  <c:v>750</c:v>
                </c:pt>
                <c:pt idx="58">
                  <c:v>450</c:v>
                </c:pt>
                <c:pt idx="59">
                  <c:v>450</c:v>
                </c:pt>
                <c:pt idx="60">
                  <c:v>450</c:v>
                </c:pt>
                <c:pt idx="61">
                  <c:v>450</c:v>
                </c:pt>
                <c:pt idx="62">
                  <c:v>450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47B-4AF1-AAA7-B25CC98D63CC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Odpady z likwidacji dwóch elektrowni jądrowych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ymbol val="none"/>
          </c:marker>
          <c:cat>
            <c:numRef>
              <c:f>Arkusz1!$A$2:$A$121</c:f>
              <c:numCache>
                <c:formatCode>General</c:formatCode>
                <c:ptCount val="120"/>
                <c:pt idx="0">
                  <c:v>2033</c:v>
                </c:pt>
                <c:pt idx="1">
                  <c:v>2034</c:v>
                </c:pt>
                <c:pt idx="2">
                  <c:v>2035</c:v>
                </c:pt>
                <c:pt idx="3">
                  <c:v>2036</c:v>
                </c:pt>
                <c:pt idx="4">
                  <c:v>2037</c:v>
                </c:pt>
                <c:pt idx="5">
                  <c:v>2038</c:v>
                </c:pt>
                <c:pt idx="6">
                  <c:v>2039</c:v>
                </c:pt>
                <c:pt idx="7">
                  <c:v>2040</c:v>
                </c:pt>
                <c:pt idx="8">
                  <c:v>2041</c:v>
                </c:pt>
                <c:pt idx="9">
                  <c:v>2042</c:v>
                </c:pt>
                <c:pt idx="10">
                  <c:v>2043</c:v>
                </c:pt>
                <c:pt idx="11">
                  <c:v>2044</c:v>
                </c:pt>
                <c:pt idx="12">
                  <c:v>2045</c:v>
                </c:pt>
                <c:pt idx="13">
                  <c:v>2046</c:v>
                </c:pt>
                <c:pt idx="14">
                  <c:v>2047</c:v>
                </c:pt>
                <c:pt idx="15">
                  <c:v>2048</c:v>
                </c:pt>
                <c:pt idx="16">
                  <c:v>2049</c:v>
                </c:pt>
                <c:pt idx="17">
                  <c:v>2050</c:v>
                </c:pt>
                <c:pt idx="18">
                  <c:v>2051</c:v>
                </c:pt>
                <c:pt idx="19">
                  <c:v>2052</c:v>
                </c:pt>
                <c:pt idx="20">
                  <c:v>2053</c:v>
                </c:pt>
                <c:pt idx="21">
                  <c:v>2054</c:v>
                </c:pt>
                <c:pt idx="22">
                  <c:v>2055</c:v>
                </c:pt>
                <c:pt idx="23">
                  <c:v>2056</c:v>
                </c:pt>
                <c:pt idx="24">
                  <c:v>2057</c:v>
                </c:pt>
                <c:pt idx="25">
                  <c:v>2058</c:v>
                </c:pt>
                <c:pt idx="26">
                  <c:v>2059</c:v>
                </c:pt>
                <c:pt idx="27">
                  <c:v>2060</c:v>
                </c:pt>
                <c:pt idx="28">
                  <c:v>2061</c:v>
                </c:pt>
                <c:pt idx="29">
                  <c:v>2062</c:v>
                </c:pt>
                <c:pt idx="30">
                  <c:v>2063</c:v>
                </c:pt>
                <c:pt idx="31">
                  <c:v>2064</c:v>
                </c:pt>
                <c:pt idx="32">
                  <c:v>2065</c:v>
                </c:pt>
                <c:pt idx="33">
                  <c:v>2066</c:v>
                </c:pt>
                <c:pt idx="34">
                  <c:v>2067</c:v>
                </c:pt>
                <c:pt idx="35">
                  <c:v>2068</c:v>
                </c:pt>
                <c:pt idx="36">
                  <c:v>2069</c:v>
                </c:pt>
                <c:pt idx="37">
                  <c:v>2070</c:v>
                </c:pt>
                <c:pt idx="38">
                  <c:v>2071</c:v>
                </c:pt>
                <c:pt idx="39">
                  <c:v>2072</c:v>
                </c:pt>
                <c:pt idx="40">
                  <c:v>2073</c:v>
                </c:pt>
                <c:pt idx="41">
                  <c:v>2074</c:v>
                </c:pt>
                <c:pt idx="42">
                  <c:v>2075</c:v>
                </c:pt>
                <c:pt idx="43">
                  <c:v>2076</c:v>
                </c:pt>
                <c:pt idx="44">
                  <c:v>2077</c:v>
                </c:pt>
                <c:pt idx="45">
                  <c:v>2078</c:v>
                </c:pt>
                <c:pt idx="46">
                  <c:v>2079</c:v>
                </c:pt>
                <c:pt idx="47">
                  <c:v>2080</c:v>
                </c:pt>
                <c:pt idx="48">
                  <c:v>2081</c:v>
                </c:pt>
                <c:pt idx="49">
                  <c:v>2082</c:v>
                </c:pt>
                <c:pt idx="50">
                  <c:v>2083</c:v>
                </c:pt>
                <c:pt idx="51">
                  <c:v>2084</c:v>
                </c:pt>
                <c:pt idx="52">
                  <c:v>2085</c:v>
                </c:pt>
                <c:pt idx="53">
                  <c:v>2086</c:v>
                </c:pt>
                <c:pt idx="54">
                  <c:v>2087</c:v>
                </c:pt>
                <c:pt idx="55">
                  <c:v>2088</c:v>
                </c:pt>
                <c:pt idx="56">
                  <c:v>2089</c:v>
                </c:pt>
                <c:pt idx="57">
                  <c:v>2090</c:v>
                </c:pt>
                <c:pt idx="58">
                  <c:v>2091</c:v>
                </c:pt>
                <c:pt idx="59">
                  <c:v>2092</c:v>
                </c:pt>
                <c:pt idx="60">
                  <c:v>2093</c:v>
                </c:pt>
                <c:pt idx="61">
                  <c:v>2094</c:v>
                </c:pt>
                <c:pt idx="62">
                  <c:v>2095</c:v>
                </c:pt>
                <c:pt idx="63">
                  <c:v>2096</c:v>
                </c:pt>
                <c:pt idx="64">
                  <c:v>2097</c:v>
                </c:pt>
                <c:pt idx="65">
                  <c:v>2098</c:v>
                </c:pt>
                <c:pt idx="66">
                  <c:v>2099</c:v>
                </c:pt>
                <c:pt idx="67">
                  <c:v>2100</c:v>
                </c:pt>
                <c:pt idx="68">
                  <c:v>2101</c:v>
                </c:pt>
                <c:pt idx="69">
                  <c:v>2102</c:v>
                </c:pt>
                <c:pt idx="70">
                  <c:v>2103</c:v>
                </c:pt>
                <c:pt idx="71">
                  <c:v>2104</c:v>
                </c:pt>
                <c:pt idx="72">
                  <c:v>2105</c:v>
                </c:pt>
                <c:pt idx="73">
                  <c:v>2106</c:v>
                </c:pt>
                <c:pt idx="74">
                  <c:v>2107</c:v>
                </c:pt>
                <c:pt idx="75">
                  <c:v>2108</c:v>
                </c:pt>
                <c:pt idx="76">
                  <c:v>2109</c:v>
                </c:pt>
                <c:pt idx="77">
                  <c:v>2110</c:v>
                </c:pt>
                <c:pt idx="78">
                  <c:v>2111</c:v>
                </c:pt>
                <c:pt idx="79">
                  <c:v>2112</c:v>
                </c:pt>
                <c:pt idx="80">
                  <c:v>2113</c:v>
                </c:pt>
                <c:pt idx="81">
                  <c:v>2114</c:v>
                </c:pt>
                <c:pt idx="82">
                  <c:v>2115</c:v>
                </c:pt>
                <c:pt idx="83">
                  <c:v>2116</c:v>
                </c:pt>
                <c:pt idx="84">
                  <c:v>2117</c:v>
                </c:pt>
                <c:pt idx="85">
                  <c:v>2118</c:v>
                </c:pt>
                <c:pt idx="86">
                  <c:v>2119</c:v>
                </c:pt>
                <c:pt idx="87">
                  <c:v>2120</c:v>
                </c:pt>
                <c:pt idx="88">
                  <c:v>2121</c:v>
                </c:pt>
                <c:pt idx="89">
                  <c:v>2122</c:v>
                </c:pt>
                <c:pt idx="90">
                  <c:v>2123</c:v>
                </c:pt>
                <c:pt idx="91">
                  <c:v>2124</c:v>
                </c:pt>
                <c:pt idx="92">
                  <c:v>2125</c:v>
                </c:pt>
                <c:pt idx="93">
                  <c:v>2126</c:v>
                </c:pt>
                <c:pt idx="94">
                  <c:v>2127</c:v>
                </c:pt>
                <c:pt idx="95">
                  <c:v>2128</c:v>
                </c:pt>
                <c:pt idx="96">
                  <c:v>2129</c:v>
                </c:pt>
                <c:pt idx="97">
                  <c:v>2130</c:v>
                </c:pt>
                <c:pt idx="98">
                  <c:v>2131</c:v>
                </c:pt>
                <c:pt idx="99">
                  <c:v>2132</c:v>
                </c:pt>
                <c:pt idx="100">
                  <c:v>2133</c:v>
                </c:pt>
                <c:pt idx="101">
                  <c:v>2134</c:v>
                </c:pt>
                <c:pt idx="102">
                  <c:v>2135</c:v>
                </c:pt>
                <c:pt idx="103">
                  <c:v>2136</c:v>
                </c:pt>
                <c:pt idx="104">
                  <c:v>2137</c:v>
                </c:pt>
                <c:pt idx="105">
                  <c:v>2138</c:v>
                </c:pt>
                <c:pt idx="106">
                  <c:v>2139</c:v>
                </c:pt>
                <c:pt idx="107">
                  <c:v>2140</c:v>
                </c:pt>
                <c:pt idx="108">
                  <c:v>2141</c:v>
                </c:pt>
                <c:pt idx="109">
                  <c:v>2142</c:v>
                </c:pt>
                <c:pt idx="110">
                  <c:v>2143</c:v>
                </c:pt>
                <c:pt idx="111">
                  <c:v>2144</c:v>
                </c:pt>
                <c:pt idx="112">
                  <c:v>2145</c:v>
                </c:pt>
                <c:pt idx="113">
                  <c:v>2146</c:v>
                </c:pt>
                <c:pt idx="114">
                  <c:v>2147</c:v>
                </c:pt>
                <c:pt idx="115">
                  <c:v>2148</c:v>
                </c:pt>
                <c:pt idx="116">
                  <c:v>2149</c:v>
                </c:pt>
                <c:pt idx="117">
                  <c:v>2150</c:v>
                </c:pt>
                <c:pt idx="118">
                  <c:v>2151</c:v>
                </c:pt>
                <c:pt idx="119">
                  <c:v>2152</c:v>
                </c:pt>
              </c:numCache>
            </c:numRef>
          </c:cat>
          <c:val>
            <c:numRef>
              <c:f>Arkusz1!$E$2:$E$121</c:f>
              <c:numCache>
                <c:formatCode>General</c:formatCode>
                <c:ptCount val="120"/>
                <c:pt idx="67">
                  <c:v>1125</c:v>
                </c:pt>
                <c:pt idx="68">
                  <c:v>1125</c:v>
                </c:pt>
                <c:pt idx="69">
                  <c:v>1125</c:v>
                </c:pt>
                <c:pt idx="70">
                  <c:v>1125</c:v>
                </c:pt>
                <c:pt idx="71">
                  <c:v>1125</c:v>
                </c:pt>
                <c:pt idx="72">
                  <c:v>2250</c:v>
                </c:pt>
                <c:pt idx="73">
                  <c:v>2250</c:v>
                </c:pt>
                <c:pt idx="74">
                  <c:v>2250</c:v>
                </c:pt>
                <c:pt idx="75">
                  <c:v>2250</c:v>
                </c:pt>
                <c:pt idx="76">
                  <c:v>2250</c:v>
                </c:pt>
                <c:pt idx="77">
                  <c:v>2250</c:v>
                </c:pt>
                <c:pt idx="78">
                  <c:v>2250</c:v>
                </c:pt>
                <c:pt idx="79">
                  <c:v>2250</c:v>
                </c:pt>
                <c:pt idx="80">
                  <c:v>2250</c:v>
                </c:pt>
                <c:pt idx="81">
                  <c:v>2250</c:v>
                </c:pt>
                <c:pt idx="82">
                  <c:v>2250</c:v>
                </c:pt>
                <c:pt idx="83">
                  <c:v>2250</c:v>
                </c:pt>
                <c:pt idx="84">
                  <c:v>2250</c:v>
                </c:pt>
                <c:pt idx="85">
                  <c:v>2250</c:v>
                </c:pt>
                <c:pt idx="86">
                  <c:v>2250</c:v>
                </c:pt>
                <c:pt idx="87">
                  <c:v>2250</c:v>
                </c:pt>
                <c:pt idx="88">
                  <c:v>2250</c:v>
                </c:pt>
                <c:pt idx="89">
                  <c:v>2250</c:v>
                </c:pt>
                <c:pt idx="90">
                  <c:v>2250</c:v>
                </c:pt>
                <c:pt idx="91">
                  <c:v>2250</c:v>
                </c:pt>
                <c:pt idx="92">
                  <c:v>2250</c:v>
                </c:pt>
                <c:pt idx="93">
                  <c:v>2250</c:v>
                </c:pt>
                <c:pt idx="94">
                  <c:v>2250</c:v>
                </c:pt>
                <c:pt idx="95">
                  <c:v>2250</c:v>
                </c:pt>
                <c:pt idx="96">
                  <c:v>2250</c:v>
                </c:pt>
                <c:pt idx="97">
                  <c:v>1125</c:v>
                </c:pt>
                <c:pt idx="98">
                  <c:v>1125</c:v>
                </c:pt>
                <c:pt idx="99">
                  <c:v>1125</c:v>
                </c:pt>
                <c:pt idx="100">
                  <c:v>1125</c:v>
                </c:pt>
                <c:pt idx="101">
                  <c:v>1125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47B-4AF1-AAA7-B25CC98D63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6429528"/>
        <c:axId val="416429920"/>
      </c:lineChart>
      <c:catAx>
        <c:axId val="41642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16429920"/>
        <c:crosses val="autoZero"/>
        <c:auto val="1"/>
        <c:lblAlgn val="ctr"/>
        <c:lblOffset val="100"/>
        <c:noMultiLvlLbl val="0"/>
      </c:catAx>
      <c:valAx>
        <c:axId val="416429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10100">
            <a:noFill/>
          </a:ln>
        </c:spPr>
        <c:crossAx val="416429528"/>
        <c:crosses val="autoZero"/>
        <c:crossBetween val="between"/>
      </c:valAx>
    </c:plotArea>
    <c:legend>
      <c:legendPos val="b"/>
      <c:overlay val="0"/>
      <c:spPr>
        <a:effectLst>
          <a:glow rad="25400">
            <a:schemeClr val="accent1">
              <a:alpha val="40000"/>
            </a:schemeClr>
          </a:glow>
        </a:effectLst>
      </c:spPr>
      <c:txPr>
        <a:bodyPr/>
        <a:lstStyle/>
        <a:p>
          <a:pPr rtl="0">
            <a:defRPr sz="848"/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349">
                <a:latin typeface="+mn-lt"/>
              </a:defRPr>
            </a:pPr>
            <a:r>
              <a:rPr lang="pl-PL" sz="1272" b="1" cap="none">
                <a:effectLst/>
                <a:latin typeface="+mn-lt"/>
              </a:rPr>
              <a:t>Rys. 3.5. Prognoza dostaw nisko- i średnioaktywnych odpadów promieniotwórczych do NSPOP w latach 2033 - 2144</a:t>
            </a:r>
          </a:p>
          <a:p>
            <a:pPr algn="ctr">
              <a:defRPr sz="1349">
                <a:latin typeface="+mn-lt"/>
              </a:defRPr>
            </a:pPr>
            <a:r>
              <a:rPr lang="pl-PL" sz="1272" b="1" cap="all">
                <a:effectLst/>
                <a:latin typeface="+mn-lt"/>
              </a:rPr>
              <a:t>[</a:t>
            </a:r>
            <a:r>
              <a:rPr lang="pl-PL" sz="1272" b="1" cap="none">
                <a:effectLst/>
                <a:latin typeface="+mn-lt"/>
              </a:rPr>
              <a:t>m</a:t>
            </a:r>
            <a:r>
              <a:rPr lang="pl-PL" sz="1272" b="1" cap="all">
                <a:effectLst/>
                <a:latin typeface="+mn-lt"/>
                <a:cs typeface="Times New Roman"/>
              </a:rPr>
              <a:t>³</a:t>
            </a:r>
            <a:r>
              <a:rPr lang="pl-PL" sz="1272" b="1" cap="all">
                <a:effectLst/>
                <a:latin typeface="+mn-lt"/>
              </a:rPr>
              <a:t>]</a:t>
            </a:r>
          </a:p>
        </c:rich>
      </c:tx>
      <c:overlay val="0"/>
      <c:spPr>
        <a:noFill/>
        <a:ln w="26934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Odpady z zastosowań medycznych, naukowych i przemysłowych </c:v>
                </c:pt>
              </c:strCache>
            </c:strRef>
          </c:tx>
          <c:spPr>
            <a:ln>
              <a:solidFill>
                <a:schemeClr val="tx2">
                  <a:lumMod val="40000"/>
                  <a:lumOff val="60000"/>
                </a:schemeClr>
              </a:solidFill>
            </a:ln>
          </c:spPr>
          <c:marker>
            <c:symbol val="none"/>
          </c:marker>
          <c:cat>
            <c:numRef>
              <c:f>Arkusz1!$A$2:$A$113</c:f>
              <c:numCache>
                <c:formatCode>General</c:formatCode>
                <c:ptCount val="112"/>
                <c:pt idx="0">
                  <c:v>2033</c:v>
                </c:pt>
                <c:pt idx="1">
                  <c:v>2034</c:v>
                </c:pt>
                <c:pt idx="2">
                  <c:v>2035</c:v>
                </c:pt>
                <c:pt idx="3">
                  <c:v>2036</c:v>
                </c:pt>
                <c:pt idx="4">
                  <c:v>2037</c:v>
                </c:pt>
                <c:pt idx="5">
                  <c:v>2038</c:v>
                </c:pt>
                <c:pt idx="6">
                  <c:v>2039</c:v>
                </c:pt>
                <c:pt idx="7">
                  <c:v>2040</c:v>
                </c:pt>
                <c:pt idx="8">
                  <c:v>2041</c:v>
                </c:pt>
                <c:pt idx="9">
                  <c:v>2042</c:v>
                </c:pt>
                <c:pt idx="10">
                  <c:v>2043</c:v>
                </c:pt>
                <c:pt idx="11">
                  <c:v>2044</c:v>
                </c:pt>
                <c:pt idx="12">
                  <c:v>2045</c:v>
                </c:pt>
                <c:pt idx="13">
                  <c:v>2046</c:v>
                </c:pt>
                <c:pt idx="14">
                  <c:v>2047</c:v>
                </c:pt>
                <c:pt idx="15">
                  <c:v>2048</c:v>
                </c:pt>
                <c:pt idx="16">
                  <c:v>2049</c:v>
                </c:pt>
                <c:pt idx="17">
                  <c:v>2050</c:v>
                </c:pt>
                <c:pt idx="18">
                  <c:v>2051</c:v>
                </c:pt>
                <c:pt idx="19">
                  <c:v>2052</c:v>
                </c:pt>
                <c:pt idx="20">
                  <c:v>2053</c:v>
                </c:pt>
                <c:pt idx="21">
                  <c:v>2054</c:v>
                </c:pt>
                <c:pt idx="22">
                  <c:v>2055</c:v>
                </c:pt>
                <c:pt idx="23">
                  <c:v>2056</c:v>
                </c:pt>
                <c:pt idx="24">
                  <c:v>2057</c:v>
                </c:pt>
                <c:pt idx="25">
                  <c:v>2058</c:v>
                </c:pt>
                <c:pt idx="26">
                  <c:v>2059</c:v>
                </c:pt>
                <c:pt idx="27">
                  <c:v>2060</c:v>
                </c:pt>
                <c:pt idx="28">
                  <c:v>2061</c:v>
                </c:pt>
                <c:pt idx="29">
                  <c:v>2062</c:v>
                </c:pt>
                <c:pt idx="30">
                  <c:v>2063</c:v>
                </c:pt>
                <c:pt idx="31">
                  <c:v>2064</c:v>
                </c:pt>
                <c:pt idx="32">
                  <c:v>2065</c:v>
                </c:pt>
                <c:pt idx="33">
                  <c:v>2066</c:v>
                </c:pt>
                <c:pt idx="34">
                  <c:v>2067</c:v>
                </c:pt>
                <c:pt idx="35">
                  <c:v>2068</c:v>
                </c:pt>
                <c:pt idx="36">
                  <c:v>2069</c:v>
                </c:pt>
                <c:pt idx="37">
                  <c:v>2070</c:v>
                </c:pt>
                <c:pt idx="38">
                  <c:v>2071</c:v>
                </c:pt>
                <c:pt idx="39">
                  <c:v>2072</c:v>
                </c:pt>
                <c:pt idx="40">
                  <c:v>2073</c:v>
                </c:pt>
                <c:pt idx="41">
                  <c:v>2074</c:v>
                </c:pt>
                <c:pt idx="42">
                  <c:v>2075</c:v>
                </c:pt>
                <c:pt idx="43">
                  <c:v>2076</c:v>
                </c:pt>
                <c:pt idx="44">
                  <c:v>2077</c:v>
                </c:pt>
                <c:pt idx="45">
                  <c:v>2078</c:v>
                </c:pt>
                <c:pt idx="46">
                  <c:v>2079</c:v>
                </c:pt>
                <c:pt idx="47">
                  <c:v>2080</c:v>
                </c:pt>
                <c:pt idx="48">
                  <c:v>2081</c:v>
                </c:pt>
                <c:pt idx="49">
                  <c:v>2082</c:v>
                </c:pt>
                <c:pt idx="50">
                  <c:v>2083</c:v>
                </c:pt>
                <c:pt idx="51">
                  <c:v>2084</c:v>
                </c:pt>
                <c:pt idx="52">
                  <c:v>2085</c:v>
                </c:pt>
                <c:pt idx="53">
                  <c:v>2086</c:v>
                </c:pt>
                <c:pt idx="54">
                  <c:v>2087</c:v>
                </c:pt>
                <c:pt idx="55">
                  <c:v>2088</c:v>
                </c:pt>
                <c:pt idx="56">
                  <c:v>2089</c:v>
                </c:pt>
                <c:pt idx="57">
                  <c:v>2090</c:v>
                </c:pt>
                <c:pt idx="58">
                  <c:v>2091</c:v>
                </c:pt>
                <c:pt idx="59">
                  <c:v>2092</c:v>
                </c:pt>
                <c:pt idx="60">
                  <c:v>2093</c:v>
                </c:pt>
                <c:pt idx="61">
                  <c:v>2094</c:v>
                </c:pt>
                <c:pt idx="62">
                  <c:v>2095</c:v>
                </c:pt>
                <c:pt idx="63">
                  <c:v>2096</c:v>
                </c:pt>
                <c:pt idx="64">
                  <c:v>2097</c:v>
                </c:pt>
                <c:pt idx="65">
                  <c:v>2098</c:v>
                </c:pt>
                <c:pt idx="66">
                  <c:v>2099</c:v>
                </c:pt>
                <c:pt idx="67">
                  <c:v>2100</c:v>
                </c:pt>
                <c:pt idx="68">
                  <c:v>2101</c:v>
                </c:pt>
                <c:pt idx="69">
                  <c:v>2102</c:v>
                </c:pt>
                <c:pt idx="70">
                  <c:v>2103</c:v>
                </c:pt>
                <c:pt idx="71">
                  <c:v>2104</c:v>
                </c:pt>
                <c:pt idx="72">
                  <c:v>2105</c:v>
                </c:pt>
                <c:pt idx="73">
                  <c:v>2106</c:v>
                </c:pt>
                <c:pt idx="74">
                  <c:v>2107</c:v>
                </c:pt>
                <c:pt idx="75">
                  <c:v>2108</c:v>
                </c:pt>
                <c:pt idx="76">
                  <c:v>2109</c:v>
                </c:pt>
                <c:pt idx="77">
                  <c:v>2110</c:v>
                </c:pt>
                <c:pt idx="78">
                  <c:v>2111</c:v>
                </c:pt>
                <c:pt idx="79">
                  <c:v>2112</c:v>
                </c:pt>
                <c:pt idx="80">
                  <c:v>2113</c:v>
                </c:pt>
                <c:pt idx="81">
                  <c:v>2114</c:v>
                </c:pt>
                <c:pt idx="82">
                  <c:v>2115</c:v>
                </c:pt>
                <c:pt idx="83">
                  <c:v>2116</c:v>
                </c:pt>
                <c:pt idx="84">
                  <c:v>2117</c:v>
                </c:pt>
                <c:pt idx="85">
                  <c:v>2118</c:v>
                </c:pt>
                <c:pt idx="86">
                  <c:v>2119</c:v>
                </c:pt>
                <c:pt idx="87">
                  <c:v>2120</c:v>
                </c:pt>
                <c:pt idx="88">
                  <c:v>2121</c:v>
                </c:pt>
                <c:pt idx="89">
                  <c:v>2122</c:v>
                </c:pt>
                <c:pt idx="90">
                  <c:v>2123</c:v>
                </c:pt>
                <c:pt idx="91">
                  <c:v>2124</c:v>
                </c:pt>
                <c:pt idx="92">
                  <c:v>2125</c:v>
                </c:pt>
                <c:pt idx="93">
                  <c:v>2126</c:v>
                </c:pt>
                <c:pt idx="94">
                  <c:v>2127</c:v>
                </c:pt>
                <c:pt idx="95">
                  <c:v>2128</c:v>
                </c:pt>
                <c:pt idx="96">
                  <c:v>2129</c:v>
                </c:pt>
                <c:pt idx="97">
                  <c:v>2130</c:v>
                </c:pt>
                <c:pt idx="98">
                  <c:v>2131</c:v>
                </c:pt>
                <c:pt idx="99">
                  <c:v>2132</c:v>
                </c:pt>
                <c:pt idx="100">
                  <c:v>2133</c:v>
                </c:pt>
                <c:pt idx="101">
                  <c:v>2134</c:v>
                </c:pt>
                <c:pt idx="102">
                  <c:v>2135</c:v>
                </c:pt>
                <c:pt idx="103">
                  <c:v>2136</c:v>
                </c:pt>
                <c:pt idx="104">
                  <c:v>2137</c:v>
                </c:pt>
                <c:pt idx="105">
                  <c:v>2138</c:v>
                </c:pt>
                <c:pt idx="106">
                  <c:v>2139</c:v>
                </c:pt>
                <c:pt idx="107">
                  <c:v>2140</c:v>
                </c:pt>
                <c:pt idx="108">
                  <c:v>2141</c:v>
                </c:pt>
                <c:pt idx="109">
                  <c:v>2142</c:v>
                </c:pt>
                <c:pt idx="110">
                  <c:v>2143</c:v>
                </c:pt>
                <c:pt idx="111">
                  <c:v>2144</c:v>
                </c:pt>
              </c:numCache>
            </c:numRef>
          </c:cat>
          <c:val>
            <c:numRef>
              <c:f>Arkusz1!$B$2:$B$113</c:f>
              <c:numCache>
                <c:formatCode>General</c:formatCode>
                <c:ptCount val="1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  <c:pt idx="36">
                  <c:v>100</c:v>
                </c:pt>
                <c:pt idx="37">
                  <c:v>100</c:v>
                </c:pt>
                <c:pt idx="38">
                  <c:v>100</c:v>
                </c:pt>
                <c:pt idx="39">
                  <c:v>100</c:v>
                </c:pt>
                <c:pt idx="40">
                  <c:v>100</c:v>
                </c:pt>
                <c:pt idx="41">
                  <c:v>100</c:v>
                </c:pt>
                <c:pt idx="42">
                  <c:v>100</c:v>
                </c:pt>
                <c:pt idx="43">
                  <c:v>100</c:v>
                </c:pt>
                <c:pt idx="44">
                  <c:v>100</c:v>
                </c:pt>
                <c:pt idx="45">
                  <c:v>100</c:v>
                </c:pt>
                <c:pt idx="46">
                  <c:v>100</c:v>
                </c:pt>
                <c:pt idx="47">
                  <c:v>100</c:v>
                </c:pt>
                <c:pt idx="48">
                  <c:v>100</c:v>
                </c:pt>
                <c:pt idx="49">
                  <c:v>100</c:v>
                </c:pt>
                <c:pt idx="50">
                  <c:v>100</c:v>
                </c:pt>
                <c:pt idx="51">
                  <c:v>100</c:v>
                </c:pt>
                <c:pt idx="52">
                  <c:v>100</c:v>
                </c:pt>
                <c:pt idx="53">
                  <c:v>100</c:v>
                </c:pt>
                <c:pt idx="54">
                  <c:v>100</c:v>
                </c:pt>
                <c:pt idx="55">
                  <c:v>100</c:v>
                </c:pt>
                <c:pt idx="56">
                  <c:v>100</c:v>
                </c:pt>
                <c:pt idx="57">
                  <c:v>100</c:v>
                </c:pt>
                <c:pt idx="58">
                  <c:v>100</c:v>
                </c:pt>
                <c:pt idx="59">
                  <c:v>100</c:v>
                </c:pt>
                <c:pt idx="60">
                  <c:v>100</c:v>
                </c:pt>
                <c:pt idx="61">
                  <c:v>100</c:v>
                </c:pt>
                <c:pt idx="62">
                  <c:v>100</c:v>
                </c:pt>
                <c:pt idx="63">
                  <c:v>100</c:v>
                </c:pt>
                <c:pt idx="64">
                  <c:v>100</c:v>
                </c:pt>
                <c:pt idx="65">
                  <c:v>100</c:v>
                </c:pt>
                <c:pt idx="66">
                  <c:v>100</c:v>
                </c:pt>
                <c:pt idx="67">
                  <c:v>100</c:v>
                </c:pt>
                <c:pt idx="68">
                  <c:v>100</c:v>
                </c:pt>
                <c:pt idx="69">
                  <c:v>100</c:v>
                </c:pt>
                <c:pt idx="70">
                  <c:v>100</c:v>
                </c:pt>
                <c:pt idx="71">
                  <c:v>100</c:v>
                </c:pt>
                <c:pt idx="72">
                  <c:v>100</c:v>
                </c:pt>
                <c:pt idx="73">
                  <c:v>100</c:v>
                </c:pt>
                <c:pt idx="74">
                  <c:v>100</c:v>
                </c:pt>
                <c:pt idx="75">
                  <c:v>100</c:v>
                </c:pt>
                <c:pt idx="76">
                  <c:v>100</c:v>
                </c:pt>
                <c:pt idx="77">
                  <c:v>100</c:v>
                </c:pt>
                <c:pt idx="78">
                  <c:v>100</c:v>
                </c:pt>
                <c:pt idx="79">
                  <c:v>100</c:v>
                </c:pt>
                <c:pt idx="80">
                  <c:v>100</c:v>
                </c:pt>
                <c:pt idx="81">
                  <c:v>100</c:v>
                </c:pt>
                <c:pt idx="82">
                  <c:v>100</c:v>
                </c:pt>
                <c:pt idx="83">
                  <c:v>100</c:v>
                </c:pt>
                <c:pt idx="84">
                  <c:v>100</c:v>
                </c:pt>
                <c:pt idx="85">
                  <c:v>100</c:v>
                </c:pt>
                <c:pt idx="86">
                  <c:v>100</c:v>
                </c:pt>
                <c:pt idx="87">
                  <c:v>100</c:v>
                </c:pt>
                <c:pt idx="88">
                  <c:v>100</c:v>
                </c:pt>
                <c:pt idx="89">
                  <c:v>100</c:v>
                </c:pt>
                <c:pt idx="90">
                  <c:v>100</c:v>
                </c:pt>
                <c:pt idx="91">
                  <c:v>100</c:v>
                </c:pt>
                <c:pt idx="92">
                  <c:v>100</c:v>
                </c:pt>
                <c:pt idx="93">
                  <c:v>100</c:v>
                </c:pt>
                <c:pt idx="94">
                  <c:v>100</c:v>
                </c:pt>
                <c:pt idx="95">
                  <c:v>100</c:v>
                </c:pt>
                <c:pt idx="96">
                  <c:v>100</c:v>
                </c:pt>
                <c:pt idx="97">
                  <c:v>100</c:v>
                </c:pt>
                <c:pt idx="98">
                  <c:v>100</c:v>
                </c:pt>
                <c:pt idx="99">
                  <c:v>100</c:v>
                </c:pt>
                <c:pt idx="100">
                  <c:v>100</c:v>
                </c:pt>
                <c:pt idx="101">
                  <c:v>100</c:v>
                </c:pt>
                <c:pt idx="102">
                  <c:v>100</c:v>
                </c:pt>
                <c:pt idx="103">
                  <c:v>100</c:v>
                </c:pt>
                <c:pt idx="104">
                  <c:v>100</c:v>
                </c:pt>
                <c:pt idx="105">
                  <c:v>100</c:v>
                </c:pt>
                <c:pt idx="106">
                  <c:v>100</c:v>
                </c:pt>
                <c:pt idx="107">
                  <c:v>100</c:v>
                </c:pt>
                <c:pt idx="108">
                  <c:v>100</c:v>
                </c:pt>
                <c:pt idx="109">
                  <c:v>100</c:v>
                </c:pt>
                <c:pt idx="110">
                  <c:v>100</c:v>
                </c:pt>
                <c:pt idx="111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F69-483B-BD2E-95785558E30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Odpady z likwidacja reaktora MARIA i laboratoriów NCBJ</c:v>
                </c:pt>
              </c:strCache>
            </c:strRef>
          </c:tx>
          <c:marker>
            <c:symbol val="none"/>
          </c:marker>
          <c:cat>
            <c:numRef>
              <c:f>Arkusz1!$A$2:$A$113</c:f>
              <c:numCache>
                <c:formatCode>General</c:formatCode>
                <c:ptCount val="112"/>
                <c:pt idx="0">
                  <c:v>2033</c:v>
                </c:pt>
                <c:pt idx="1">
                  <c:v>2034</c:v>
                </c:pt>
                <c:pt idx="2">
                  <c:v>2035</c:v>
                </c:pt>
                <c:pt idx="3">
                  <c:v>2036</c:v>
                </c:pt>
                <c:pt idx="4">
                  <c:v>2037</c:v>
                </c:pt>
                <c:pt idx="5">
                  <c:v>2038</c:v>
                </c:pt>
                <c:pt idx="6">
                  <c:v>2039</c:v>
                </c:pt>
                <c:pt idx="7">
                  <c:v>2040</c:v>
                </c:pt>
                <c:pt idx="8">
                  <c:v>2041</c:v>
                </c:pt>
                <c:pt idx="9">
                  <c:v>2042</c:v>
                </c:pt>
                <c:pt idx="10">
                  <c:v>2043</c:v>
                </c:pt>
                <c:pt idx="11">
                  <c:v>2044</c:v>
                </c:pt>
                <c:pt idx="12">
                  <c:v>2045</c:v>
                </c:pt>
                <c:pt idx="13">
                  <c:v>2046</c:v>
                </c:pt>
                <c:pt idx="14">
                  <c:v>2047</c:v>
                </c:pt>
                <c:pt idx="15">
                  <c:v>2048</c:v>
                </c:pt>
                <c:pt idx="16">
                  <c:v>2049</c:v>
                </c:pt>
                <c:pt idx="17">
                  <c:v>2050</c:v>
                </c:pt>
                <c:pt idx="18">
                  <c:v>2051</c:v>
                </c:pt>
                <c:pt idx="19">
                  <c:v>2052</c:v>
                </c:pt>
                <c:pt idx="20">
                  <c:v>2053</c:v>
                </c:pt>
                <c:pt idx="21">
                  <c:v>2054</c:v>
                </c:pt>
                <c:pt idx="22">
                  <c:v>2055</c:v>
                </c:pt>
                <c:pt idx="23">
                  <c:v>2056</c:v>
                </c:pt>
                <c:pt idx="24">
                  <c:v>2057</c:v>
                </c:pt>
                <c:pt idx="25">
                  <c:v>2058</c:v>
                </c:pt>
                <c:pt idx="26">
                  <c:v>2059</c:v>
                </c:pt>
                <c:pt idx="27">
                  <c:v>2060</c:v>
                </c:pt>
                <c:pt idx="28">
                  <c:v>2061</c:v>
                </c:pt>
                <c:pt idx="29">
                  <c:v>2062</c:v>
                </c:pt>
                <c:pt idx="30">
                  <c:v>2063</c:v>
                </c:pt>
                <c:pt idx="31">
                  <c:v>2064</c:v>
                </c:pt>
                <c:pt idx="32">
                  <c:v>2065</c:v>
                </c:pt>
                <c:pt idx="33">
                  <c:v>2066</c:v>
                </c:pt>
                <c:pt idx="34">
                  <c:v>2067</c:v>
                </c:pt>
                <c:pt idx="35">
                  <c:v>2068</c:v>
                </c:pt>
                <c:pt idx="36">
                  <c:v>2069</c:v>
                </c:pt>
                <c:pt idx="37">
                  <c:v>2070</c:v>
                </c:pt>
                <c:pt idx="38">
                  <c:v>2071</c:v>
                </c:pt>
                <c:pt idx="39">
                  <c:v>2072</c:v>
                </c:pt>
                <c:pt idx="40">
                  <c:v>2073</c:v>
                </c:pt>
                <c:pt idx="41">
                  <c:v>2074</c:v>
                </c:pt>
                <c:pt idx="42">
                  <c:v>2075</c:v>
                </c:pt>
                <c:pt idx="43">
                  <c:v>2076</c:v>
                </c:pt>
                <c:pt idx="44">
                  <c:v>2077</c:v>
                </c:pt>
                <c:pt idx="45">
                  <c:v>2078</c:v>
                </c:pt>
                <c:pt idx="46">
                  <c:v>2079</c:v>
                </c:pt>
                <c:pt idx="47">
                  <c:v>2080</c:v>
                </c:pt>
                <c:pt idx="48">
                  <c:v>2081</c:v>
                </c:pt>
                <c:pt idx="49">
                  <c:v>2082</c:v>
                </c:pt>
                <c:pt idx="50">
                  <c:v>2083</c:v>
                </c:pt>
                <c:pt idx="51">
                  <c:v>2084</c:v>
                </c:pt>
                <c:pt idx="52">
                  <c:v>2085</c:v>
                </c:pt>
                <c:pt idx="53">
                  <c:v>2086</c:v>
                </c:pt>
                <c:pt idx="54">
                  <c:v>2087</c:v>
                </c:pt>
                <c:pt idx="55">
                  <c:v>2088</c:v>
                </c:pt>
                <c:pt idx="56">
                  <c:v>2089</c:v>
                </c:pt>
                <c:pt idx="57">
                  <c:v>2090</c:v>
                </c:pt>
                <c:pt idx="58">
                  <c:v>2091</c:v>
                </c:pt>
                <c:pt idx="59">
                  <c:v>2092</c:v>
                </c:pt>
                <c:pt idx="60">
                  <c:v>2093</c:v>
                </c:pt>
                <c:pt idx="61">
                  <c:v>2094</c:v>
                </c:pt>
                <c:pt idx="62">
                  <c:v>2095</c:v>
                </c:pt>
                <c:pt idx="63">
                  <c:v>2096</c:v>
                </c:pt>
                <c:pt idx="64">
                  <c:v>2097</c:v>
                </c:pt>
                <c:pt idx="65">
                  <c:v>2098</c:v>
                </c:pt>
                <c:pt idx="66">
                  <c:v>2099</c:v>
                </c:pt>
                <c:pt idx="67">
                  <c:v>2100</c:v>
                </c:pt>
                <c:pt idx="68">
                  <c:v>2101</c:v>
                </c:pt>
                <c:pt idx="69">
                  <c:v>2102</c:v>
                </c:pt>
                <c:pt idx="70">
                  <c:v>2103</c:v>
                </c:pt>
                <c:pt idx="71">
                  <c:v>2104</c:v>
                </c:pt>
                <c:pt idx="72">
                  <c:v>2105</c:v>
                </c:pt>
                <c:pt idx="73">
                  <c:v>2106</c:v>
                </c:pt>
                <c:pt idx="74">
                  <c:v>2107</c:v>
                </c:pt>
                <c:pt idx="75">
                  <c:v>2108</c:v>
                </c:pt>
                <c:pt idx="76">
                  <c:v>2109</c:v>
                </c:pt>
                <c:pt idx="77">
                  <c:v>2110</c:v>
                </c:pt>
                <c:pt idx="78">
                  <c:v>2111</c:v>
                </c:pt>
                <c:pt idx="79">
                  <c:v>2112</c:v>
                </c:pt>
                <c:pt idx="80">
                  <c:v>2113</c:v>
                </c:pt>
                <c:pt idx="81">
                  <c:v>2114</c:v>
                </c:pt>
                <c:pt idx="82">
                  <c:v>2115</c:v>
                </c:pt>
                <c:pt idx="83">
                  <c:v>2116</c:v>
                </c:pt>
                <c:pt idx="84">
                  <c:v>2117</c:v>
                </c:pt>
                <c:pt idx="85">
                  <c:v>2118</c:v>
                </c:pt>
                <c:pt idx="86">
                  <c:v>2119</c:v>
                </c:pt>
                <c:pt idx="87">
                  <c:v>2120</c:v>
                </c:pt>
                <c:pt idx="88">
                  <c:v>2121</c:v>
                </c:pt>
                <c:pt idx="89">
                  <c:v>2122</c:v>
                </c:pt>
                <c:pt idx="90">
                  <c:v>2123</c:v>
                </c:pt>
                <c:pt idx="91">
                  <c:v>2124</c:v>
                </c:pt>
                <c:pt idx="92">
                  <c:v>2125</c:v>
                </c:pt>
                <c:pt idx="93">
                  <c:v>2126</c:v>
                </c:pt>
                <c:pt idx="94">
                  <c:v>2127</c:v>
                </c:pt>
                <c:pt idx="95">
                  <c:v>2128</c:v>
                </c:pt>
                <c:pt idx="96">
                  <c:v>2129</c:v>
                </c:pt>
                <c:pt idx="97">
                  <c:v>2130</c:v>
                </c:pt>
                <c:pt idx="98">
                  <c:v>2131</c:v>
                </c:pt>
                <c:pt idx="99">
                  <c:v>2132</c:v>
                </c:pt>
                <c:pt idx="100">
                  <c:v>2133</c:v>
                </c:pt>
                <c:pt idx="101">
                  <c:v>2134</c:v>
                </c:pt>
                <c:pt idx="102">
                  <c:v>2135</c:v>
                </c:pt>
                <c:pt idx="103">
                  <c:v>2136</c:v>
                </c:pt>
                <c:pt idx="104">
                  <c:v>2137</c:v>
                </c:pt>
                <c:pt idx="105">
                  <c:v>2138</c:v>
                </c:pt>
                <c:pt idx="106">
                  <c:v>2139</c:v>
                </c:pt>
                <c:pt idx="107">
                  <c:v>2140</c:v>
                </c:pt>
                <c:pt idx="108">
                  <c:v>2141</c:v>
                </c:pt>
                <c:pt idx="109">
                  <c:v>2142</c:v>
                </c:pt>
                <c:pt idx="110">
                  <c:v>2143</c:v>
                </c:pt>
                <c:pt idx="111">
                  <c:v>2144</c:v>
                </c:pt>
              </c:numCache>
            </c:numRef>
          </c:cat>
          <c:val>
            <c:numRef>
              <c:f>Arkusz1!$C$2:$C$113</c:f>
              <c:numCache>
                <c:formatCode>General</c:formatCode>
                <c:ptCount val="112"/>
                <c:pt idx="18">
                  <c:v>1000</c:v>
                </c:pt>
                <c:pt idx="19">
                  <c:v>1000</c:v>
                </c:pt>
                <c:pt idx="20">
                  <c:v>1000</c:v>
                </c:pt>
                <c:pt idx="21">
                  <c:v>1000</c:v>
                </c:pt>
                <c:pt idx="22">
                  <c:v>1000</c:v>
                </c:pt>
                <c:pt idx="23">
                  <c:v>1000</c:v>
                </c:pt>
                <c:pt idx="24">
                  <c:v>1000</c:v>
                </c:pt>
                <c:pt idx="25">
                  <c:v>1000</c:v>
                </c:pt>
                <c:pt idx="26">
                  <c:v>1000</c:v>
                </c:pt>
                <c:pt idx="27">
                  <c:v>1000</c:v>
                </c:pt>
                <c:pt idx="28">
                  <c:v>1000</c:v>
                </c:pt>
                <c:pt idx="29">
                  <c:v>1000</c:v>
                </c:pt>
                <c:pt idx="30">
                  <c:v>1000</c:v>
                </c:pt>
                <c:pt idx="31">
                  <c:v>1000</c:v>
                </c:pt>
                <c:pt idx="32">
                  <c:v>1000</c:v>
                </c:pt>
                <c:pt idx="33">
                  <c:v>1000</c:v>
                </c:pt>
                <c:pt idx="34">
                  <c:v>1000</c:v>
                </c:pt>
                <c:pt idx="35">
                  <c:v>1000</c:v>
                </c:pt>
                <c:pt idx="36">
                  <c:v>1000</c:v>
                </c:pt>
                <c:pt idx="37">
                  <c:v>1000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F69-483B-BD2E-95785558E30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Odpady z eksploatacji dwóch elektrowni jądrowych </c:v>
                </c:pt>
              </c:strCache>
            </c:strRef>
          </c:tx>
          <c:marker>
            <c:symbol val="none"/>
          </c:marker>
          <c:cat>
            <c:numRef>
              <c:f>Arkusz1!$A$2:$A$113</c:f>
              <c:numCache>
                <c:formatCode>General</c:formatCode>
                <c:ptCount val="112"/>
                <c:pt idx="0">
                  <c:v>2033</c:v>
                </c:pt>
                <c:pt idx="1">
                  <c:v>2034</c:v>
                </c:pt>
                <c:pt idx="2">
                  <c:v>2035</c:v>
                </c:pt>
                <c:pt idx="3">
                  <c:v>2036</c:v>
                </c:pt>
                <c:pt idx="4">
                  <c:v>2037</c:v>
                </c:pt>
                <c:pt idx="5">
                  <c:v>2038</c:v>
                </c:pt>
                <c:pt idx="6">
                  <c:v>2039</c:v>
                </c:pt>
                <c:pt idx="7">
                  <c:v>2040</c:v>
                </c:pt>
                <c:pt idx="8">
                  <c:v>2041</c:v>
                </c:pt>
                <c:pt idx="9">
                  <c:v>2042</c:v>
                </c:pt>
                <c:pt idx="10">
                  <c:v>2043</c:v>
                </c:pt>
                <c:pt idx="11">
                  <c:v>2044</c:v>
                </c:pt>
                <c:pt idx="12">
                  <c:v>2045</c:v>
                </c:pt>
                <c:pt idx="13">
                  <c:v>2046</c:v>
                </c:pt>
                <c:pt idx="14">
                  <c:v>2047</c:v>
                </c:pt>
                <c:pt idx="15">
                  <c:v>2048</c:v>
                </c:pt>
                <c:pt idx="16">
                  <c:v>2049</c:v>
                </c:pt>
                <c:pt idx="17">
                  <c:v>2050</c:v>
                </c:pt>
                <c:pt idx="18">
                  <c:v>2051</c:v>
                </c:pt>
                <c:pt idx="19">
                  <c:v>2052</c:v>
                </c:pt>
                <c:pt idx="20">
                  <c:v>2053</c:v>
                </c:pt>
                <c:pt idx="21">
                  <c:v>2054</c:v>
                </c:pt>
                <c:pt idx="22">
                  <c:v>2055</c:v>
                </c:pt>
                <c:pt idx="23">
                  <c:v>2056</c:v>
                </c:pt>
                <c:pt idx="24">
                  <c:v>2057</c:v>
                </c:pt>
                <c:pt idx="25">
                  <c:v>2058</c:v>
                </c:pt>
                <c:pt idx="26">
                  <c:v>2059</c:v>
                </c:pt>
                <c:pt idx="27">
                  <c:v>2060</c:v>
                </c:pt>
                <c:pt idx="28">
                  <c:v>2061</c:v>
                </c:pt>
                <c:pt idx="29">
                  <c:v>2062</c:v>
                </c:pt>
                <c:pt idx="30">
                  <c:v>2063</c:v>
                </c:pt>
                <c:pt idx="31">
                  <c:v>2064</c:v>
                </c:pt>
                <c:pt idx="32">
                  <c:v>2065</c:v>
                </c:pt>
                <c:pt idx="33">
                  <c:v>2066</c:v>
                </c:pt>
                <c:pt idx="34">
                  <c:v>2067</c:v>
                </c:pt>
                <c:pt idx="35">
                  <c:v>2068</c:v>
                </c:pt>
                <c:pt idx="36">
                  <c:v>2069</c:v>
                </c:pt>
                <c:pt idx="37">
                  <c:v>2070</c:v>
                </c:pt>
                <c:pt idx="38">
                  <c:v>2071</c:v>
                </c:pt>
                <c:pt idx="39">
                  <c:v>2072</c:v>
                </c:pt>
                <c:pt idx="40">
                  <c:v>2073</c:v>
                </c:pt>
                <c:pt idx="41">
                  <c:v>2074</c:v>
                </c:pt>
                <c:pt idx="42">
                  <c:v>2075</c:v>
                </c:pt>
                <c:pt idx="43">
                  <c:v>2076</c:v>
                </c:pt>
                <c:pt idx="44">
                  <c:v>2077</c:v>
                </c:pt>
                <c:pt idx="45">
                  <c:v>2078</c:v>
                </c:pt>
                <c:pt idx="46">
                  <c:v>2079</c:v>
                </c:pt>
                <c:pt idx="47">
                  <c:v>2080</c:v>
                </c:pt>
                <c:pt idx="48">
                  <c:v>2081</c:v>
                </c:pt>
                <c:pt idx="49">
                  <c:v>2082</c:v>
                </c:pt>
                <c:pt idx="50">
                  <c:v>2083</c:v>
                </c:pt>
                <c:pt idx="51">
                  <c:v>2084</c:v>
                </c:pt>
                <c:pt idx="52">
                  <c:v>2085</c:v>
                </c:pt>
                <c:pt idx="53">
                  <c:v>2086</c:v>
                </c:pt>
                <c:pt idx="54">
                  <c:v>2087</c:v>
                </c:pt>
                <c:pt idx="55">
                  <c:v>2088</c:v>
                </c:pt>
                <c:pt idx="56">
                  <c:v>2089</c:v>
                </c:pt>
                <c:pt idx="57">
                  <c:v>2090</c:v>
                </c:pt>
                <c:pt idx="58">
                  <c:v>2091</c:v>
                </c:pt>
                <c:pt idx="59">
                  <c:v>2092</c:v>
                </c:pt>
                <c:pt idx="60">
                  <c:v>2093</c:v>
                </c:pt>
                <c:pt idx="61">
                  <c:v>2094</c:v>
                </c:pt>
                <c:pt idx="62">
                  <c:v>2095</c:v>
                </c:pt>
                <c:pt idx="63">
                  <c:v>2096</c:v>
                </c:pt>
                <c:pt idx="64">
                  <c:v>2097</c:v>
                </c:pt>
                <c:pt idx="65">
                  <c:v>2098</c:v>
                </c:pt>
                <c:pt idx="66">
                  <c:v>2099</c:v>
                </c:pt>
                <c:pt idx="67">
                  <c:v>2100</c:v>
                </c:pt>
                <c:pt idx="68">
                  <c:v>2101</c:v>
                </c:pt>
                <c:pt idx="69">
                  <c:v>2102</c:v>
                </c:pt>
                <c:pt idx="70">
                  <c:v>2103</c:v>
                </c:pt>
                <c:pt idx="71">
                  <c:v>2104</c:v>
                </c:pt>
                <c:pt idx="72">
                  <c:v>2105</c:v>
                </c:pt>
                <c:pt idx="73">
                  <c:v>2106</c:v>
                </c:pt>
                <c:pt idx="74">
                  <c:v>2107</c:v>
                </c:pt>
                <c:pt idx="75">
                  <c:v>2108</c:v>
                </c:pt>
                <c:pt idx="76">
                  <c:v>2109</c:v>
                </c:pt>
                <c:pt idx="77">
                  <c:v>2110</c:v>
                </c:pt>
                <c:pt idx="78">
                  <c:v>2111</c:v>
                </c:pt>
                <c:pt idx="79">
                  <c:v>2112</c:v>
                </c:pt>
                <c:pt idx="80">
                  <c:v>2113</c:v>
                </c:pt>
                <c:pt idx="81">
                  <c:v>2114</c:v>
                </c:pt>
                <c:pt idx="82">
                  <c:v>2115</c:v>
                </c:pt>
                <c:pt idx="83">
                  <c:v>2116</c:v>
                </c:pt>
                <c:pt idx="84">
                  <c:v>2117</c:v>
                </c:pt>
                <c:pt idx="85">
                  <c:v>2118</c:v>
                </c:pt>
                <c:pt idx="86">
                  <c:v>2119</c:v>
                </c:pt>
                <c:pt idx="87">
                  <c:v>2120</c:v>
                </c:pt>
                <c:pt idx="88">
                  <c:v>2121</c:v>
                </c:pt>
                <c:pt idx="89">
                  <c:v>2122</c:v>
                </c:pt>
                <c:pt idx="90">
                  <c:v>2123</c:v>
                </c:pt>
                <c:pt idx="91">
                  <c:v>2124</c:v>
                </c:pt>
                <c:pt idx="92">
                  <c:v>2125</c:v>
                </c:pt>
                <c:pt idx="93">
                  <c:v>2126</c:v>
                </c:pt>
                <c:pt idx="94">
                  <c:v>2127</c:v>
                </c:pt>
                <c:pt idx="95">
                  <c:v>2128</c:v>
                </c:pt>
                <c:pt idx="96">
                  <c:v>2129</c:v>
                </c:pt>
                <c:pt idx="97">
                  <c:v>2130</c:v>
                </c:pt>
                <c:pt idx="98">
                  <c:v>2131</c:v>
                </c:pt>
                <c:pt idx="99">
                  <c:v>2132</c:v>
                </c:pt>
                <c:pt idx="100">
                  <c:v>2133</c:v>
                </c:pt>
                <c:pt idx="101">
                  <c:v>2134</c:v>
                </c:pt>
                <c:pt idx="102">
                  <c:v>2135</c:v>
                </c:pt>
                <c:pt idx="103">
                  <c:v>2136</c:v>
                </c:pt>
                <c:pt idx="104">
                  <c:v>2137</c:v>
                </c:pt>
                <c:pt idx="105">
                  <c:v>2138</c:v>
                </c:pt>
                <c:pt idx="106">
                  <c:v>2139</c:v>
                </c:pt>
                <c:pt idx="107">
                  <c:v>2140</c:v>
                </c:pt>
                <c:pt idx="108">
                  <c:v>2141</c:v>
                </c:pt>
                <c:pt idx="109">
                  <c:v>2142</c:v>
                </c:pt>
                <c:pt idx="110">
                  <c:v>2143</c:v>
                </c:pt>
                <c:pt idx="111">
                  <c:v>2144</c:v>
                </c:pt>
              </c:numCache>
            </c:numRef>
          </c:cat>
          <c:val>
            <c:numRef>
              <c:f>Arkusz1!$D$2:$D$113</c:f>
              <c:numCache>
                <c:formatCode>General</c:formatCode>
                <c:ptCount val="112"/>
                <c:pt idx="0">
                  <c:v>450</c:v>
                </c:pt>
                <c:pt idx="1">
                  <c:v>450</c:v>
                </c:pt>
                <c:pt idx="2">
                  <c:v>450</c:v>
                </c:pt>
                <c:pt idx="3">
                  <c:v>900</c:v>
                </c:pt>
                <c:pt idx="4">
                  <c:v>900</c:v>
                </c:pt>
                <c:pt idx="5">
                  <c:v>900</c:v>
                </c:pt>
                <c:pt idx="6">
                  <c:v>900</c:v>
                </c:pt>
                <c:pt idx="7">
                  <c:v>900</c:v>
                </c:pt>
                <c:pt idx="8">
                  <c:v>900</c:v>
                </c:pt>
                <c:pt idx="9">
                  <c:v>900</c:v>
                </c:pt>
                <c:pt idx="10">
                  <c:v>900</c:v>
                </c:pt>
                <c:pt idx="11">
                  <c:v>900</c:v>
                </c:pt>
                <c:pt idx="12">
                  <c:v>900</c:v>
                </c:pt>
                <c:pt idx="13">
                  <c:v>900</c:v>
                </c:pt>
                <c:pt idx="14">
                  <c:v>900</c:v>
                </c:pt>
                <c:pt idx="15">
                  <c:v>900</c:v>
                </c:pt>
                <c:pt idx="16">
                  <c:v>900</c:v>
                </c:pt>
                <c:pt idx="17">
                  <c:v>900</c:v>
                </c:pt>
                <c:pt idx="18">
                  <c:v>900</c:v>
                </c:pt>
                <c:pt idx="19">
                  <c:v>900</c:v>
                </c:pt>
                <c:pt idx="20">
                  <c:v>900</c:v>
                </c:pt>
                <c:pt idx="21">
                  <c:v>900</c:v>
                </c:pt>
                <c:pt idx="22">
                  <c:v>900</c:v>
                </c:pt>
                <c:pt idx="23">
                  <c:v>900</c:v>
                </c:pt>
                <c:pt idx="24">
                  <c:v>900</c:v>
                </c:pt>
                <c:pt idx="25">
                  <c:v>900</c:v>
                </c:pt>
                <c:pt idx="26">
                  <c:v>900</c:v>
                </c:pt>
                <c:pt idx="27">
                  <c:v>900</c:v>
                </c:pt>
                <c:pt idx="28">
                  <c:v>900</c:v>
                </c:pt>
                <c:pt idx="29">
                  <c:v>900</c:v>
                </c:pt>
                <c:pt idx="30">
                  <c:v>900</c:v>
                </c:pt>
                <c:pt idx="31">
                  <c:v>900</c:v>
                </c:pt>
                <c:pt idx="32">
                  <c:v>900</c:v>
                </c:pt>
                <c:pt idx="33">
                  <c:v>900</c:v>
                </c:pt>
                <c:pt idx="34">
                  <c:v>900</c:v>
                </c:pt>
                <c:pt idx="35">
                  <c:v>900</c:v>
                </c:pt>
                <c:pt idx="36">
                  <c:v>900</c:v>
                </c:pt>
                <c:pt idx="37">
                  <c:v>900</c:v>
                </c:pt>
                <c:pt idx="38">
                  <c:v>900</c:v>
                </c:pt>
                <c:pt idx="39">
                  <c:v>900</c:v>
                </c:pt>
                <c:pt idx="40">
                  <c:v>900</c:v>
                </c:pt>
                <c:pt idx="41">
                  <c:v>900</c:v>
                </c:pt>
                <c:pt idx="42">
                  <c:v>900</c:v>
                </c:pt>
                <c:pt idx="43">
                  <c:v>900</c:v>
                </c:pt>
                <c:pt idx="44">
                  <c:v>900</c:v>
                </c:pt>
                <c:pt idx="45">
                  <c:v>900</c:v>
                </c:pt>
                <c:pt idx="46">
                  <c:v>900</c:v>
                </c:pt>
                <c:pt idx="47">
                  <c:v>900</c:v>
                </c:pt>
                <c:pt idx="48">
                  <c:v>900</c:v>
                </c:pt>
                <c:pt idx="49">
                  <c:v>900</c:v>
                </c:pt>
                <c:pt idx="50">
                  <c:v>900</c:v>
                </c:pt>
                <c:pt idx="51">
                  <c:v>900</c:v>
                </c:pt>
                <c:pt idx="52">
                  <c:v>900</c:v>
                </c:pt>
                <c:pt idx="53">
                  <c:v>750</c:v>
                </c:pt>
                <c:pt idx="54">
                  <c:v>750</c:v>
                </c:pt>
                <c:pt idx="55">
                  <c:v>750</c:v>
                </c:pt>
                <c:pt idx="56">
                  <c:v>750</c:v>
                </c:pt>
                <c:pt idx="57">
                  <c:v>750</c:v>
                </c:pt>
                <c:pt idx="58">
                  <c:v>450</c:v>
                </c:pt>
                <c:pt idx="59">
                  <c:v>450</c:v>
                </c:pt>
                <c:pt idx="60">
                  <c:v>450</c:v>
                </c:pt>
                <c:pt idx="61">
                  <c:v>450</c:v>
                </c:pt>
                <c:pt idx="62">
                  <c:v>450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F69-483B-BD2E-95785558E308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Odpady z likwidacji dwóch elektrowni jądrowych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ymbol val="none"/>
          </c:marker>
          <c:cat>
            <c:numRef>
              <c:f>Arkusz1!$A$2:$A$113</c:f>
              <c:numCache>
                <c:formatCode>General</c:formatCode>
                <c:ptCount val="112"/>
                <c:pt idx="0">
                  <c:v>2033</c:v>
                </c:pt>
                <c:pt idx="1">
                  <c:v>2034</c:v>
                </c:pt>
                <c:pt idx="2">
                  <c:v>2035</c:v>
                </c:pt>
                <c:pt idx="3">
                  <c:v>2036</c:v>
                </c:pt>
                <c:pt idx="4">
                  <c:v>2037</c:v>
                </c:pt>
                <c:pt idx="5">
                  <c:v>2038</c:v>
                </c:pt>
                <c:pt idx="6">
                  <c:v>2039</c:v>
                </c:pt>
                <c:pt idx="7">
                  <c:v>2040</c:v>
                </c:pt>
                <c:pt idx="8">
                  <c:v>2041</c:v>
                </c:pt>
                <c:pt idx="9">
                  <c:v>2042</c:v>
                </c:pt>
                <c:pt idx="10">
                  <c:v>2043</c:v>
                </c:pt>
                <c:pt idx="11">
                  <c:v>2044</c:v>
                </c:pt>
                <c:pt idx="12">
                  <c:v>2045</c:v>
                </c:pt>
                <c:pt idx="13">
                  <c:v>2046</c:v>
                </c:pt>
                <c:pt idx="14">
                  <c:v>2047</c:v>
                </c:pt>
                <c:pt idx="15">
                  <c:v>2048</c:v>
                </c:pt>
                <c:pt idx="16">
                  <c:v>2049</c:v>
                </c:pt>
                <c:pt idx="17">
                  <c:v>2050</c:v>
                </c:pt>
                <c:pt idx="18">
                  <c:v>2051</c:v>
                </c:pt>
                <c:pt idx="19">
                  <c:v>2052</c:v>
                </c:pt>
                <c:pt idx="20">
                  <c:v>2053</c:v>
                </c:pt>
                <c:pt idx="21">
                  <c:v>2054</c:v>
                </c:pt>
                <c:pt idx="22">
                  <c:v>2055</c:v>
                </c:pt>
                <c:pt idx="23">
                  <c:v>2056</c:v>
                </c:pt>
                <c:pt idx="24">
                  <c:v>2057</c:v>
                </c:pt>
                <c:pt idx="25">
                  <c:v>2058</c:v>
                </c:pt>
                <c:pt idx="26">
                  <c:v>2059</c:v>
                </c:pt>
                <c:pt idx="27">
                  <c:v>2060</c:v>
                </c:pt>
                <c:pt idx="28">
                  <c:v>2061</c:v>
                </c:pt>
                <c:pt idx="29">
                  <c:v>2062</c:v>
                </c:pt>
                <c:pt idx="30">
                  <c:v>2063</c:v>
                </c:pt>
                <c:pt idx="31">
                  <c:v>2064</c:v>
                </c:pt>
                <c:pt idx="32">
                  <c:v>2065</c:v>
                </c:pt>
                <c:pt idx="33">
                  <c:v>2066</c:v>
                </c:pt>
                <c:pt idx="34">
                  <c:v>2067</c:v>
                </c:pt>
                <c:pt idx="35">
                  <c:v>2068</c:v>
                </c:pt>
                <c:pt idx="36">
                  <c:v>2069</c:v>
                </c:pt>
                <c:pt idx="37">
                  <c:v>2070</c:v>
                </c:pt>
                <c:pt idx="38">
                  <c:v>2071</c:v>
                </c:pt>
                <c:pt idx="39">
                  <c:v>2072</c:v>
                </c:pt>
                <c:pt idx="40">
                  <c:v>2073</c:v>
                </c:pt>
                <c:pt idx="41">
                  <c:v>2074</c:v>
                </c:pt>
                <c:pt idx="42">
                  <c:v>2075</c:v>
                </c:pt>
                <c:pt idx="43">
                  <c:v>2076</c:v>
                </c:pt>
                <c:pt idx="44">
                  <c:v>2077</c:v>
                </c:pt>
                <c:pt idx="45">
                  <c:v>2078</c:v>
                </c:pt>
                <c:pt idx="46">
                  <c:v>2079</c:v>
                </c:pt>
                <c:pt idx="47">
                  <c:v>2080</c:v>
                </c:pt>
                <c:pt idx="48">
                  <c:v>2081</c:v>
                </c:pt>
                <c:pt idx="49">
                  <c:v>2082</c:v>
                </c:pt>
                <c:pt idx="50">
                  <c:v>2083</c:v>
                </c:pt>
                <c:pt idx="51">
                  <c:v>2084</c:v>
                </c:pt>
                <c:pt idx="52">
                  <c:v>2085</c:v>
                </c:pt>
                <c:pt idx="53">
                  <c:v>2086</c:v>
                </c:pt>
                <c:pt idx="54">
                  <c:v>2087</c:v>
                </c:pt>
                <c:pt idx="55">
                  <c:v>2088</c:v>
                </c:pt>
                <c:pt idx="56">
                  <c:v>2089</c:v>
                </c:pt>
                <c:pt idx="57">
                  <c:v>2090</c:v>
                </c:pt>
                <c:pt idx="58">
                  <c:v>2091</c:v>
                </c:pt>
                <c:pt idx="59">
                  <c:v>2092</c:v>
                </c:pt>
                <c:pt idx="60">
                  <c:v>2093</c:v>
                </c:pt>
                <c:pt idx="61">
                  <c:v>2094</c:v>
                </c:pt>
                <c:pt idx="62">
                  <c:v>2095</c:v>
                </c:pt>
                <c:pt idx="63">
                  <c:v>2096</c:v>
                </c:pt>
                <c:pt idx="64">
                  <c:v>2097</c:v>
                </c:pt>
                <c:pt idx="65">
                  <c:v>2098</c:v>
                </c:pt>
                <c:pt idx="66">
                  <c:v>2099</c:v>
                </c:pt>
                <c:pt idx="67">
                  <c:v>2100</c:v>
                </c:pt>
                <c:pt idx="68">
                  <c:v>2101</c:v>
                </c:pt>
                <c:pt idx="69">
                  <c:v>2102</c:v>
                </c:pt>
                <c:pt idx="70">
                  <c:v>2103</c:v>
                </c:pt>
                <c:pt idx="71">
                  <c:v>2104</c:v>
                </c:pt>
                <c:pt idx="72">
                  <c:v>2105</c:v>
                </c:pt>
                <c:pt idx="73">
                  <c:v>2106</c:v>
                </c:pt>
                <c:pt idx="74">
                  <c:v>2107</c:v>
                </c:pt>
                <c:pt idx="75">
                  <c:v>2108</c:v>
                </c:pt>
                <c:pt idx="76">
                  <c:v>2109</c:v>
                </c:pt>
                <c:pt idx="77">
                  <c:v>2110</c:v>
                </c:pt>
                <c:pt idx="78">
                  <c:v>2111</c:v>
                </c:pt>
                <c:pt idx="79">
                  <c:v>2112</c:v>
                </c:pt>
                <c:pt idx="80">
                  <c:v>2113</c:v>
                </c:pt>
                <c:pt idx="81">
                  <c:v>2114</c:v>
                </c:pt>
                <c:pt idx="82">
                  <c:v>2115</c:v>
                </c:pt>
                <c:pt idx="83">
                  <c:v>2116</c:v>
                </c:pt>
                <c:pt idx="84">
                  <c:v>2117</c:v>
                </c:pt>
                <c:pt idx="85">
                  <c:v>2118</c:v>
                </c:pt>
                <c:pt idx="86">
                  <c:v>2119</c:v>
                </c:pt>
                <c:pt idx="87">
                  <c:v>2120</c:v>
                </c:pt>
                <c:pt idx="88">
                  <c:v>2121</c:v>
                </c:pt>
                <c:pt idx="89">
                  <c:v>2122</c:v>
                </c:pt>
                <c:pt idx="90">
                  <c:v>2123</c:v>
                </c:pt>
                <c:pt idx="91">
                  <c:v>2124</c:v>
                </c:pt>
                <c:pt idx="92">
                  <c:v>2125</c:v>
                </c:pt>
                <c:pt idx="93">
                  <c:v>2126</c:v>
                </c:pt>
                <c:pt idx="94">
                  <c:v>2127</c:v>
                </c:pt>
                <c:pt idx="95">
                  <c:v>2128</c:v>
                </c:pt>
                <c:pt idx="96">
                  <c:v>2129</c:v>
                </c:pt>
                <c:pt idx="97">
                  <c:v>2130</c:v>
                </c:pt>
                <c:pt idx="98">
                  <c:v>2131</c:v>
                </c:pt>
                <c:pt idx="99">
                  <c:v>2132</c:v>
                </c:pt>
                <c:pt idx="100">
                  <c:v>2133</c:v>
                </c:pt>
                <c:pt idx="101">
                  <c:v>2134</c:v>
                </c:pt>
                <c:pt idx="102">
                  <c:v>2135</c:v>
                </c:pt>
                <c:pt idx="103">
                  <c:v>2136</c:v>
                </c:pt>
                <c:pt idx="104">
                  <c:v>2137</c:v>
                </c:pt>
                <c:pt idx="105">
                  <c:v>2138</c:v>
                </c:pt>
                <c:pt idx="106">
                  <c:v>2139</c:v>
                </c:pt>
                <c:pt idx="107">
                  <c:v>2140</c:v>
                </c:pt>
                <c:pt idx="108">
                  <c:v>2141</c:v>
                </c:pt>
                <c:pt idx="109">
                  <c:v>2142</c:v>
                </c:pt>
                <c:pt idx="110">
                  <c:v>2143</c:v>
                </c:pt>
                <c:pt idx="111">
                  <c:v>2144</c:v>
                </c:pt>
              </c:numCache>
            </c:numRef>
          </c:cat>
          <c:val>
            <c:numRef>
              <c:f>Arkusz1!$E$2:$E$113</c:f>
              <c:numCache>
                <c:formatCode>General</c:formatCode>
                <c:ptCount val="112"/>
                <c:pt idx="57">
                  <c:v>1125</c:v>
                </c:pt>
                <c:pt idx="58">
                  <c:v>1125</c:v>
                </c:pt>
                <c:pt idx="59">
                  <c:v>1125</c:v>
                </c:pt>
                <c:pt idx="60">
                  <c:v>1125</c:v>
                </c:pt>
                <c:pt idx="61">
                  <c:v>1125</c:v>
                </c:pt>
                <c:pt idx="62">
                  <c:v>2250</c:v>
                </c:pt>
                <c:pt idx="63">
                  <c:v>2250</c:v>
                </c:pt>
                <c:pt idx="64">
                  <c:v>2250</c:v>
                </c:pt>
                <c:pt idx="65">
                  <c:v>2250</c:v>
                </c:pt>
                <c:pt idx="66">
                  <c:v>2250</c:v>
                </c:pt>
                <c:pt idx="67">
                  <c:v>2250</c:v>
                </c:pt>
                <c:pt idx="68">
                  <c:v>2250</c:v>
                </c:pt>
                <c:pt idx="69">
                  <c:v>2250</c:v>
                </c:pt>
                <c:pt idx="70">
                  <c:v>2250</c:v>
                </c:pt>
                <c:pt idx="71">
                  <c:v>2250</c:v>
                </c:pt>
                <c:pt idx="72">
                  <c:v>2250</c:v>
                </c:pt>
                <c:pt idx="73">
                  <c:v>2250</c:v>
                </c:pt>
                <c:pt idx="74">
                  <c:v>2250</c:v>
                </c:pt>
                <c:pt idx="75">
                  <c:v>2250</c:v>
                </c:pt>
                <c:pt idx="76">
                  <c:v>2250</c:v>
                </c:pt>
                <c:pt idx="77">
                  <c:v>2250</c:v>
                </c:pt>
                <c:pt idx="78">
                  <c:v>2250</c:v>
                </c:pt>
                <c:pt idx="79">
                  <c:v>2250</c:v>
                </c:pt>
                <c:pt idx="80">
                  <c:v>2250</c:v>
                </c:pt>
                <c:pt idx="81">
                  <c:v>2250</c:v>
                </c:pt>
                <c:pt idx="82">
                  <c:v>2250</c:v>
                </c:pt>
                <c:pt idx="83">
                  <c:v>2250</c:v>
                </c:pt>
                <c:pt idx="84">
                  <c:v>2250</c:v>
                </c:pt>
                <c:pt idx="85">
                  <c:v>2250</c:v>
                </c:pt>
                <c:pt idx="86">
                  <c:v>2250</c:v>
                </c:pt>
                <c:pt idx="87">
                  <c:v>1125</c:v>
                </c:pt>
                <c:pt idx="88">
                  <c:v>1125</c:v>
                </c:pt>
                <c:pt idx="89">
                  <c:v>1125</c:v>
                </c:pt>
                <c:pt idx="90">
                  <c:v>1125</c:v>
                </c:pt>
                <c:pt idx="91">
                  <c:v>1125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F69-483B-BD2E-95785558E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6584016"/>
        <c:axId val="416584408"/>
      </c:lineChart>
      <c:catAx>
        <c:axId val="41658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16584408"/>
        <c:crosses val="autoZero"/>
        <c:auto val="1"/>
        <c:lblAlgn val="ctr"/>
        <c:lblOffset val="100"/>
        <c:noMultiLvlLbl val="0"/>
      </c:catAx>
      <c:valAx>
        <c:axId val="416584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10100">
            <a:noFill/>
          </a:ln>
        </c:spPr>
        <c:crossAx val="416584016"/>
        <c:crosses val="autoZero"/>
        <c:crossBetween val="between"/>
      </c:valAx>
    </c:plotArea>
    <c:legend>
      <c:legendPos val="b"/>
      <c:overlay val="0"/>
      <c:spPr>
        <a:effectLst>
          <a:glow rad="25400">
            <a:schemeClr val="accent1">
              <a:alpha val="40000"/>
            </a:schemeClr>
          </a:glow>
        </a:effectLst>
      </c:spPr>
      <c:txPr>
        <a:bodyPr/>
        <a:lstStyle/>
        <a:p>
          <a:pPr rtl="0">
            <a:defRPr sz="848"/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Rys 3.</a:t>
            </a:r>
            <a:r>
              <a:rPr lang="pl-PL" sz="1200"/>
              <a:t>6</a:t>
            </a:r>
            <a:r>
              <a:rPr lang="en-US" sz="1200"/>
              <a:t>. </a:t>
            </a:r>
            <a:r>
              <a:rPr lang="pl-PL" sz="1200"/>
              <a:t>Planowane</a:t>
            </a:r>
            <a:r>
              <a:rPr lang="pl-PL" sz="1200" baseline="0"/>
              <a:t> wykorzystanie pojemności NSPOP w rozbiciu na p</a:t>
            </a:r>
            <a:r>
              <a:rPr lang="en-US" sz="1200"/>
              <a:t>ochodzenie odpadów promieniotwórczych krótkożyciowych nisko- i średnioaktywnych </a:t>
            </a:r>
            <a:r>
              <a:rPr lang="pl-PL" sz="1200"/>
              <a:t>z uwzglednieniem</a:t>
            </a:r>
            <a:r>
              <a:rPr lang="pl-PL" sz="1200" baseline="0"/>
              <a:t> rezerwy </a:t>
            </a:r>
            <a:r>
              <a:rPr lang="en-US" sz="1200"/>
              <a:t>w latach 20</a:t>
            </a:r>
            <a:r>
              <a:rPr lang="pl-PL" sz="1200"/>
              <a:t>33</a:t>
            </a:r>
            <a:r>
              <a:rPr lang="en-US" sz="1200"/>
              <a:t> - 21</a:t>
            </a:r>
            <a:r>
              <a:rPr lang="pl-PL" sz="1200"/>
              <a:t>52</a:t>
            </a:r>
          </a:p>
          <a:p>
            <a:pPr>
              <a:defRPr sz="1200"/>
            </a:pPr>
            <a:r>
              <a:rPr lang="pl-PL" sz="1200"/>
              <a:t>[m</a:t>
            </a:r>
            <a:r>
              <a:rPr lang="pl-PL" sz="1200">
                <a:latin typeface="Times New Roman"/>
                <a:cs typeface="Times New Roman"/>
              </a:rPr>
              <a:t>³]</a:t>
            </a:r>
            <a:r>
              <a:rPr lang="en-US" sz="1200"/>
              <a:t>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8CB-4F17-B8C7-879D70CA2CE3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8CB-4F17-B8C7-879D70CA2CE3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18CB-4F17-B8C7-879D70CA2CE3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18CB-4F17-B8C7-879D70CA2CE3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18CB-4F17-B8C7-879D70CA2CE3}"/>
              </c:ext>
            </c:extLst>
          </c:dPt>
          <c:dLbls>
            <c:dLbl>
              <c:idx val="0"/>
              <c:layout>
                <c:manualLayout>
                  <c:x val="-4.7922277296813046E-2"/>
                  <c:y val="-1.427130525881717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8CB-4F17-B8C7-879D70CA2CE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77771324896567E-2"/>
                  <c:y val="6.709196382299349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8CB-4F17-B8C7-879D70CA2CE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431787793249701E-3"/>
                  <c:y val="-9.201397596001137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8CB-4F17-B8C7-879D70CA2CE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355802865979659E-2"/>
                  <c:y val="-4.323341747886610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8CB-4F17-B8C7-879D70CA2CE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581209510046158E-2"/>
                  <c:y val="-1.132364823823774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8CB-4F17-B8C7-879D70CA2CE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Odpady z likwidacji 2 elektrowni jądrowych</c:v>
                </c:pt>
                <c:pt idx="1">
                  <c:v>Odpady  z ekploatacji 2 elektrowni jądrowych</c:v>
                </c:pt>
                <c:pt idx="2">
                  <c:v>Odpady z liwidacji reaktora badawczego Maria i laboratoriów NCBJ</c:v>
                </c:pt>
                <c:pt idx="3">
                  <c:v>Rezerwa na nieprzewidziane zdarzenia</c:v>
                </c:pt>
                <c:pt idx="4">
                  <c:v>Odpady z zastosowań medycznych, naukowych i przemysłowych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67500</c:v>
                </c:pt>
                <c:pt idx="1">
                  <c:v>54000</c:v>
                </c:pt>
                <c:pt idx="2">
                  <c:v>20000</c:v>
                </c:pt>
                <c:pt idx="3">
                  <c:v>16500</c:v>
                </c:pt>
                <c:pt idx="4">
                  <c:v>12000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8CB-4F17-B8C7-879D70CA2CE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092057782707904E-2"/>
          <c:y val="4.3555731538309245E-2"/>
          <c:w val="0.91155591588059104"/>
          <c:h val="0.473745429773418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'Koszt postępowania z odpadami'!$B$161</c:f>
              <c:strCache>
                <c:ptCount val="1"/>
                <c:pt idx="0">
                  <c:v>Postępowanie z odpadami promieniotwórczymi niskoaktywnymi</c:v>
                </c:pt>
              </c:strCache>
            </c:strRef>
          </c:tx>
          <c:spPr>
            <a:solidFill>
              <a:schemeClr val="accent4"/>
            </a:solidFill>
            <a:ln w="3175">
              <a:solidFill>
                <a:schemeClr val="tx1"/>
              </a:solidFill>
            </a:ln>
            <a:effectLst/>
          </c:spPr>
          <c:invertIfNegative val="0"/>
          <c:cat>
            <c:strRef>
              <c:f>'Koszt postępowania z odpadami'!$H$156:$EK$156</c:f>
              <c:strCache>
                <c:ptCount val="134"/>
                <c:pt idx="0">
                  <c:v>2019-2023</c:v>
                </c:pt>
                <c:pt idx="1">
                  <c:v>2024-2028</c:v>
                </c:pt>
                <c:pt idx="2">
                  <c:v>2029-2033</c:v>
                </c:pt>
                <c:pt idx="3">
                  <c:v>2034-2038</c:v>
                </c:pt>
                <c:pt idx="4">
                  <c:v>2039-2043</c:v>
                </c:pt>
                <c:pt idx="5">
                  <c:v>2044-2048</c:v>
                </c:pt>
                <c:pt idx="6">
                  <c:v>2049-2053</c:v>
                </c:pt>
                <c:pt idx="7">
                  <c:v>2054-2058</c:v>
                </c:pt>
                <c:pt idx="8">
                  <c:v>2059-2063</c:v>
                </c:pt>
                <c:pt idx="9">
                  <c:v>2064-2068</c:v>
                </c:pt>
                <c:pt idx="10">
                  <c:v>2069-2073</c:v>
                </c:pt>
                <c:pt idx="11">
                  <c:v>2074-2078</c:v>
                </c:pt>
                <c:pt idx="12">
                  <c:v>2079-2083</c:v>
                </c:pt>
                <c:pt idx="13">
                  <c:v>2084-2088</c:v>
                </c:pt>
                <c:pt idx="14">
                  <c:v>2089-2093</c:v>
                </c:pt>
                <c:pt idx="15">
                  <c:v>2094-2098</c:v>
                </c:pt>
                <c:pt idx="16">
                  <c:v>2099-2103</c:v>
                </c:pt>
                <c:pt idx="17">
                  <c:v>2104-2108</c:v>
                </c:pt>
                <c:pt idx="18">
                  <c:v>2109-2113</c:v>
                </c:pt>
                <c:pt idx="19">
                  <c:v>2114-2118</c:v>
                </c:pt>
                <c:pt idx="20">
                  <c:v>2119-2123</c:v>
                </c:pt>
                <c:pt idx="21">
                  <c:v>2124-2128</c:v>
                </c:pt>
                <c:pt idx="22">
                  <c:v>2129-2133</c:v>
                </c:pt>
                <c:pt idx="23">
                  <c:v>2134-2138</c:v>
                </c:pt>
                <c:pt idx="24">
                  <c:v>2139-2143</c:v>
                </c:pt>
                <c:pt idx="25">
                  <c:v>2144-2148</c:v>
                </c:pt>
                <c:pt idx="26">
                  <c:v>2149-2152</c:v>
                </c:pt>
                <c:pt idx="27">
                  <c:v>-</c:v>
                </c:pt>
                <c:pt idx="28">
                  <c:v>#VALUE!</c:v>
                </c:pt>
                <c:pt idx="29">
                  <c:v>#VALUE!</c:v>
                </c:pt>
                <c:pt idx="30">
                  <c:v>#VALUE!</c:v>
                </c:pt>
                <c:pt idx="31">
                  <c:v>#VALUE!</c:v>
                </c:pt>
                <c:pt idx="32">
                  <c:v>#VALUE!</c:v>
                </c:pt>
                <c:pt idx="33">
                  <c:v>#VALUE!</c:v>
                </c:pt>
                <c:pt idx="34">
                  <c:v>#VALUE!</c:v>
                </c:pt>
                <c:pt idx="35">
                  <c:v>#VALUE!</c:v>
                </c:pt>
                <c:pt idx="36">
                  <c:v>#VALUE!</c:v>
                </c:pt>
                <c:pt idx="37">
                  <c:v>#VALUE!</c:v>
                </c:pt>
                <c:pt idx="38">
                  <c:v>#VALUE!</c:v>
                </c:pt>
                <c:pt idx="39">
                  <c:v>#VALUE!</c:v>
                </c:pt>
                <c:pt idx="40">
                  <c:v>#VALUE!</c:v>
                </c:pt>
                <c:pt idx="41">
                  <c:v>#VALUE!</c:v>
                </c:pt>
                <c:pt idx="42">
                  <c:v>#VALUE!</c:v>
                </c:pt>
                <c:pt idx="43">
                  <c:v>#VALUE!</c:v>
                </c:pt>
                <c:pt idx="44">
                  <c:v>#VALUE!</c:v>
                </c:pt>
                <c:pt idx="45">
                  <c:v>#VALUE!</c:v>
                </c:pt>
                <c:pt idx="46">
                  <c:v>#VALUE!</c:v>
                </c:pt>
                <c:pt idx="47">
                  <c:v>#VALUE!</c:v>
                </c:pt>
                <c:pt idx="48">
                  <c:v>#VALUE!</c:v>
                </c:pt>
                <c:pt idx="49">
                  <c:v>#VALUE!</c:v>
                </c:pt>
                <c:pt idx="50">
                  <c:v>#VALUE!</c:v>
                </c:pt>
                <c:pt idx="51">
                  <c:v>#VALUE!</c:v>
                </c:pt>
                <c:pt idx="52">
                  <c:v>#VALUE!</c:v>
                </c:pt>
                <c:pt idx="53">
                  <c:v>#VALUE!</c:v>
                </c:pt>
                <c:pt idx="54">
                  <c:v>#VALUE!</c:v>
                </c:pt>
                <c:pt idx="55">
                  <c:v>#VALUE!</c:v>
                </c:pt>
                <c:pt idx="56">
                  <c:v>#VALUE!</c:v>
                </c:pt>
                <c:pt idx="57">
                  <c:v>#VALUE!</c:v>
                </c:pt>
                <c:pt idx="58">
                  <c:v>#VALUE!</c:v>
                </c:pt>
                <c:pt idx="59">
                  <c:v>#VALUE!</c:v>
                </c:pt>
                <c:pt idx="60">
                  <c:v>#VALUE!</c:v>
                </c:pt>
                <c:pt idx="61">
                  <c:v>#VALUE!</c:v>
                </c:pt>
                <c:pt idx="62">
                  <c:v>#VALUE!</c:v>
                </c:pt>
                <c:pt idx="63">
                  <c:v>#VALUE!</c:v>
                </c:pt>
                <c:pt idx="64">
                  <c:v>#VALUE!</c:v>
                </c:pt>
                <c:pt idx="65">
                  <c:v>#VALUE!</c:v>
                </c:pt>
                <c:pt idx="66">
                  <c:v>#VALUE!</c:v>
                </c:pt>
                <c:pt idx="67">
                  <c:v>#VALUE!</c:v>
                </c:pt>
                <c:pt idx="68">
                  <c:v>#VALUE!</c:v>
                </c:pt>
                <c:pt idx="69">
                  <c:v>#VALUE!</c:v>
                </c:pt>
                <c:pt idx="70">
                  <c:v>#VALUE!</c:v>
                </c:pt>
                <c:pt idx="71">
                  <c:v>#VALUE!</c:v>
                </c:pt>
                <c:pt idx="72">
                  <c:v>#VALUE!</c:v>
                </c:pt>
                <c:pt idx="73">
                  <c:v>#VALUE!</c:v>
                </c:pt>
                <c:pt idx="74">
                  <c:v>#VALUE!</c:v>
                </c:pt>
                <c:pt idx="75">
                  <c:v>#VALUE!</c:v>
                </c:pt>
                <c:pt idx="76">
                  <c:v>#VALUE!</c:v>
                </c:pt>
                <c:pt idx="77">
                  <c:v>#VALUE!</c:v>
                </c:pt>
                <c:pt idx="78">
                  <c:v>#VALUE!</c:v>
                </c:pt>
                <c:pt idx="79">
                  <c:v>#VALUE!</c:v>
                </c:pt>
                <c:pt idx="80">
                  <c:v>#VALUE!</c:v>
                </c:pt>
                <c:pt idx="81">
                  <c:v>#VALUE!</c:v>
                </c:pt>
                <c:pt idx="82">
                  <c:v>#VALUE!</c:v>
                </c:pt>
                <c:pt idx="83">
                  <c:v>#VALUE!</c:v>
                </c:pt>
                <c:pt idx="84">
                  <c:v>#VALUE!</c:v>
                </c:pt>
                <c:pt idx="85">
                  <c:v>#VALUE!</c:v>
                </c:pt>
                <c:pt idx="86">
                  <c:v>#VALUE!</c:v>
                </c:pt>
                <c:pt idx="87">
                  <c:v>#VALUE!</c:v>
                </c:pt>
                <c:pt idx="88">
                  <c:v>#VALUE!</c:v>
                </c:pt>
                <c:pt idx="89">
                  <c:v>#VALUE!</c:v>
                </c:pt>
                <c:pt idx="90">
                  <c:v>#VALUE!</c:v>
                </c:pt>
                <c:pt idx="91">
                  <c:v>#VALUE!</c:v>
                </c:pt>
                <c:pt idx="92">
                  <c:v>#VALUE!</c:v>
                </c:pt>
                <c:pt idx="93">
                  <c:v>#VALUE!</c:v>
                </c:pt>
                <c:pt idx="94">
                  <c:v>#VALUE!</c:v>
                </c:pt>
                <c:pt idx="95">
                  <c:v>#VALUE!</c:v>
                </c:pt>
                <c:pt idx="96">
                  <c:v>#VALUE!</c:v>
                </c:pt>
                <c:pt idx="97">
                  <c:v>#VALUE!</c:v>
                </c:pt>
                <c:pt idx="98">
                  <c:v>#VALUE!</c:v>
                </c:pt>
                <c:pt idx="99">
                  <c:v>#VALUE!</c:v>
                </c:pt>
                <c:pt idx="100">
                  <c:v>#VALUE!</c:v>
                </c:pt>
                <c:pt idx="101">
                  <c:v>#VALUE!</c:v>
                </c:pt>
                <c:pt idx="102">
                  <c:v>#VALUE!</c:v>
                </c:pt>
                <c:pt idx="103">
                  <c:v>#VALUE!</c:v>
                </c:pt>
                <c:pt idx="104">
                  <c:v>#VALUE!</c:v>
                </c:pt>
                <c:pt idx="105">
                  <c:v>#VALUE!</c:v>
                </c:pt>
                <c:pt idx="106">
                  <c:v>#VALUE!</c:v>
                </c:pt>
                <c:pt idx="107">
                  <c:v>#VALUE!</c:v>
                </c:pt>
                <c:pt idx="108">
                  <c:v>#VALUE!</c:v>
                </c:pt>
                <c:pt idx="109">
                  <c:v>#VALUE!</c:v>
                </c:pt>
                <c:pt idx="110">
                  <c:v>#VALUE!</c:v>
                </c:pt>
                <c:pt idx="111">
                  <c:v>#VALUE!</c:v>
                </c:pt>
                <c:pt idx="112">
                  <c:v>#VALUE!</c:v>
                </c:pt>
                <c:pt idx="113">
                  <c:v>#VALUE!</c:v>
                </c:pt>
                <c:pt idx="114">
                  <c:v>#VALUE!</c:v>
                </c:pt>
                <c:pt idx="115">
                  <c:v>#VALUE!</c:v>
                </c:pt>
                <c:pt idx="116">
                  <c:v>#VALUE!</c:v>
                </c:pt>
                <c:pt idx="117">
                  <c:v>#VALUE!</c:v>
                </c:pt>
                <c:pt idx="118">
                  <c:v>#VALUE!</c:v>
                </c:pt>
                <c:pt idx="119">
                  <c:v>#VALUE!</c:v>
                </c:pt>
                <c:pt idx="120">
                  <c:v>#VALUE!</c:v>
                </c:pt>
                <c:pt idx="121">
                  <c:v>#VALUE!</c:v>
                </c:pt>
                <c:pt idx="122">
                  <c:v>#VALUE!</c:v>
                </c:pt>
                <c:pt idx="123">
                  <c:v>#VALUE!</c:v>
                </c:pt>
                <c:pt idx="124">
                  <c:v>#VALUE!</c:v>
                </c:pt>
                <c:pt idx="125">
                  <c:v>#VALUE!</c:v>
                </c:pt>
                <c:pt idx="126">
                  <c:v>#VALUE!</c:v>
                </c:pt>
                <c:pt idx="127">
                  <c:v>#VALUE!</c:v>
                </c:pt>
                <c:pt idx="128">
                  <c:v>#VALUE!</c:v>
                </c:pt>
                <c:pt idx="129">
                  <c:v>#VALUE!</c:v>
                </c:pt>
                <c:pt idx="130">
                  <c:v>#VALUE!</c:v>
                </c:pt>
                <c:pt idx="131">
                  <c:v>#VALUE!</c:v>
                </c:pt>
                <c:pt idx="132">
                  <c:v>#VALUE!</c:v>
                </c:pt>
                <c:pt idx="133">
                  <c:v>#VALUE!</c:v>
                </c:pt>
              </c:strCache>
            </c:strRef>
          </c:cat>
          <c:val>
            <c:numRef>
              <c:f>'Koszt postępowania z odpadami'!$H$161:$AH$161</c:f>
              <c:numCache>
                <c:formatCode>0.0</c:formatCode>
                <c:ptCount val="27"/>
                <c:pt idx="0">
                  <c:v>8.726882956869602</c:v>
                </c:pt>
                <c:pt idx="1">
                  <c:v>7.5278858988881661</c:v>
                </c:pt>
                <c:pt idx="2">
                  <c:v>11.150200192367119</c:v>
                </c:pt>
                <c:pt idx="3">
                  <c:v>39.342772902339838</c:v>
                </c:pt>
                <c:pt idx="4">
                  <c:v>41.623459102727693</c:v>
                </c:pt>
                <c:pt idx="5">
                  <c:v>35.904761458467902</c:v>
                </c:pt>
                <c:pt idx="6">
                  <c:v>49.742031837545682</c:v>
                </c:pt>
                <c:pt idx="7">
                  <c:v>54.527940564861403</c:v>
                </c:pt>
                <c:pt idx="8">
                  <c:v>47.036280525627042</c:v>
                </c:pt>
                <c:pt idx="9">
                  <c:v>40.573908766163669</c:v>
                </c:pt>
                <c:pt idx="10">
                  <c:v>24.60676716165629</c:v>
                </c:pt>
                <c:pt idx="11">
                  <c:v>14.792286324465817</c:v>
                </c:pt>
                <c:pt idx="12">
                  <c:v>12.759956124609953</c:v>
                </c:pt>
                <c:pt idx="13">
                  <c:v>10.062825491642723</c:v>
                </c:pt>
                <c:pt idx="14">
                  <c:v>6.4672203841110454</c:v>
                </c:pt>
                <c:pt idx="15">
                  <c:v>2.4631119834893789</c:v>
                </c:pt>
                <c:pt idx="16">
                  <c:v>7.3398598298920277</c:v>
                </c:pt>
                <c:pt idx="17">
                  <c:v>13.468408643533943</c:v>
                </c:pt>
                <c:pt idx="18">
                  <c:v>12.923096745513643</c:v>
                </c:pt>
                <c:pt idx="19">
                  <c:v>11.147576774126469</c:v>
                </c:pt>
                <c:pt idx="20">
                  <c:v>9.615997649958377</c:v>
                </c:pt>
                <c:pt idx="21">
                  <c:v>8.2948440434715724</c:v>
                </c:pt>
                <c:pt idx="22">
                  <c:v>4.4691617861212958</c:v>
                </c:pt>
                <c:pt idx="23">
                  <c:v>0.91479650844099059</c:v>
                </c:pt>
                <c:pt idx="24">
                  <c:v>0.2514155798213783</c:v>
                </c:pt>
                <c:pt idx="25">
                  <c:v>0.21687328768495892</c:v>
                </c:pt>
                <c:pt idx="26">
                  <c:v>0.15184003199684484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29-4176-95E1-C9D9BB52EFB7}"/>
            </c:ext>
          </c:extLst>
        </c:ser>
        <c:ser>
          <c:idx val="1"/>
          <c:order val="1"/>
          <c:tx>
            <c:strRef>
              <c:f>'Koszt postępowania z odpadami'!$B$162</c:f>
              <c:strCache>
                <c:ptCount val="1"/>
                <c:pt idx="0">
                  <c:v>Postępowanie z odpadami promieniotwórczymi średnioaktywnymi</c:v>
                </c:pt>
              </c:strCache>
            </c:strRef>
          </c:tx>
          <c:spPr>
            <a:solidFill>
              <a:schemeClr val="accent2"/>
            </a:solidFill>
            <a:ln w="6350">
              <a:solidFill>
                <a:schemeClr val="tx1"/>
              </a:solidFill>
            </a:ln>
            <a:effectLst/>
          </c:spPr>
          <c:invertIfNegative val="0"/>
          <c:cat>
            <c:strRef>
              <c:f>'Koszt postępowania z odpadami'!$H$156:$EK$156</c:f>
              <c:strCache>
                <c:ptCount val="134"/>
                <c:pt idx="0">
                  <c:v>2019-2023</c:v>
                </c:pt>
                <c:pt idx="1">
                  <c:v>2024-2028</c:v>
                </c:pt>
                <c:pt idx="2">
                  <c:v>2029-2033</c:v>
                </c:pt>
                <c:pt idx="3">
                  <c:v>2034-2038</c:v>
                </c:pt>
                <c:pt idx="4">
                  <c:v>2039-2043</c:v>
                </c:pt>
                <c:pt idx="5">
                  <c:v>2044-2048</c:v>
                </c:pt>
                <c:pt idx="6">
                  <c:v>2049-2053</c:v>
                </c:pt>
                <c:pt idx="7">
                  <c:v>2054-2058</c:v>
                </c:pt>
                <c:pt idx="8">
                  <c:v>2059-2063</c:v>
                </c:pt>
                <c:pt idx="9">
                  <c:v>2064-2068</c:v>
                </c:pt>
                <c:pt idx="10">
                  <c:v>2069-2073</c:v>
                </c:pt>
                <c:pt idx="11">
                  <c:v>2074-2078</c:v>
                </c:pt>
                <c:pt idx="12">
                  <c:v>2079-2083</c:v>
                </c:pt>
                <c:pt idx="13">
                  <c:v>2084-2088</c:v>
                </c:pt>
                <c:pt idx="14">
                  <c:v>2089-2093</c:v>
                </c:pt>
                <c:pt idx="15">
                  <c:v>2094-2098</c:v>
                </c:pt>
                <c:pt idx="16">
                  <c:v>2099-2103</c:v>
                </c:pt>
                <c:pt idx="17">
                  <c:v>2104-2108</c:v>
                </c:pt>
                <c:pt idx="18">
                  <c:v>2109-2113</c:v>
                </c:pt>
                <c:pt idx="19">
                  <c:v>2114-2118</c:v>
                </c:pt>
                <c:pt idx="20">
                  <c:v>2119-2123</c:v>
                </c:pt>
                <c:pt idx="21">
                  <c:v>2124-2128</c:v>
                </c:pt>
                <c:pt idx="22">
                  <c:v>2129-2133</c:v>
                </c:pt>
                <c:pt idx="23">
                  <c:v>2134-2138</c:v>
                </c:pt>
                <c:pt idx="24">
                  <c:v>2139-2143</c:v>
                </c:pt>
                <c:pt idx="25">
                  <c:v>2144-2148</c:v>
                </c:pt>
                <c:pt idx="26">
                  <c:v>2149-2152</c:v>
                </c:pt>
                <c:pt idx="27">
                  <c:v>-</c:v>
                </c:pt>
                <c:pt idx="28">
                  <c:v>#VALUE!</c:v>
                </c:pt>
                <c:pt idx="29">
                  <c:v>#VALUE!</c:v>
                </c:pt>
                <c:pt idx="30">
                  <c:v>#VALUE!</c:v>
                </c:pt>
                <c:pt idx="31">
                  <c:v>#VALUE!</c:v>
                </c:pt>
                <c:pt idx="32">
                  <c:v>#VALUE!</c:v>
                </c:pt>
                <c:pt idx="33">
                  <c:v>#VALUE!</c:v>
                </c:pt>
                <c:pt idx="34">
                  <c:v>#VALUE!</c:v>
                </c:pt>
                <c:pt idx="35">
                  <c:v>#VALUE!</c:v>
                </c:pt>
                <c:pt idx="36">
                  <c:v>#VALUE!</c:v>
                </c:pt>
                <c:pt idx="37">
                  <c:v>#VALUE!</c:v>
                </c:pt>
                <c:pt idx="38">
                  <c:v>#VALUE!</c:v>
                </c:pt>
                <c:pt idx="39">
                  <c:v>#VALUE!</c:v>
                </c:pt>
                <c:pt idx="40">
                  <c:v>#VALUE!</c:v>
                </c:pt>
                <c:pt idx="41">
                  <c:v>#VALUE!</c:v>
                </c:pt>
                <c:pt idx="42">
                  <c:v>#VALUE!</c:v>
                </c:pt>
                <c:pt idx="43">
                  <c:v>#VALUE!</c:v>
                </c:pt>
                <c:pt idx="44">
                  <c:v>#VALUE!</c:v>
                </c:pt>
                <c:pt idx="45">
                  <c:v>#VALUE!</c:v>
                </c:pt>
                <c:pt idx="46">
                  <c:v>#VALUE!</c:v>
                </c:pt>
                <c:pt idx="47">
                  <c:v>#VALUE!</c:v>
                </c:pt>
                <c:pt idx="48">
                  <c:v>#VALUE!</c:v>
                </c:pt>
                <c:pt idx="49">
                  <c:v>#VALUE!</c:v>
                </c:pt>
                <c:pt idx="50">
                  <c:v>#VALUE!</c:v>
                </c:pt>
                <c:pt idx="51">
                  <c:v>#VALUE!</c:v>
                </c:pt>
                <c:pt idx="52">
                  <c:v>#VALUE!</c:v>
                </c:pt>
                <c:pt idx="53">
                  <c:v>#VALUE!</c:v>
                </c:pt>
                <c:pt idx="54">
                  <c:v>#VALUE!</c:v>
                </c:pt>
                <c:pt idx="55">
                  <c:v>#VALUE!</c:v>
                </c:pt>
                <c:pt idx="56">
                  <c:v>#VALUE!</c:v>
                </c:pt>
                <c:pt idx="57">
                  <c:v>#VALUE!</c:v>
                </c:pt>
                <c:pt idx="58">
                  <c:v>#VALUE!</c:v>
                </c:pt>
                <c:pt idx="59">
                  <c:v>#VALUE!</c:v>
                </c:pt>
                <c:pt idx="60">
                  <c:v>#VALUE!</c:v>
                </c:pt>
                <c:pt idx="61">
                  <c:v>#VALUE!</c:v>
                </c:pt>
                <c:pt idx="62">
                  <c:v>#VALUE!</c:v>
                </c:pt>
                <c:pt idx="63">
                  <c:v>#VALUE!</c:v>
                </c:pt>
                <c:pt idx="64">
                  <c:v>#VALUE!</c:v>
                </c:pt>
                <c:pt idx="65">
                  <c:v>#VALUE!</c:v>
                </c:pt>
                <c:pt idx="66">
                  <c:v>#VALUE!</c:v>
                </c:pt>
                <c:pt idx="67">
                  <c:v>#VALUE!</c:v>
                </c:pt>
                <c:pt idx="68">
                  <c:v>#VALUE!</c:v>
                </c:pt>
                <c:pt idx="69">
                  <c:v>#VALUE!</c:v>
                </c:pt>
                <c:pt idx="70">
                  <c:v>#VALUE!</c:v>
                </c:pt>
                <c:pt idx="71">
                  <c:v>#VALUE!</c:v>
                </c:pt>
                <c:pt idx="72">
                  <c:v>#VALUE!</c:v>
                </c:pt>
                <c:pt idx="73">
                  <c:v>#VALUE!</c:v>
                </c:pt>
                <c:pt idx="74">
                  <c:v>#VALUE!</c:v>
                </c:pt>
                <c:pt idx="75">
                  <c:v>#VALUE!</c:v>
                </c:pt>
                <c:pt idx="76">
                  <c:v>#VALUE!</c:v>
                </c:pt>
                <c:pt idx="77">
                  <c:v>#VALUE!</c:v>
                </c:pt>
                <c:pt idx="78">
                  <c:v>#VALUE!</c:v>
                </c:pt>
                <c:pt idx="79">
                  <c:v>#VALUE!</c:v>
                </c:pt>
                <c:pt idx="80">
                  <c:v>#VALUE!</c:v>
                </c:pt>
                <c:pt idx="81">
                  <c:v>#VALUE!</c:v>
                </c:pt>
                <c:pt idx="82">
                  <c:v>#VALUE!</c:v>
                </c:pt>
                <c:pt idx="83">
                  <c:v>#VALUE!</c:v>
                </c:pt>
                <c:pt idx="84">
                  <c:v>#VALUE!</c:v>
                </c:pt>
                <c:pt idx="85">
                  <c:v>#VALUE!</c:v>
                </c:pt>
                <c:pt idx="86">
                  <c:v>#VALUE!</c:v>
                </c:pt>
                <c:pt idx="87">
                  <c:v>#VALUE!</c:v>
                </c:pt>
                <c:pt idx="88">
                  <c:v>#VALUE!</c:v>
                </c:pt>
                <c:pt idx="89">
                  <c:v>#VALUE!</c:v>
                </c:pt>
                <c:pt idx="90">
                  <c:v>#VALUE!</c:v>
                </c:pt>
                <c:pt idx="91">
                  <c:v>#VALUE!</c:v>
                </c:pt>
                <c:pt idx="92">
                  <c:v>#VALUE!</c:v>
                </c:pt>
                <c:pt idx="93">
                  <c:v>#VALUE!</c:v>
                </c:pt>
                <c:pt idx="94">
                  <c:v>#VALUE!</c:v>
                </c:pt>
                <c:pt idx="95">
                  <c:v>#VALUE!</c:v>
                </c:pt>
                <c:pt idx="96">
                  <c:v>#VALUE!</c:v>
                </c:pt>
                <c:pt idx="97">
                  <c:v>#VALUE!</c:v>
                </c:pt>
                <c:pt idx="98">
                  <c:v>#VALUE!</c:v>
                </c:pt>
                <c:pt idx="99">
                  <c:v>#VALUE!</c:v>
                </c:pt>
                <c:pt idx="100">
                  <c:v>#VALUE!</c:v>
                </c:pt>
                <c:pt idx="101">
                  <c:v>#VALUE!</c:v>
                </c:pt>
                <c:pt idx="102">
                  <c:v>#VALUE!</c:v>
                </c:pt>
                <c:pt idx="103">
                  <c:v>#VALUE!</c:v>
                </c:pt>
                <c:pt idx="104">
                  <c:v>#VALUE!</c:v>
                </c:pt>
                <c:pt idx="105">
                  <c:v>#VALUE!</c:v>
                </c:pt>
                <c:pt idx="106">
                  <c:v>#VALUE!</c:v>
                </c:pt>
                <c:pt idx="107">
                  <c:v>#VALUE!</c:v>
                </c:pt>
                <c:pt idx="108">
                  <c:v>#VALUE!</c:v>
                </c:pt>
                <c:pt idx="109">
                  <c:v>#VALUE!</c:v>
                </c:pt>
                <c:pt idx="110">
                  <c:v>#VALUE!</c:v>
                </c:pt>
                <c:pt idx="111">
                  <c:v>#VALUE!</c:v>
                </c:pt>
                <c:pt idx="112">
                  <c:v>#VALUE!</c:v>
                </c:pt>
                <c:pt idx="113">
                  <c:v>#VALUE!</c:v>
                </c:pt>
                <c:pt idx="114">
                  <c:v>#VALUE!</c:v>
                </c:pt>
                <c:pt idx="115">
                  <c:v>#VALUE!</c:v>
                </c:pt>
                <c:pt idx="116">
                  <c:v>#VALUE!</c:v>
                </c:pt>
                <c:pt idx="117">
                  <c:v>#VALUE!</c:v>
                </c:pt>
                <c:pt idx="118">
                  <c:v>#VALUE!</c:v>
                </c:pt>
                <c:pt idx="119">
                  <c:v>#VALUE!</c:v>
                </c:pt>
                <c:pt idx="120">
                  <c:v>#VALUE!</c:v>
                </c:pt>
                <c:pt idx="121">
                  <c:v>#VALUE!</c:v>
                </c:pt>
                <c:pt idx="122">
                  <c:v>#VALUE!</c:v>
                </c:pt>
                <c:pt idx="123">
                  <c:v>#VALUE!</c:v>
                </c:pt>
                <c:pt idx="124">
                  <c:v>#VALUE!</c:v>
                </c:pt>
                <c:pt idx="125">
                  <c:v>#VALUE!</c:v>
                </c:pt>
                <c:pt idx="126">
                  <c:v>#VALUE!</c:v>
                </c:pt>
                <c:pt idx="127">
                  <c:v>#VALUE!</c:v>
                </c:pt>
                <c:pt idx="128">
                  <c:v>#VALUE!</c:v>
                </c:pt>
                <c:pt idx="129">
                  <c:v>#VALUE!</c:v>
                </c:pt>
                <c:pt idx="130">
                  <c:v>#VALUE!</c:v>
                </c:pt>
                <c:pt idx="131">
                  <c:v>#VALUE!</c:v>
                </c:pt>
                <c:pt idx="132">
                  <c:v>#VALUE!</c:v>
                </c:pt>
                <c:pt idx="133">
                  <c:v>#VALUE!</c:v>
                </c:pt>
              </c:strCache>
            </c:strRef>
          </c:cat>
          <c:val>
            <c:numRef>
              <c:f>'Koszt postępowania z odpadami'!$H$162:$AH$162</c:f>
              <c:numCache>
                <c:formatCode>0.0</c:formatCode>
                <c:ptCount val="27"/>
                <c:pt idx="0">
                  <c:v>0.15708367767451775</c:v>
                </c:pt>
                <c:pt idx="1">
                  <c:v>0.13550176024540961</c:v>
                </c:pt>
                <c:pt idx="2">
                  <c:v>4.4016831759024937</c:v>
                </c:pt>
                <c:pt idx="3">
                  <c:v>31.148236514925738</c:v>
                </c:pt>
                <c:pt idx="4">
                  <c:v>33.941126461542616</c:v>
                </c:pt>
                <c:pt idx="5">
                  <c:v>29.277913837620456</c:v>
                </c:pt>
                <c:pt idx="6">
                  <c:v>33.680580839649238</c:v>
                </c:pt>
                <c:pt idx="7">
                  <c:v>34.268912944925162</c:v>
                </c:pt>
                <c:pt idx="8">
                  <c:v>29.560665337588638</c:v>
                </c:pt>
                <c:pt idx="9">
                  <c:v>25.499289592444427</c:v>
                </c:pt>
                <c:pt idx="10">
                  <c:v>17.33108490538218</c:v>
                </c:pt>
                <c:pt idx="11">
                  <c:v>12.062112847347183</c:v>
                </c:pt>
                <c:pt idx="12">
                  <c:v>10.404884500354761</c:v>
                </c:pt>
                <c:pt idx="13">
                  <c:v>8.1066909969981804</c:v>
                </c:pt>
                <c:pt idx="14">
                  <c:v>4.9565324926440377</c:v>
                </c:pt>
                <c:pt idx="15">
                  <c:v>1.408726510113246</c:v>
                </c:pt>
                <c:pt idx="16">
                  <c:v>2.9411998140955338</c:v>
                </c:pt>
                <c:pt idx="17">
                  <c:v>5.7405995301281028</c:v>
                </c:pt>
                <c:pt idx="18">
                  <c:v>5.5377099100679157</c:v>
                </c:pt>
                <c:pt idx="19">
                  <c:v>4.7768772137958235</c:v>
                </c:pt>
                <c:pt idx="20">
                  <c:v>4.1205762465448288</c:v>
                </c:pt>
                <c:pt idx="21">
                  <c:v>3.5544452669942963</c:v>
                </c:pt>
                <c:pt idx="22">
                  <c:v>1.8604421893618999</c:v>
                </c:pt>
                <c:pt idx="23">
                  <c:v>0.28503636085313466</c:v>
                </c:pt>
                <c:pt idx="24">
                  <c:v>4.5254742269604034E-3</c:v>
                </c:pt>
                <c:pt idx="25">
                  <c:v>3.9037138216801788E-3</c:v>
                </c:pt>
                <c:pt idx="26">
                  <c:v>2.7331168255792198E-3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29-4176-95E1-C9D9BB52EFB7}"/>
            </c:ext>
          </c:extLst>
        </c:ser>
        <c:ser>
          <c:idx val="3"/>
          <c:order val="2"/>
          <c:tx>
            <c:strRef>
              <c:f>'Koszt postępowania z odpadami'!$B$164</c:f>
              <c:strCache>
                <c:ptCount val="1"/>
                <c:pt idx="0">
                  <c:v>Zamknięte źródła promieniotwórcze i czujki dymu </c:v>
                </c:pt>
              </c:strCache>
            </c:strRef>
          </c:tx>
          <c:spPr>
            <a:solidFill>
              <a:schemeClr val="accent5"/>
            </a:solidFill>
            <a:ln w="3175">
              <a:solidFill>
                <a:schemeClr val="tx1"/>
              </a:solidFill>
            </a:ln>
            <a:effectLst/>
          </c:spPr>
          <c:invertIfNegative val="0"/>
          <c:cat>
            <c:strRef>
              <c:f>'Koszt postępowania z odpadami'!$H$156:$EK$156</c:f>
              <c:strCache>
                <c:ptCount val="134"/>
                <c:pt idx="0">
                  <c:v>2019-2023</c:v>
                </c:pt>
                <c:pt idx="1">
                  <c:v>2024-2028</c:v>
                </c:pt>
                <c:pt idx="2">
                  <c:v>2029-2033</c:v>
                </c:pt>
                <c:pt idx="3">
                  <c:v>2034-2038</c:v>
                </c:pt>
                <c:pt idx="4">
                  <c:v>2039-2043</c:v>
                </c:pt>
                <c:pt idx="5">
                  <c:v>2044-2048</c:v>
                </c:pt>
                <c:pt idx="6">
                  <c:v>2049-2053</c:v>
                </c:pt>
                <c:pt idx="7">
                  <c:v>2054-2058</c:v>
                </c:pt>
                <c:pt idx="8">
                  <c:v>2059-2063</c:v>
                </c:pt>
                <c:pt idx="9">
                  <c:v>2064-2068</c:v>
                </c:pt>
                <c:pt idx="10">
                  <c:v>2069-2073</c:v>
                </c:pt>
                <c:pt idx="11">
                  <c:v>2074-2078</c:v>
                </c:pt>
                <c:pt idx="12">
                  <c:v>2079-2083</c:v>
                </c:pt>
                <c:pt idx="13">
                  <c:v>2084-2088</c:v>
                </c:pt>
                <c:pt idx="14">
                  <c:v>2089-2093</c:v>
                </c:pt>
                <c:pt idx="15">
                  <c:v>2094-2098</c:v>
                </c:pt>
                <c:pt idx="16">
                  <c:v>2099-2103</c:v>
                </c:pt>
                <c:pt idx="17">
                  <c:v>2104-2108</c:v>
                </c:pt>
                <c:pt idx="18">
                  <c:v>2109-2113</c:v>
                </c:pt>
                <c:pt idx="19">
                  <c:v>2114-2118</c:v>
                </c:pt>
                <c:pt idx="20">
                  <c:v>2119-2123</c:v>
                </c:pt>
                <c:pt idx="21">
                  <c:v>2124-2128</c:v>
                </c:pt>
                <c:pt idx="22">
                  <c:v>2129-2133</c:v>
                </c:pt>
                <c:pt idx="23">
                  <c:v>2134-2138</c:v>
                </c:pt>
                <c:pt idx="24">
                  <c:v>2139-2143</c:v>
                </c:pt>
                <c:pt idx="25">
                  <c:v>2144-2148</c:v>
                </c:pt>
                <c:pt idx="26">
                  <c:v>2149-2152</c:v>
                </c:pt>
                <c:pt idx="27">
                  <c:v>-</c:v>
                </c:pt>
                <c:pt idx="28">
                  <c:v>#VALUE!</c:v>
                </c:pt>
                <c:pt idx="29">
                  <c:v>#VALUE!</c:v>
                </c:pt>
                <c:pt idx="30">
                  <c:v>#VALUE!</c:v>
                </c:pt>
                <c:pt idx="31">
                  <c:v>#VALUE!</c:v>
                </c:pt>
                <c:pt idx="32">
                  <c:v>#VALUE!</c:v>
                </c:pt>
                <c:pt idx="33">
                  <c:v>#VALUE!</c:v>
                </c:pt>
                <c:pt idx="34">
                  <c:v>#VALUE!</c:v>
                </c:pt>
                <c:pt idx="35">
                  <c:v>#VALUE!</c:v>
                </c:pt>
                <c:pt idx="36">
                  <c:v>#VALUE!</c:v>
                </c:pt>
                <c:pt idx="37">
                  <c:v>#VALUE!</c:v>
                </c:pt>
                <c:pt idx="38">
                  <c:v>#VALUE!</c:v>
                </c:pt>
                <c:pt idx="39">
                  <c:v>#VALUE!</c:v>
                </c:pt>
                <c:pt idx="40">
                  <c:v>#VALUE!</c:v>
                </c:pt>
                <c:pt idx="41">
                  <c:v>#VALUE!</c:v>
                </c:pt>
                <c:pt idx="42">
                  <c:v>#VALUE!</c:v>
                </c:pt>
                <c:pt idx="43">
                  <c:v>#VALUE!</c:v>
                </c:pt>
                <c:pt idx="44">
                  <c:v>#VALUE!</c:v>
                </c:pt>
                <c:pt idx="45">
                  <c:v>#VALUE!</c:v>
                </c:pt>
                <c:pt idx="46">
                  <c:v>#VALUE!</c:v>
                </c:pt>
                <c:pt idx="47">
                  <c:v>#VALUE!</c:v>
                </c:pt>
                <c:pt idx="48">
                  <c:v>#VALUE!</c:v>
                </c:pt>
                <c:pt idx="49">
                  <c:v>#VALUE!</c:v>
                </c:pt>
                <c:pt idx="50">
                  <c:v>#VALUE!</c:v>
                </c:pt>
                <c:pt idx="51">
                  <c:v>#VALUE!</c:v>
                </c:pt>
                <c:pt idx="52">
                  <c:v>#VALUE!</c:v>
                </c:pt>
                <c:pt idx="53">
                  <c:v>#VALUE!</c:v>
                </c:pt>
                <c:pt idx="54">
                  <c:v>#VALUE!</c:v>
                </c:pt>
                <c:pt idx="55">
                  <c:v>#VALUE!</c:v>
                </c:pt>
                <c:pt idx="56">
                  <c:v>#VALUE!</c:v>
                </c:pt>
                <c:pt idx="57">
                  <c:v>#VALUE!</c:v>
                </c:pt>
                <c:pt idx="58">
                  <c:v>#VALUE!</c:v>
                </c:pt>
                <c:pt idx="59">
                  <c:v>#VALUE!</c:v>
                </c:pt>
                <c:pt idx="60">
                  <c:v>#VALUE!</c:v>
                </c:pt>
                <c:pt idx="61">
                  <c:v>#VALUE!</c:v>
                </c:pt>
                <c:pt idx="62">
                  <c:v>#VALUE!</c:v>
                </c:pt>
                <c:pt idx="63">
                  <c:v>#VALUE!</c:v>
                </c:pt>
                <c:pt idx="64">
                  <c:v>#VALUE!</c:v>
                </c:pt>
                <c:pt idx="65">
                  <c:v>#VALUE!</c:v>
                </c:pt>
                <c:pt idx="66">
                  <c:v>#VALUE!</c:v>
                </c:pt>
                <c:pt idx="67">
                  <c:v>#VALUE!</c:v>
                </c:pt>
                <c:pt idx="68">
                  <c:v>#VALUE!</c:v>
                </c:pt>
                <c:pt idx="69">
                  <c:v>#VALUE!</c:v>
                </c:pt>
                <c:pt idx="70">
                  <c:v>#VALUE!</c:v>
                </c:pt>
                <c:pt idx="71">
                  <c:v>#VALUE!</c:v>
                </c:pt>
                <c:pt idx="72">
                  <c:v>#VALUE!</c:v>
                </c:pt>
                <c:pt idx="73">
                  <c:v>#VALUE!</c:v>
                </c:pt>
                <c:pt idx="74">
                  <c:v>#VALUE!</c:v>
                </c:pt>
                <c:pt idx="75">
                  <c:v>#VALUE!</c:v>
                </c:pt>
                <c:pt idx="76">
                  <c:v>#VALUE!</c:v>
                </c:pt>
                <c:pt idx="77">
                  <c:v>#VALUE!</c:v>
                </c:pt>
                <c:pt idx="78">
                  <c:v>#VALUE!</c:v>
                </c:pt>
                <c:pt idx="79">
                  <c:v>#VALUE!</c:v>
                </c:pt>
                <c:pt idx="80">
                  <c:v>#VALUE!</c:v>
                </c:pt>
                <c:pt idx="81">
                  <c:v>#VALUE!</c:v>
                </c:pt>
                <c:pt idx="82">
                  <c:v>#VALUE!</c:v>
                </c:pt>
                <c:pt idx="83">
                  <c:v>#VALUE!</c:v>
                </c:pt>
                <c:pt idx="84">
                  <c:v>#VALUE!</c:v>
                </c:pt>
                <c:pt idx="85">
                  <c:v>#VALUE!</c:v>
                </c:pt>
                <c:pt idx="86">
                  <c:v>#VALUE!</c:v>
                </c:pt>
                <c:pt idx="87">
                  <c:v>#VALUE!</c:v>
                </c:pt>
                <c:pt idx="88">
                  <c:v>#VALUE!</c:v>
                </c:pt>
                <c:pt idx="89">
                  <c:v>#VALUE!</c:v>
                </c:pt>
                <c:pt idx="90">
                  <c:v>#VALUE!</c:v>
                </c:pt>
                <c:pt idx="91">
                  <c:v>#VALUE!</c:v>
                </c:pt>
                <c:pt idx="92">
                  <c:v>#VALUE!</c:v>
                </c:pt>
                <c:pt idx="93">
                  <c:v>#VALUE!</c:v>
                </c:pt>
                <c:pt idx="94">
                  <c:v>#VALUE!</c:v>
                </c:pt>
                <c:pt idx="95">
                  <c:v>#VALUE!</c:v>
                </c:pt>
                <c:pt idx="96">
                  <c:v>#VALUE!</c:v>
                </c:pt>
                <c:pt idx="97">
                  <c:v>#VALUE!</c:v>
                </c:pt>
                <c:pt idx="98">
                  <c:v>#VALUE!</c:v>
                </c:pt>
                <c:pt idx="99">
                  <c:v>#VALUE!</c:v>
                </c:pt>
                <c:pt idx="100">
                  <c:v>#VALUE!</c:v>
                </c:pt>
                <c:pt idx="101">
                  <c:v>#VALUE!</c:v>
                </c:pt>
                <c:pt idx="102">
                  <c:v>#VALUE!</c:v>
                </c:pt>
                <c:pt idx="103">
                  <c:v>#VALUE!</c:v>
                </c:pt>
                <c:pt idx="104">
                  <c:v>#VALUE!</c:v>
                </c:pt>
                <c:pt idx="105">
                  <c:v>#VALUE!</c:v>
                </c:pt>
                <c:pt idx="106">
                  <c:v>#VALUE!</c:v>
                </c:pt>
                <c:pt idx="107">
                  <c:v>#VALUE!</c:v>
                </c:pt>
                <c:pt idx="108">
                  <c:v>#VALUE!</c:v>
                </c:pt>
                <c:pt idx="109">
                  <c:v>#VALUE!</c:v>
                </c:pt>
                <c:pt idx="110">
                  <c:v>#VALUE!</c:v>
                </c:pt>
                <c:pt idx="111">
                  <c:v>#VALUE!</c:v>
                </c:pt>
                <c:pt idx="112">
                  <c:v>#VALUE!</c:v>
                </c:pt>
                <c:pt idx="113">
                  <c:v>#VALUE!</c:v>
                </c:pt>
                <c:pt idx="114">
                  <c:v>#VALUE!</c:v>
                </c:pt>
                <c:pt idx="115">
                  <c:v>#VALUE!</c:v>
                </c:pt>
                <c:pt idx="116">
                  <c:v>#VALUE!</c:v>
                </c:pt>
                <c:pt idx="117">
                  <c:v>#VALUE!</c:v>
                </c:pt>
                <c:pt idx="118">
                  <c:v>#VALUE!</c:v>
                </c:pt>
                <c:pt idx="119">
                  <c:v>#VALUE!</c:v>
                </c:pt>
                <c:pt idx="120">
                  <c:v>#VALUE!</c:v>
                </c:pt>
                <c:pt idx="121">
                  <c:v>#VALUE!</c:v>
                </c:pt>
                <c:pt idx="122">
                  <c:v>#VALUE!</c:v>
                </c:pt>
                <c:pt idx="123">
                  <c:v>#VALUE!</c:v>
                </c:pt>
                <c:pt idx="124">
                  <c:v>#VALUE!</c:v>
                </c:pt>
                <c:pt idx="125">
                  <c:v>#VALUE!</c:v>
                </c:pt>
                <c:pt idx="126">
                  <c:v>#VALUE!</c:v>
                </c:pt>
                <c:pt idx="127">
                  <c:v>#VALUE!</c:v>
                </c:pt>
                <c:pt idx="128">
                  <c:v>#VALUE!</c:v>
                </c:pt>
                <c:pt idx="129">
                  <c:v>#VALUE!</c:v>
                </c:pt>
                <c:pt idx="130">
                  <c:v>#VALUE!</c:v>
                </c:pt>
                <c:pt idx="131">
                  <c:v>#VALUE!</c:v>
                </c:pt>
                <c:pt idx="132">
                  <c:v>#VALUE!</c:v>
                </c:pt>
                <c:pt idx="133">
                  <c:v>#VALUE!</c:v>
                </c:pt>
              </c:strCache>
            </c:strRef>
          </c:cat>
          <c:val>
            <c:numRef>
              <c:f>'Koszt postępowania z odpadami'!$H$164:$AH$164</c:f>
              <c:numCache>
                <c:formatCode>0.0</c:formatCode>
                <c:ptCount val="27"/>
                <c:pt idx="0">
                  <c:v>54.089697518093011</c:v>
                </c:pt>
                <c:pt idx="1">
                  <c:v>46.65824822378935</c:v>
                </c:pt>
                <c:pt idx="2">
                  <c:v>40.247814781817517</c:v>
                </c:pt>
                <c:pt idx="3">
                  <c:v>34.718118583062591</c:v>
                </c:pt>
                <c:pt idx="4">
                  <c:v>29.948154067040878</c:v>
                </c:pt>
                <c:pt idx="5">
                  <c:v>25.83354077431979</c:v>
                </c:pt>
                <c:pt idx="6">
                  <c:v>22.28423920367473</c:v>
                </c:pt>
                <c:pt idx="7">
                  <c:v>19.222580490407793</c:v>
                </c:pt>
                <c:pt idx="8">
                  <c:v>16.581566789557414</c:v>
                </c:pt>
                <c:pt idx="9">
                  <c:v>14.303405171524947</c:v>
                </c:pt>
                <c:pt idx="10">
                  <c:v>12.3382429475633</c:v>
                </c:pt>
                <c:pt idx="11">
                  <c:v>10.643076750434062</c:v>
                </c:pt>
                <c:pt idx="12">
                  <c:v>9.1808114977992883</c:v>
                </c:pt>
                <c:pt idx="13">
                  <c:v>7.9194486457768001</c:v>
                </c:pt>
                <c:pt idx="14">
                  <c:v>6.8313859693263401</c:v>
                </c:pt>
                <c:pt idx="15">
                  <c:v>5.8928135466596281</c:v>
                </c:pt>
                <c:pt idx="16">
                  <c:v>5.083192730086596</c:v>
                </c:pt>
                <c:pt idx="17">
                  <c:v>4.3848067016904189</c:v>
                </c:pt>
                <c:pt idx="18">
                  <c:v>3.7823727787047075</c:v>
                </c:pt>
                <c:pt idx="19">
                  <c:v>3.2627079847262208</c:v>
                </c:pt>
                <c:pt idx="20">
                  <c:v>2.8144405685051916</c:v>
                </c:pt>
                <c:pt idx="21">
                  <c:v>2.4277611575197384</c:v>
                </c:pt>
                <c:pt idx="22">
                  <c:v>2.0942081008631925</c:v>
                </c:pt>
                <c:pt idx="23">
                  <c:v>1.8064823041330675</c:v>
                </c:pt>
                <c:pt idx="24">
                  <c:v>1.5582875043797291</c:v>
                </c:pt>
                <c:pt idx="25">
                  <c:v>1.3441924898740309</c:v>
                </c:pt>
                <c:pt idx="26">
                  <c:v>0.94111281684852122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29-4176-95E1-C9D9BB52EFB7}"/>
            </c:ext>
          </c:extLst>
        </c:ser>
        <c:ser>
          <c:idx val="2"/>
          <c:order val="3"/>
          <c:tx>
            <c:strRef>
              <c:f>'Koszt postępowania z odpadami'!$B$163</c:f>
              <c:strCache>
                <c:ptCount val="1"/>
                <c:pt idx="0">
                  <c:v>Postępowanie z odpadami wysokoaktywnymi i wypalonym paliwem jądrowym</c:v>
                </c:pt>
              </c:strCache>
            </c:strRef>
          </c:tx>
          <c:spPr>
            <a:solidFill>
              <a:schemeClr val="accent3"/>
            </a:solidFill>
            <a:ln w="6350">
              <a:solidFill>
                <a:schemeClr val="tx1"/>
              </a:solidFill>
            </a:ln>
            <a:effectLst/>
          </c:spPr>
          <c:invertIfNegative val="0"/>
          <c:cat>
            <c:strRef>
              <c:f>'Koszt postępowania z odpadami'!$H$156:$EK$156</c:f>
              <c:strCache>
                <c:ptCount val="134"/>
                <c:pt idx="0">
                  <c:v>2019-2023</c:v>
                </c:pt>
                <c:pt idx="1">
                  <c:v>2024-2028</c:v>
                </c:pt>
                <c:pt idx="2">
                  <c:v>2029-2033</c:v>
                </c:pt>
                <c:pt idx="3">
                  <c:v>2034-2038</c:v>
                </c:pt>
                <c:pt idx="4">
                  <c:v>2039-2043</c:v>
                </c:pt>
                <c:pt idx="5">
                  <c:v>2044-2048</c:v>
                </c:pt>
                <c:pt idx="6">
                  <c:v>2049-2053</c:v>
                </c:pt>
                <c:pt idx="7">
                  <c:v>2054-2058</c:v>
                </c:pt>
                <c:pt idx="8">
                  <c:v>2059-2063</c:v>
                </c:pt>
                <c:pt idx="9">
                  <c:v>2064-2068</c:v>
                </c:pt>
                <c:pt idx="10">
                  <c:v>2069-2073</c:v>
                </c:pt>
                <c:pt idx="11">
                  <c:v>2074-2078</c:v>
                </c:pt>
                <c:pt idx="12">
                  <c:v>2079-2083</c:v>
                </c:pt>
                <c:pt idx="13">
                  <c:v>2084-2088</c:v>
                </c:pt>
                <c:pt idx="14">
                  <c:v>2089-2093</c:v>
                </c:pt>
                <c:pt idx="15">
                  <c:v>2094-2098</c:v>
                </c:pt>
                <c:pt idx="16">
                  <c:v>2099-2103</c:v>
                </c:pt>
                <c:pt idx="17">
                  <c:v>2104-2108</c:v>
                </c:pt>
                <c:pt idx="18">
                  <c:v>2109-2113</c:v>
                </c:pt>
                <c:pt idx="19">
                  <c:v>2114-2118</c:v>
                </c:pt>
                <c:pt idx="20">
                  <c:v>2119-2123</c:v>
                </c:pt>
                <c:pt idx="21">
                  <c:v>2124-2128</c:v>
                </c:pt>
                <c:pt idx="22">
                  <c:v>2129-2133</c:v>
                </c:pt>
                <c:pt idx="23">
                  <c:v>2134-2138</c:v>
                </c:pt>
                <c:pt idx="24">
                  <c:v>2139-2143</c:v>
                </c:pt>
                <c:pt idx="25">
                  <c:v>2144-2148</c:v>
                </c:pt>
                <c:pt idx="26">
                  <c:v>2149-2152</c:v>
                </c:pt>
                <c:pt idx="27">
                  <c:v>-</c:v>
                </c:pt>
                <c:pt idx="28">
                  <c:v>#VALUE!</c:v>
                </c:pt>
                <c:pt idx="29">
                  <c:v>#VALUE!</c:v>
                </c:pt>
                <c:pt idx="30">
                  <c:v>#VALUE!</c:v>
                </c:pt>
                <c:pt idx="31">
                  <c:v>#VALUE!</c:v>
                </c:pt>
                <c:pt idx="32">
                  <c:v>#VALUE!</c:v>
                </c:pt>
                <c:pt idx="33">
                  <c:v>#VALUE!</c:v>
                </c:pt>
                <c:pt idx="34">
                  <c:v>#VALUE!</c:v>
                </c:pt>
                <c:pt idx="35">
                  <c:v>#VALUE!</c:v>
                </c:pt>
                <c:pt idx="36">
                  <c:v>#VALUE!</c:v>
                </c:pt>
                <c:pt idx="37">
                  <c:v>#VALUE!</c:v>
                </c:pt>
                <c:pt idx="38">
                  <c:v>#VALUE!</c:v>
                </c:pt>
                <c:pt idx="39">
                  <c:v>#VALUE!</c:v>
                </c:pt>
                <c:pt idx="40">
                  <c:v>#VALUE!</c:v>
                </c:pt>
                <c:pt idx="41">
                  <c:v>#VALUE!</c:v>
                </c:pt>
                <c:pt idx="42">
                  <c:v>#VALUE!</c:v>
                </c:pt>
                <c:pt idx="43">
                  <c:v>#VALUE!</c:v>
                </c:pt>
                <c:pt idx="44">
                  <c:v>#VALUE!</c:v>
                </c:pt>
                <c:pt idx="45">
                  <c:v>#VALUE!</c:v>
                </c:pt>
                <c:pt idx="46">
                  <c:v>#VALUE!</c:v>
                </c:pt>
                <c:pt idx="47">
                  <c:v>#VALUE!</c:v>
                </c:pt>
                <c:pt idx="48">
                  <c:v>#VALUE!</c:v>
                </c:pt>
                <c:pt idx="49">
                  <c:v>#VALUE!</c:v>
                </c:pt>
                <c:pt idx="50">
                  <c:v>#VALUE!</c:v>
                </c:pt>
                <c:pt idx="51">
                  <c:v>#VALUE!</c:v>
                </c:pt>
                <c:pt idx="52">
                  <c:v>#VALUE!</c:v>
                </c:pt>
                <c:pt idx="53">
                  <c:v>#VALUE!</c:v>
                </c:pt>
                <c:pt idx="54">
                  <c:v>#VALUE!</c:v>
                </c:pt>
                <c:pt idx="55">
                  <c:v>#VALUE!</c:v>
                </c:pt>
                <c:pt idx="56">
                  <c:v>#VALUE!</c:v>
                </c:pt>
                <c:pt idx="57">
                  <c:v>#VALUE!</c:v>
                </c:pt>
                <c:pt idx="58">
                  <c:v>#VALUE!</c:v>
                </c:pt>
                <c:pt idx="59">
                  <c:v>#VALUE!</c:v>
                </c:pt>
                <c:pt idx="60">
                  <c:v>#VALUE!</c:v>
                </c:pt>
                <c:pt idx="61">
                  <c:v>#VALUE!</c:v>
                </c:pt>
                <c:pt idx="62">
                  <c:v>#VALUE!</c:v>
                </c:pt>
                <c:pt idx="63">
                  <c:v>#VALUE!</c:v>
                </c:pt>
                <c:pt idx="64">
                  <c:v>#VALUE!</c:v>
                </c:pt>
                <c:pt idx="65">
                  <c:v>#VALUE!</c:v>
                </c:pt>
                <c:pt idx="66">
                  <c:v>#VALUE!</c:v>
                </c:pt>
                <c:pt idx="67">
                  <c:v>#VALUE!</c:v>
                </c:pt>
                <c:pt idx="68">
                  <c:v>#VALUE!</c:v>
                </c:pt>
                <c:pt idx="69">
                  <c:v>#VALUE!</c:v>
                </c:pt>
                <c:pt idx="70">
                  <c:v>#VALUE!</c:v>
                </c:pt>
                <c:pt idx="71">
                  <c:v>#VALUE!</c:v>
                </c:pt>
                <c:pt idx="72">
                  <c:v>#VALUE!</c:v>
                </c:pt>
                <c:pt idx="73">
                  <c:v>#VALUE!</c:v>
                </c:pt>
                <c:pt idx="74">
                  <c:v>#VALUE!</c:v>
                </c:pt>
                <c:pt idx="75">
                  <c:v>#VALUE!</c:v>
                </c:pt>
                <c:pt idx="76">
                  <c:v>#VALUE!</c:v>
                </c:pt>
                <c:pt idx="77">
                  <c:v>#VALUE!</c:v>
                </c:pt>
                <c:pt idx="78">
                  <c:v>#VALUE!</c:v>
                </c:pt>
                <c:pt idx="79">
                  <c:v>#VALUE!</c:v>
                </c:pt>
                <c:pt idx="80">
                  <c:v>#VALUE!</c:v>
                </c:pt>
                <c:pt idx="81">
                  <c:v>#VALUE!</c:v>
                </c:pt>
                <c:pt idx="82">
                  <c:v>#VALUE!</c:v>
                </c:pt>
                <c:pt idx="83">
                  <c:v>#VALUE!</c:v>
                </c:pt>
                <c:pt idx="84">
                  <c:v>#VALUE!</c:v>
                </c:pt>
                <c:pt idx="85">
                  <c:v>#VALUE!</c:v>
                </c:pt>
                <c:pt idx="86">
                  <c:v>#VALUE!</c:v>
                </c:pt>
                <c:pt idx="87">
                  <c:v>#VALUE!</c:v>
                </c:pt>
                <c:pt idx="88">
                  <c:v>#VALUE!</c:v>
                </c:pt>
                <c:pt idx="89">
                  <c:v>#VALUE!</c:v>
                </c:pt>
                <c:pt idx="90">
                  <c:v>#VALUE!</c:v>
                </c:pt>
                <c:pt idx="91">
                  <c:v>#VALUE!</c:v>
                </c:pt>
                <c:pt idx="92">
                  <c:v>#VALUE!</c:v>
                </c:pt>
                <c:pt idx="93">
                  <c:v>#VALUE!</c:v>
                </c:pt>
                <c:pt idx="94">
                  <c:v>#VALUE!</c:v>
                </c:pt>
                <c:pt idx="95">
                  <c:v>#VALUE!</c:v>
                </c:pt>
                <c:pt idx="96">
                  <c:v>#VALUE!</c:v>
                </c:pt>
                <c:pt idx="97">
                  <c:v>#VALUE!</c:v>
                </c:pt>
                <c:pt idx="98">
                  <c:v>#VALUE!</c:v>
                </c:pt>
                <c:pt idx="99">
                  <c:v>#VALUE!</c:v>
                </c:pt>
                <c:pt idx="100">
                  <c:v>#VALUE!</c:v>
                </c:pt>
                <c:pt idx="101">
                  <c:v>#VALUE!</c:v>
                </c:pt>
                <c:pt idx="102">
                  <c:v>#VALUE!</c:v>
                </c:pt>
                <c:pt idx="103">
                  <c:v>#VALUE!</c:v>
                </c:pt>
                <c:pt idx="104">
                  <c:v>#VALUE!</c:v>
                </c:pt>
                <c:pt idx="105">
                  <c:v>#VALUE!</c:v>
                </c:pt>
                <c:pt idx="106">
                  <c:v>#VALUE!</c:v>
                </c:pt>
                <c:pt idx="107">
                  <c:v>#VALUE!</c:v>
                </c:pt>
                <c:pt idx="108">
                  <c:v>#VALUE!</c:v>
                </c:pt>
                <c:pt idx="109">
                  <c:v>#VALUE!</c:v>
                </c:pt>
                <c:pt idx="110">
                  <c:v>#VALUE!</c:v>
                </c:pt>
                <c:pt idx="111">
                  <c:v>#VALUE!</c:v>
                </c:pt>
                <c:pt idx="112">
                  <c:v>#VALUE!</c:v>
                </c:pt>
                <c:pt idx="113">
                  <c:v>#VALUE!</c:v>
                </c:pt>
                <c:pt idx="114">
                  <c:v>#VALUE!</c:v>
                </c:pt>
                <c:pt idx="115">
                  <c:v>#VALUE!</c:v>
                </c:pt>
                <c:pt idx="116">
                  <c:v>#VALUE!</c:v>
                </c:pt>
                <c:pt idx="117">
                  <c:v>#VALUE!</c:v>
                </c:pt>
                <c:pt idx="118">
                  <c:v>#VALUE!</c:v>
                </c:pt>
                <c:pt idx="119">
                  <c:v>#VALUE!</c:v>
                </c:pt>
                <c:pt idx="120">
                  <c:v>#VALUE!</c:v>
                </c:pt>
                <c:pt idx="121">
                  <c:v>#VALUE!</c:v>
                </c:pt>
                <c:pt idx="122">
                  <c:v>#VALUE!</c:v>
                </c:pt>
                <c:pt idx="123">
                  <c:v>#VALUE!</c:v>
                </c:pt>
                <c:pt idx="124">
                  <c:v>#VALUE!</c:v>
                </c:pt>
                <c:pt idx="125">
                  <c:v>#VALUE!</c:v>
                </c:pt>
                <c:pt idx="126">
                  <c:v>#VALUE!</c:v>
                </c:pt>
                <c:pt idx="127">
                  <c:v>#VALUE!</c:v>
                </c:pt>
                <c:pt idx="128">
                  <c:v>#VALUE!</c:v>
                </c:pt>
                <c:pt idx="129">
                  <c:v>#VALUE!</c:v>
                </c:pt>
                <c:pt idx="130">
                  <c:v>#VALUE!</c:v>
                </c:pt>
                <c:pt idx="131">
                  <c:v>#VALUE!</c:v>
                </c:pt>
                <c:pt idx="132">
                  <c:v>#VALUE!</c:v>
                </c:pt>
                <c:pt idx="133">
                  <c:v>#VALUE!</c:v>
                </c:pt>
              </c:strCache>
            </c:strRef>
          </c:cat>
          <c:val>
            <c:numRef>
              <c:f>'Koszt postępowania z odpadami'!$H$163:$AH$163</c:f>
              <c:numCache>
                <c:formatCode>0.0</c:formatCode>
                <c:ptCount val="27"/>
                <c:pt idx="0">
                  <c:v>457.97071871945343</c:v>
                </c:pt>
                <c:pt idx="1">
                  <c:v>395.04956495812962</c:v>
                </c:pt>
                <c:pt idx="2">
                  <c:v>470.15734397806204</c:v>
                </c:pt>
                <c:pt idx="3">
                  <c:v>1231.4641458042279</c:v>
                </c:pt>
                <c:pt idx="4">
                  <c:v>1275.8300813775395</c:v>
                </c:pt>
                <c:pt idx="5">
                  <c:v>1100.5269143983824</c:v>
                </c:pt>
                <c:pt idx="6">
                  <c:v>839.49194556662633</c:v>
                </c:pt>
                <c:pt idx="7">
                  <c:v>656.15159046503163</c:v>
                </c:pt>
                <c:pt idx="8">
                  <c:v>566.00212582277686</c:v>
                </c:pt>
                <c:pt idx="9">
                  <c:v>488.23840571483822</c:v>
                </c:pt>
                <c:pt idx="10">
                  <c:v>421.15873764333895</c:v>
                </c:pt>
                <c:pt idx="11">
                  <c:v>363.29522671128967</c:v>
                </c:pt>
                <c:pt idx="12">
                  <c:v>313.38165388599487</c:v>
                </c:pt>
                <c:pt idx="13">
                  <c:v>244.09582649297926</c:v>
                </c:pt>
                <c:pt idx="14">
                  <c:v>149.06879634906608</c:v>
                </c:pt>
                <c:pt idx="15">
                  <c:v>42.021260831165939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829-4176-95E1-C9D9BB52EFB7}"/>
            </c:ext>
          </c:extLst>
        </c:ser>
        <c:ser>
          <c:idx val="4"/>
          <c:order val="4"/>
          <c:tx>
            <c:v>Koszt budowy, eksploatacji, monitoringu i zamknięcia składowisk*</c:v>
          </c:tx>
          <c:spPr>
            <a:solidFill>
              <a:schemeClr val="accent5"/>
            </a:solidFill>
            <a:ln>
              <a:solidFill>
                <a:srgbClr val="000000"/>
              </a:solidFill>
            </a:ln>
            <a:effectLst/>
          </c:spPr>
          <c:invertIfNegative val="0"/>
          <c:val>
            <c:numRef>
              <c:f>'Koszty składowisk'!$K$228:$AK$228</c:f>
              <c:numCache>
                <c:formatCode>0.0</c:formatCode>
                <c:ptCount val="27"/>
                <c:pt idx="0">
                  <c:v>17.240766700156517</c:v>
                </c:pt>
                <c:pt idx="1">
                  <c:v>96.78850514369627</c:v>
                </c:pt>
                <c:pt idx="2">
                  <c:v>159.38559355869074</c:v>
                </c:pt>
                <c:pt idx="3">
                  <c:v>225.18074978458668</c:v>
                </c:pt>
                <c:pt idx="4">
                  <c:v>187.97859124390257</c:v>
                </c:pt>
                <c:pt idx="5">
                  <c:v>558.91325918956557</c:v>
                </c:pt>
                <c:pt idx="6">
                  <c:v>482.12348708570232</c:v>
                </c:pt>
                <c:pt idx="7">
                  <c:v>415.88395511805192</c:v>
                </c:pt>
                <c:pt idx="8">
                  <c:v>604.71960969630823</c:v>
                </c:pt>
                <c:pt idx="9">
                  <c:v>521.63644741339863</c:v>
                </c:pt>
                <c:pt idx="10">
                  <c:v>449.96818179374571</c:v>
                </c:pt>
                <c:pt idx="11">
                  <c:v>388.14650630865549</c:v>
                </c:pt>
                <c:pt idx="12">
                  <c:v>253.5606620543451</c:v>
                </c:pt>
                <c:pt idx="13">
                  <c:v>84.071460247155471</c:v>
                </c:pt>
                <c:pt idx="14">
                  <c:v>72.520780125200346</c:v>
                </c:pt>
                <c:pt idx="15">
                  <c:v>62.557061986390309</c:v>
                </c:pt>
                <c:pt idx="16">
                  <c:v>53.962271194724948</c:v>
                </c:pt>
                <c:pt idx="17">
                  <c:v>46.548329157890286</c:v>
                </c:pt>
                <c:pt idx="18">
                  <c:v>40.152997630001678</c:v>
                </c:pt>
                <c:pt idx="19">
                  <c:v>34.63632847499597</c:v>
                </c:pt>
                <c:pt idx="20">
                  <c:v>29.877601201346881</c:v>
                </c:pt>
                <c:pt idx="21">
                  <c:v>25.77268125260867</c:v>
                </c:pt>
                <c:pt idx="22">
                  <c:v>21.0339812283542</c:v>
                </c:pt>
                <c:pt idx="23">
                  <c:v>16.475132650408806</c:v>
                </c:pt>
                <c:pt idx="24">
                  <c:v>14.211594148136991</c:v>
                </c:pt>
                <c:pt idx="25">
                  <c:v>12.259045952285552</c:v>
                </c:pt>
                <c:pt idx="26">
                  <c:v>3.0356492906729597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829-4176-95E1-C9D9BB52EFB7}"/>
            </c:ext>
          </c:extLst>
        </c:ser>
        <c:ser>
          <c:idx val="5"/>
          <c:order val="5"/>
          <c:tx>
            <c:v>Koszt likwidacji elektrowni jądrowych</c:v>
          </c:tx>
          <c:spPr>
            <a:solidFill>
              <a:srgbClr val="646464">
                <a:lumMod val="75000"/>
              </a:srgbClr>
            </a:solidFill>
            <a:ln>
              <a:solidFill>
                <a:srgbClr val="000000"/>
              </a:solidFill>
            </a:ln>
            <a:effectLst/>
          </c:spPr>
          <c:invertIfNegative val="0"/>
          <c:val>
            <c:numRef>
              <c:f>'Koszt postępowania z odpadami'!$H$194:$AH$194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159.88390874188028</c:v>
                </c:pt>
                <c:pt idx="17">
                  <c:v>175.02073822115213</c:v>
                </c:pt>
                <c:pt idx="18">
                  <c:v>150.97442623896706</c:v>
                </c:pt>
                <c:pt idx="19">
                  <c:v>130.23186629109202</c:v>
                </c:pt>
                <c:pt idx="20">
                  <c:v>112.33915186943989</c:v>
                </c:pt>
                <c:pt idx="21">
                  <c:v>96.9047392328455</c:v>
                </c:pt>
                <c:pt idx="22">
                  <c:v>83.590879310709298</c:v>
                </c:pt>
                <c:pt idx="23">
                  <c:v>15.28614004423876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829-4176-95E1-C9D9BB52EFB7}"/>
            </c:ext>
          </c:extLst>
        </c:ser>
        <c:ser>
          <c:idx val="6"/>
          <c:order val="6"/>
          <c:tx>
            <c:v>Koszt likwidacji reaktora MARIA</c:v>
          </c:tx>
          <c:spPr>
            <a:solidFill>
              <a:srgbClr val="C893C7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val>
            <c:numRef>
              <c:f>'Koszt postępowania z odpadami'!$H$195:$AH$195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0.56076104485797462</c:v>
                </c:pt>
                <c:pt idx="7">
                  <c:v>0.83086524553844621</c:v>
                </c:pt>
                <c:pt idx="8">
                  <c:v>0.71671165944096904</c:v>
                </c:pt>
                <c:pt idx="9">
                  <c:v>0.61824177330433117</c:v>
                </c:pt>
                <c:pt idx="10">
                  <c:v>0.2228209900955028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829-4176-95E1-C9D9BB52EF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7775880"/>
        <c:axId val="417776272"/>
      </c:barChart>
      <c:catAx>
        <c:axId val="417775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7776272"/>
        <c:crosses val="autoZero"/>
        <c:auto val="1"/>
        <c:lblAlgn val="ctr"/>
        <c:lblOffset val="100"/>
        <c:noMultiLvlLbl val="0"/>
      </c:catAx>
      <c:valAx>
        <c:axId val="41777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7775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473178379663609E-2"/>
          <c:y val="0.7284113754397723"/>
          <c:w val="0.92040566957737391"/>
          <c:h val="0.247830719132182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6711052479696582"/>
          <c:y val="9.0050107372942029E-2"/>
          <c:w val="0.27593236197171239"/>
          <c:h val="0.57245377385678042"/>
        </c:manualLayout>
      </c:layout>
      <c:pieChart>
        <c:varyColors val="1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rgbClr val="FFE600"/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F2-4C38-8811-98BB676B6928}"/>
              </c:ext>
            </c:extLst>
          </c:dPt>
          <c:dPt>
            <c:idx val="1"/>
            <c:bubble3D val="0"/>
            <c:spPr>
              <a:solidFill>
                <a:srgbClr val="717171"/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F2-4C38-8811-98BB676B6928}"/>
              </c:ext>
            </c:extLst>
          </c:dPt>
          <c:dPt>
            <c:idx val="3"/>
            <c:bubble3D val="0"/>
            <c:spPr>
              <a:solidFill>
                <a:schemeClr val="accent6">
                  <a:lumMod val="50000"/>
                </a:scheme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F2-4C38-8811-98BB676B6928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DF2-4C38-8811-98BB676B6928}"/>
              </c:ext>
            </c:extLst>
          </c:dPt>
          <c:dPt>
            <c:idx val="7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DF2-4C38-8811-98BB676B6928}"/>
              </c:ext>
            </c:extLst>
          </c:dPt>
          <c:dLbls>
            <c:dLbl>
              <c:idx val="1"/>
              <c:layout>
                <c:manualLayout>
                  <c:x val="-6.6364886155677164E-2"/>
                  <c:y val="-6.67697942715838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DF2-4C38-8811-98BB676B692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3776301238011078E-3"/>
                  <c:y val="1.180637544273907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DF2-4C38-8811-98BB676B692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DF2-4C38-8811-98BB676B692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Podsumowanie!$H$84:$H$87</c:f>
              <c:strCache>
                <c:ptCount val="4"/>
                <c:pt idx="0">
                  <c:v>Podmioty odpowiedzialne za składowiska odpadów promieniotwórczych (sektor publiczny)</c:v>
                </c:pt>
                <c:pt idx="1">
                  <c:v>NCBJ</c:v>
                </c:pt>
                <c:pt idx="2">
                  <c:v>Operator elektrowni jądrowych</c:v>
                </c:pt>
                <c:pt idx="3">
                  <c:v>Podmioty z branży medycznej, przemysłowej i naukowej (poza NCBJ)</c:v>
                </c:pt>
              </c:strCache>
            </c:strRef>
          </c:cat>
          <c:val>
            <c:numRef>
              <c:f>Podsumowanie!$I$84:$I$87</c:f>
              <c:numCache>
                <c:formatCode>0.0%</c:formatCode>
                <c:ptCount val="4"/>
                <c:pt idx="0">
                  <c:v>0.23780856815938858</c:v>
                </c:pt>
                <c:pt idx="1">
                  <c:v>0.13747217936798256</c:v>
                </c:pt>
                <c:pt idx="2">
                  <c:v>0.59621178548685216</c:v>
                </c:pt>
                <c:pt idx="3">
                  <c:v>2.8507466985776702E-2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2DF2-4C38-8811-98BB676B692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6.9248687664041991E-2"/>
          <c:y val="0.64955016039661706"/>
          <c:w val="0.91130686789151338"/>
          <c:h val="0.32127004957713617"/>
        </c:manualLayout>
      </c:layout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pl-PL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EY light print">
    <a:dk1>
      <a:srgbClr val="000000"/>
    </a:dk1>
    <a:lt1>
      <a:srgbClr val="646464"/>
    </a:lt1>
    <a:dk2>
      <a:srgbClr val="FFFFFF"/>
    </a:dk2>
    <a:lt2>
      <a:srgbClr val="646464"/>
    </a:lt2>
    <a:accent1>
      <a:srgbClr val="808080"/>
    </a:accent1>
    <a:accent2>
      <a:srgbClr val="FFE600"/>
    </a:accent2>
    <a:accent3>
      <a:srgbClr val="999999"/>
    </a:accent3>
    <a:accent4>
      <a:srgbClr val="F0F0F0"/>
    </a:accent4>
    <a:accent5>
      <a:srgbClr val="00A3AE"/>
    </a:accent5>
    <a:accent6>
      <a:srgbClr val="C0C0C0"/>
    </a:accent6>
    <a:hlink>
      <a:srgbClr val="336699"/>
    </a:hlink>
    <a:folHlink>
      <a:srgbClr val="91278F"/>
    </a:folHlink>
  </a:clrScheme>
  <a:fontScheme name="EY_Handout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32B0-4DCB-4288-97B4-A4B9A734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22753</Words>
  <Characters>136522</Characters>
  <Application>Microsoft Office Word</Application>
  <DocSecurity>0</DocSecurity>
  <Lines>1137</Lines>
  <Paragraphs>317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13 grudnia 2013 r</vt:lpstr>
    </vt:vector>
  </TitlesOfParts>
  <Company>Ministerstwo Gospodarki</Company>
  <LinksUpToDate>false</LinksUpToDate>
  <CharactersWithSpaces>158958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13 grudnia 2013 r</dc:title>
  <dc:creator>Piontek Marek</dc:creator>
  <cp:lastModifiedBy>Chwas Andrzej</cp:lastModifiedBy>
  <cp:revision>2</cp:revision>
  <cp:lastPrinted>2020-06-17T16:26:00Z</cp:lastPrinted>
  <dcterms:created xsi:type="dcterms:W3CDTF">2020-07-20T10:36:00Z</dcterms:created>
  <dcterms:modified xsi:type="dcterms:W3CDTF">2020-07-20T10:36:00Z</dcterms:modified>
</cp:coreProperties>
</file>