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77" w:rsidRPr="00952F77" w:rsidRDefault="00952F77" w:rsidP="00952F77">
      <w:pPr>
        <w:jc w:val="center"/>
      </w:pPr>
      <w:r w:rsidRPr="00952F77">
        <w:rPr>
          <w:b/>
        </w:rPr>
        <w:t>Opis przedmiotu zamówienia</w:t>
      </w:r>
    </w:p>
    <w:p w:rsidR="00B32C23" w:rsidRPr="00952F77" w:rsidRDefault="009A4294"/>
    <w:p w:rsidR="00952F77" w:rsidRPr="00952F77" w:rsidRDefault="00952F77" w:rsidP="00952F77">
      <w:pPr>
        <w:jc w:val="both"/>
      </w:pPr>
    </w:p>
    <w:p w:rsidR="00952F77" w:rsidRDefault="00952F77" w:rsidP="0012477C">
      <w:pPr>
        <w:pStyle w:val="Akapitzlist"/>
        <w:numPr>
          <w:ilvl w:val="0"/>
          <w:numId w:val="7"/>
        </w:numPr>
        <w:jc w:val="both"/>
      </w:pPr>
      <w:r w:rsidRPr="00952F77">
        <w:t>Przedmiotem zamówienia jest pełnienie serwisu gwarancyjnego</w:t>
      </w:r>
      <w:r w:rsidR="007A653B">
        <w:t xml:space="preserve"> systemu digitalizacji akt SDA</w:t>
      </w:r>
      <w:r w:rsidRPr="00952F77">
        <w:t>.</w:t>
      </w:r>
    </w:p>
    <w:p w:rsidR="00952F77" w:rsidRDefault="00952F77" w:rsidP="00952F77">
      <w:pPr>
        <w:ind w:firstLine="567"/>
        <w:jc w:val="both"/>
      </w:pPr>
    </w:p>
    <w:p w:rsidR="00952F77" w:rsidRPr="00020358" w:rsidRDefault="00952F77" w:rsidP="00952F77">
      <w:pPr>
        <w:ind w:firstLine="567"/>
        <w:jc w:val="both"/>
      </w:pPr>
      <w:r w:rsidRPr="00020358">
        <w:t xml:space="preserve">SDA to system służący do digitalizacji akt postępowań karnych (przygotowawczych i sądowych) prowadzonych w Prokuraturze Krajowej oraz w powszechnych jednostkach organizacyjnych prokuratury szczebla regionalnego i okręgowego. System umożliwia tworzenie oraz zarządzanie elektronicznymi repozytoriami akt. SDA pozwala na digitalizację akt, sprawne przeszukiwanie akt, prowadzenie ich analizy, a także na udostępnianie akt stronom postępowania. </w:t>
      </w:r>
    </w:p>
    <w:p w:rsidR="00952F77" w:rsidRPr="00020358" w:rsidRDefault="00952F77" w:rsidP="00952F77">
      <w:pPr>
        <w:ind w:firstLine="567"/>
        <w:jc w:val="both"/>
      </w:pPr>
      <w:r w:rsidRPr="00020358">
        <w:t xml:space="preserve">SDA zapewnia dostęp do </w:t>
      </w:r>
      <w:proofErr w:type="spellStart"/>
      <w:r w:rsidRPr="00020358">
        <w:t>zdigitalizowanych</w:t>
      </w:r>
      <w:proofErr w:type="spellEnd"/>
      <w:r w:rsidRPr="00020358">
        <w:t xml:space="preserve"> wersji akt spraw stronom postępowania na wskazanych stanowiskach dostępowych zlokalizowanych w jednostkach prokuratury.</w:t>
      </w:r>
    </w:p>
    <w:p w:rsidR="00952F77" w:rsidRPr="00020358" w:rsidRDefault="00952F77" w:rsidP="00952F77">
      <w:pPr>
        <w:ind w:firstLine="567"/>
        <w:jc w:val="both"/>
      </w:pPr>
      <w:r w:rsidRPr="00020358">
        <w:t>SDA zapewnia zgodność zasobów informacyjnych repozytorium z faktycznym stanem spraw podlegających rejestracji w Systemie Informatycznym Prokuratury Libra2, który stanowi w tym zakresie referencyjne źródło danych. SDA automatycznie pobiera z systemu SIP Libra 2 podstawowe dane dotyczące poszczególnych spraw.</w:t>
      </w:r>
    </w:p>
    <w:p w:rsidR="00952F77" w:rsidRPr="00020358" w:rsidRDefault="00952F77" w:rsidP="00952F77">
      <w:pPr>
        <w:ind w:firstLine="567"/>
        <w:jc w:val="both"/>
      </w:pPr>
      <w:r w:rsidRPr="00020358">
        <w:t xml:space="preserve">W wyniku wdrożenia SDA w Prokuraturze Krajowej, prokuraturach regionalnych i okręgowych, odbywa się automatyczne </w:t>
      </w:r>
      <w:proofErr w:type="spellStart"/>
      <w:r w:rsidRPr="00020358">
        <w:t>digitalizowanie</w:t>
      </w:r>
      <w:proofErr w:type="spellEnd"/>
      <w:r w:rsidRPr="00020358">
        <w:t xml:space="preserve"> oraz bezpieczne przechowywanie </w:t>
      </w:r>
      <w:proofErr w:type="spellStart"/>
      <w:r w:rsidRPr="00020358">
        <w:t>zdigitalizowanych</w:t>
      </w:r>
      <w:proofErr w:type="spellEnd"/>
      <w:r w:rsidRPr="00020358">
        <w:t xml:space="preserve"> tomów akt postępowań przygotowawczych. </w:t>
      </w:r>
      <w:proofErr w:type="spellStart"/>
      <w:r w:rsidRPr="00020358">
        <w:t>Zdigitalizowane</w:t>
      </w:r>
      <w:proofErr w:type="spellEnd"/>
      <w:r w:rsidRPr="00020358">
        <w:t xml:space="preserve"> dokumenty są poddawane procesowi rozpoznawania tekstu (OCR), co pozwala na dostęp do ich edytowalnych wersji. </w:t>
      </w:r>
    </w:p>
    <w:p w:rsidR="00952F77" w:rsidRPr="00020358" w:rsidRDefault="00952F77" w:rsidP="00952F77">
      <w:pPr>
        <w:ind w:firstLine="567"/>
        <w:jc w:val="both"/>
      </w:pPr>
      <w:r w:rsidRPr="00020358">
        <w:t>Bezpieczeństwo systemu zwiększa zbudowana i wdrożona infrastruktura klucza publicznego (PKI).</w:t>
      </w:r>
    </w:p>
    <w:p w:rsidR="00D86D84" w:rsidRDefault="00952F77" w:rsidP="00D86D84">
      <w:pPr>
        <w:ind w:firstLine="567"/>
        <w:jc w:val="both"/>
      </w:pPr>
      <w:r w:rsidRPr="00020358">
        <w:t>Rolą SDA jest również automatyzacja procesu tworzenia wniosków i pism procesowych w oparciu o wykorzystanie danych gromadzonych w systemie. SDA posiada rozbudowaną hierarchię uprawnień pozwalającą na przydzielanie szczegółowych praw dostępu (z dokładnością do spraw i poszczególnych kart) poszczególnym użytkownikom.</w:t>
      </w:r>
    </w:p>
    <w:p w:rsidR="00D86D84" w:rsidRDefault="00D86D84" w:rsidP="00D86D84">
      <w:pPr>
        <w:ind w:firstLine="567"/>
        <w:jc w:val="both"/>
      </w:pPr>
    </w:p>
    <w:p w:rsidR="00952F77" w:rsidRDefault="00952F77" w:rsidP="00D86D84">
      <w:pPr>
        <w:ind w:firstLine="567"/>
        <w:jc w:val="both"/>
      </w:pPr>
      <w:r>
        <w:t xml:space="preserve">System Digitalizacji Akt </w:t>
      </w:r>
      <w:r w:rsidR="00D86D84">
        <w:t>składa się</w:t>
      </w:r>
      <w:r>
        <w:t xml:space="preserve"> z następujących modułów: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Warstwa uwierzytelniania i autoryzacji – fragment systemu wykorzystywany przez wszystkie pozostałe moduły do kontroli dostępu do funkcji oraz przetwarzanych danych.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Moduł Komunikacji z </w:t>
      </w:r>
      <w:proofErr w:type="spellStart"/>
      <w:r>
        <w:t>ePUAP</w:t>
      </w:r>
      <w:proofErr w:type="spellEnd"/>
      <w:r>
        <w:t xml:space="preserve"> – wydzielony element systemu umożliwiający obsługę komunikacji związanej z udostępnianiem akt postępowań przy użyciu platformy </w:t>
      </w:r>
      <w:proofErr w:type="spellStart"/>
      <w:r>
        <w:t>ePUAP</w:t>
      </w:r>
      <w:proofErr w:type="spellEnd"/>
      <w:r>
        <w:t>.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Moduł Administracyjny Centralny – komponent dający możliwość zarządzania konfiguracją SDA na poziomie centralnym, tj. definiowanie ról, słowników itp., które następnie są propagowane do poszczególnych jednostek prokuratury.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Moduł Administracyjny – komponent pozwalający na zarządzanie konfiguracją na poziomie lokalnej jednostki prokuratury, m.in. nadawanie uprawnień, przypisywanie ról, zarządzanie słownikami itp.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Moduł Skanowania – moduł użytkowo-usługowy zapewniający obsługę procesu digitalizacji akt na potrzeby budowy repozytorium w SDA.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Moduł Zarządzania – moduł użytkowo-usługowy umożliwiający zarządzanie strukturą zgromadzonych w repozytorium akt oraz ich przeglądanie i przekazywanie do innych </w:t>
      </w:r>
      <w:r>
        <w:lastRenderedPageBreak/>
        <w:t>usług SDA. Moduł zapewni</w:t>
      </w:r>
      <w:r w:rsidR="00D86D84">
        <w:t xml:space="preserve">a </w:t>
      </w:r>
      <w:r>
        <w:t xml:space="preserve">obsługę procesu </w:t>
      </w:r>
      <w:proofErr w:type="spellStart"/>
      <w:r>
        <w:t>anonimizacji</w:t>
      </w:r>
      <w:proofErr w:type="spellEnd"/>
      <w:r>
        <w:t xml:space="preserve"> akt na potrz</w:t>
      </w:r>
      <w:r w:rsidR="00D86D84">
        <w:t>eby dalszego udostępniania oraz daje</w:t>
      </w:r>
      <w:r>
        <w:t xml:space="preserve"> możliwość klasyfikacji dokumentów, przygotowywania analiz oraz sporządzania dokumentów procesowych.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Moduł Udostępniana - </w:t>
      </w:r>
      <w:r w:rsidRPr="00E62806">
        <w:t>moduł użytkowo-usługowy</w:t>
      </w:r>
      <w:r>
        <w:t xml:space="preserve"> pozwalający zainteresowanym stronom postępowania na dostęp do akt (po uprzednim udzieleniu uprawnień).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Moduł OCR – moduł świadczący usługę rozpoznawania tekstu w </w:t>
      </w:r>
      <w:proofErr w:type="spellStart"/>
      <w:r>
        <w:t>digitalizowanych</w:t>
      </w:r>
      <w:proofErr w:type="spellEnd"/>
      <w:r>
        <w:t xml:space="preserve"> dokumentach.</w:t>
      </w:r>
    </w:p>
    <w:p w:rsidR="00952F77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Warstwa Integracji Wewnętrznej – zapewnia obsługę zdarzeń generowanych przez poszczególne usługi systemu oraz umożliwia wewnętrzną komunikację pomiędzy modułami i usługami.</w:t>
      </w:r>
    </w:p>
    <w:p w:rsidR="00952F77" w:rsidRPr="0012477C" w:rsidRDefault="00952F77" w:rsidP="00952F77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 w:rsidRPr="0012477C">
        <w:t>Moduł Integracji Danych Zewnętrznych – zapewnia komunikację z zewnętrznymi systemami,</w:t>
      </w:r>
      <w:r w:rsidR="00D86D84" w:rsidRPr="0012477C">
        <w:t xml:space="preserve"> np. SIP Libra 2.</w:t>
      </w:r>
    </w:p>
    <w:p w:rsidR="00952F77" w:rsidRPr="0012477C" w:rsidRDefault="00952F77" w:rsidP="00155048">
      <w:pPr>
        <w:jc w:val="both"/>
      </w:pPr>
    </w:p>
    <w:p w:rsidR="00155048" w:rsidRDefault="0012477C" w:rsidP="00155048">
      <w:pPr>
        <w:pStyle w:val="Akapitzlist"/>
        <w:numPr>
          <w:ilvl w:val="0"/>
          <w:numId w:val="7"/>
        </w:numPr>
        <w:jc w:val="both"/>
      </w:pPr>
      <w:r w:rsidRPr="0012477C">
        <w:t>Przedmiot zamówienia obejmuje</w:t>
      </w:r>
      <w:r w:rsidR="007A653B">
        <w:t xml:space="preserve"> </w:t>
      </w:r>
      <w:r>
        <w:t>świadczenie usług serwisu gwarancyjnego</w:t>
      </w:r>
      <w:r w:rsidR="00161C14">
        <w:t xml:space="preserve"> systemu digitalizacji akt,</w:t>
      </w:r>
      <w:r>
        <w:t xml:space="preserve"> </w:t>
      </w:r>
      <w:r w:rsidR="00161C14">
        <w:t xml:space="preserve">dla Odbiorców Usług, </w:t>
      </w:r>
      <w:r w:rsidR="00161C14" w:rsidRPr="00020358">
        <w:t xml:space="preserve">w zakresie funkcjonalności </w:t>
      </w:r>
      <w:r w:rsidR="00161C14">
        <w:t>SDA</w:t>
      </w:r>
      <w:r w:rsidR="00161C14" w:rsidRPr="00020358">
        <w:t xml:space="preserve"> i jego współdziałania z innymi systemami, z którymi SDA</w:t>
      </w:r>
      <w:r w:rsidR="00161C14">
        <w:t xml:space="preserve"> ma współpracować,</w:t>
      </w:r>
      <w:r>
        <w:t xml:space="preserve"> przez okres 10 miesięcy, od podpisania Umowy,</w:t>
      </w:r>
      <w:r w:rsidR="00161C14">
        <w:t xml:space="preserve"> </w:t>
      </w:r>
      <w:r w:rsidR="00161C14" w:rsidRPr="00FE3437">
        <w:rPr>
          <w:b/>
        </w:rPr>
        <w:t>nie dłużej jednak niż do 28 lutego 2019r.</w:t>
      </w:r>
    </w:p>
    <w:p w:rsidR="00740E21" w:rsidRDefault="00740E21" w:rsidP="00155048">
      <w:pPr>
        <w:pStyle w:val="Akapitzlist"/>
        <w:numPr>
          <w:ilvl w:val="0"/>
          <w:numId w:val="7"/>
        </w:numPr>
        <w:jc w:val="both"/>
      </w:pPr>
      <w:r>
        <w:t>Wykonawca będzie realizował przedmiot umowy dla zainstalowanych w dniu zawarcia umowy wersji systemu SDA na środowiskach: produkcyjnym i testowym oraz dla wszystkich wersji system</w:t>
      </w:r>
      <w:r w:rsidR="00FE3437">
        <w:t>u powstałych w okresie trwania U</w:t>
      </w:r>
      <w:r>
        <w:t>mowy.</w:t>
      </w:r>
    </w:p>
    <w:p w:rsidR="00155048" w:rsidRPr="00155048" w:rsidRDefault="00155048" w:rsidP="00155048">
      <w:pPr>
        <w:pStyle w:val="Akapitzlist"/>
        <w:numPr>
          <w:ilvl w:val="0"/>
          <w:numId w:val="7"/>
        </w:numPr>
        <w:jc w:val="both"/>
        <w:rPr>
          <w:rStyle w:val="FontStyle13"/>
          <w:sz w:val="24"/>
          <w:szCs w:val="24"/>
        </w:rPr>
      </w:pPr>
      <w:r>
        <w:t xml:space="preserve">W </w:t>
      </w:r>
      <w:r w:rsidRPr="00020358">
        <w:t xml:space="preserve">celu realizacji obowiązków związanych ze świadczeniem usług serwisu gwarancyjnego Wykonawca zapewni Zamawiającemu możliwość przesyłania zgłoszeń za pośrednictwem </w:t>
      </w:r>
      <w:r w:rsidRPr="00020358">
        <w:rPr>
          <w:rStyle w:val="FontStyle13"/>
        </w:rPr>
        <w:t>dedykowanego serwisu www, telefonu, poczty elektronicznej i faksu.</w:t>
      </w:r>
    </w:p>
    <w:p w:rsidR="00155048" w:rsidRDefault="00155048" w:rsidP="00155048">
      <w:pPr>
        <w:pStyle w:val="Akapitzlist"/>
        <w:numPr>
          <w:ilvl w:val="0"/>
          <w:numId w:val="7"/>
        </w:numPr>
        <w:jc w:val="both"/>
      </w:pPr>
      <w:r w:rsidRPr="00020358">
        <w:t>Za pośrednictwem uruchomionego przez Wykonawcę dedykowanego serwisu www, dostępnego dla użytkowników Zamawiającego, możliwe będzie co najmniej:</w:t>
      </w:r>
    </w:p>
    <w:p w:rsidR="00155048" w:rsidRDefault="00155048" w:rsidP="00155048">
      <w:pPr>
        <w:pStyle w:val="Akapitzlist"/>
        <w:numPr>
          <w:ilvl w:val="0"/>
          <w:numId w:val="9"/>
        </w:numPr>
        <w:jc w:val="both"/>
      </w:pPr>
      <w:r>
        <w:t>dokonywanie</w:t>
      </w:r>
      <w:r w:rsidR="0012477C" w:rsidRPr="00020358">
        <w:t xml:space="preserve"> zgłoszeń przez użytkowników,</w:t>
      </w:r>
    </w:p>
    <w:p w:rsidR="00155048" w:rsidRDefault="00155048" w:rsidP="00155048">
      <w:pPr>
        <w:pStyle w:val="Akapitzlist"/>
        <w:numPr>
          <w:ilvl w:val="0"/>
          <w:numId w:val="9"/>
        </w:numPr>
        <w:jc w:val="both"/>
      </w:pPr>
      <w:r>
        <w:t>uzyskiwanie</w:t>
      </w:r>
      <w:r w:rsidR="0012477C" w:rsidRPr="00020358">
        <w:t xml:space="preserve"> dodatkowych informacji przez Wykonawcę od użytkowników dokonujących zgłoszeń,</w:t>
      </w:r>
    </w:p>
    <w:p w:rsidR="00155048" w:rsidRDefault="00155048" w:rsidP="00155048">
      <w:pPr>
        <w:pStyle w:val="Akapitzlist"/>
        <w:numPr>
          <w:ilvl w:val="0"/>
          <w:numId w:val="9"/>
        </w:numPr>
        <w:jc w:val="both"/>
      </w:pPr>
      <w:r>
        <w:t>udzielanie</w:t>
      </w:r>
      <w:r w:rsidR="0012477C" w:rsidRPr="00020358">
        <w:t xml:space="preserve"> przez Wykonawcę odpowiedzi na zgłoszenia użytkowników,</w:t>
      </w:r>
    </w:p>
    <w:p w:rsidR="00155048" w:rsidRDefault="00155048" w:rsidP="00155048">
      <w:pPr>
        <w:pStyle w:val="Akapitzlist"/>
        <w:numPr>
          <w:ilvl w:val="0"/>
          <w:numId w:val="9"/>
        </w:numPr>
        <w:jc w:val="both"/>
      </w:pPr>
      <w:r>
        <w:t>prowadzenie</w:t>
      </w:r>
      <w:r w:rsidR="00161C14">
        <w:t xml:space="preserve"> </w:t>
      </w:r>
      <w:r w:rsidR="0012477C" w:rsidRPr="00020358">
        <w:t>ewidencji zgłoszeń, umożliwiającej co</w:t>
      </w:r>
      <w:r w:rsidR="00161C14">
        <w:t xml:space="preserve"> najmniej identyfikację: daty </w:t>
      </w:r>
      <w:r w:rsidR="0012477C" w:rsidRPr="00020358">
        <w:t>godziny zgłoszenia, osoby dokonującej zgłoszenia, treści zgłoszenia, daty i godziny udzielenia odpowiedzi na zgłoszenie i/lub sposobu obsługi zgłoszenia,</w:t>
      </w:r>
    </w:p>
    <w:p w:rsidR="00155048" w:rsidRDefault="00155048" w:rsidP="00155048">
      <w:pPr>
        <w:pStyle w:val="Akapitzlist"/>
        <w:numPr>
          <w:ilvl w:val="0"/>
          <w:numId w:val="9"/>
        </w:numPr>
        <w:jc w:val="both"/>
      </w:pPr>
      <w:r>
        <w:t>kategoryzacja</w:t>
      </w:r>
      <w:r w:rsidR="0012477C" w:rsidRPr="00020358">
        <w:t xml:space="preserve"> (usług konsultacji, ewidencji zgłoszeń Błędów Krytycznych, Błędów Niekrytycznych lub Awarii itp.),</w:t>
      </w:r>
    </w:p>
    <w:p w:rsidR="00155048" w:rsidRDefault="0012477C" w:rsidP="00155048">
      <w:pPr>
        <w:pStyle w:val="Akapitzlist"/>
        <w:numPr>
          <w:ilvl w:val="0"/>
          <w:numId w:val="9"/>
        </w:numPr>
        <w:jc w:val="both"/>
      </w:pPr>
      <w:r w:rsidRPr="00020358">
        <w:t>generowanie raportów przez Wykonawcę lub Zamawiającego dotyczących zgłoszeń, w tym statystyk dotyczących poszczególnych kategorii, ilości zgłoszeń z poszczególnych powszechnych jednostek organizacyjnych prokuratury, ilości zgłoszeń występujących w określonym przedziale czasu, średniego czasu obsługi zgłoszenia dla danej kategorii.</w:t>
      </w:r>
    </w:p>
    <w:p w:rsidR="00155048" w:rsidRDefault="00155048" w:rsidP="00155048">
      <w:pPr>
        <w:pStyle w:val="Akapitzlist"/>
        <w:numPr>
          <w:ilvl w:val="0"/>
          <w:numId w:val="7"/>
        </w:numPr>
        <w:jc w:val="both"/>
      </w:pPr>
      <w:r w:rsidRPr="00020358">
        <w:t>W ramach usług serwisu gwarancyjnego Wykonawca zobowiązany jest do</w:t>
      </w:r>
      <w:r>
        <w:t>:</w:t>
      </w:r>
    </w:p>
    <w:p w:rsidR="00FE3437" w:rsidRDefault="0017270E" w:rsidP="00155048">
      <w:pPr>
        <w:pStyle w:val="Akapitzlist"/>
        <w:numPr>
          <w:ilvl w:val="0"/>
          <w:numId w:val="8"/>
        </w:numPr>
        <w:ind w:left="993" w:hanging="284"/>
        <w:jc w:val="both"/>
      </w:pPr>
      <w:r w:rsidRPr="00155048">
        <w:t>u</w:t>
      </w:r>
      <w:r w:rsidR="00155048">
        <w:t>sunięcia</w:t>
      </w:r>
      <w:r w:rsidR="0012477C" w:rsidRPr="00155048">
        <w:t xml:space="preserve"> </w:t>
      </w:r>
      <w:r w:rsidRPr="00155048">
        <w:t>A</w:t>
      </w:r>
      <w:r w:rsidR="0012477C" w:rsidRPr="00155048">
        <w:t>warii</w:t>
      </w:r>
      <w:r w:rsidR="00155048">
        <w:t xml:space="preserve"> SDA oraz usunięcia</w:t>
      </w:r>
      <w:r w:rsidRPr="00155048">
        <w:t xml:space="preserve"> skutków Awarii SDA</w:t>
      </w:r>
      <w:r w:rsidR="0012477C" w:rsidRPr="00155048">
        <w:t xml:space="preserve"> (np. odtworzenia danych, odtworzenia bazy danych itp.) w ciągu 48 godzin od chwili zgłoszenia przez Zamawiającego Awarii Wykonawcy. W przypadku zgłoszenia Awarii poza Godzinami Roboczymi, termin 48 godzin liczony jest od następnego Dnia Roboczego. Wykonawca każdorazowo niezwłocznie potwierdza przyjęcie zgłoszenia.</w:t>
      </w:r>
      <w:r w:rsidRPr="00155048">
        <w:t xml:space="preserve"> </w:t>
      </w:r>
    </w:p>
    <w:p w:rsidR="00FE3437" w:rsidRDefault="00155048" w:rsidP="00FE3437">
      <w:pPr>
        <w:pStyle w:val="Akapitzlist"/>
        <w:numPr>
          <w:ilvl w:val="0"/>
          <w:numId w:val="8"/>
        </w:numPr>
        <w:ind w:left="993" w:hanging="284"/>
        <w:jc w:val="both"/>
      </w:pPr>
      <w:r>
        <w:lastRenderedPageBreak/>
        <w:t>usunięcia</w:t>
      </w:r>
      <w:r w:rsidR="0012477C" w:rsidRPr="00155048">
        <w:t xml:space="preserve"> Błędu Krytycznego SDA oraz usunięcia skutków Błędu Krytycznego (np. odtworzenia danych, odtworzenia bazy danych itp.) w ciągu 72 godzin od chwili zgłoszenia przez Zamawiającego Błędu Krytycznego Wykonawcy. W przypadku zgłoszenia Błędu Krytycznego poza Godzinami Roboczymi, termin 72 godzin liczony jest od następnego Dnia Roboczego. Wykonawca każdorazowo niezwłocznie </w:t>
      </w:r>
      <w:r w:rsidR="00FE3437">
        <w:t>potwierdza przyjęcie zgłoszenia</w:t>
      </w:r>
    </w:p>
    <w:p w:rsidR="00FE3437" w:rsidRDefault="00155048" w:rsidP="00FE3437">
      <w:pPr>
        <w:pStyle w:val="Akapitzlist"/>
        <w:numPr>
          <w:ilvl w:val="0"/>
          <w:numId w:val="8"/>
        </w:numPr>
        <w:ind w:left="993" w:hanging="284"/>
        <w:jc w:val="both"/>
      </w:pPr>
      <w:r>
        <w:t>usunięcia</w:t>
      </w:r>
      <w:r w:rsidR="0012477C" w:rsidRPr="00155048">
        <w:t xml:space="preserve"> Błędów Niekrytycznych w terminie do 14 dni od chwili zgłoszenia przez Zamawiającego Błędu Niekrytycznego Wykonawcy. W przypadku zgłoszenia Błędu Niekrytycznego poza Godzinami Roboczymi, termin 14 dni liczony jest od następnego Dnia Roboczego. Wykonawca każdorazowo niezwłocznie potwierdza przyjęcie zgłoszenia.</w:t>
      </w:r>
      <w:r>
        <w:t xml:space="preserve"> </w:t>
      </w:r>
    </w:p>
    <w:p w:rsidR="00155048" w:rsidRPr="00FE3437" w:rsidRDefault="0012477C" w:rsidP="00155048">
      <w:pPr>
        <w:pStyle w:val="Akapitzlist"/>
        <w:numPr>
          <w:ilvl w:val="0"/>
          <w:numId w:val="7"/>
        </w:numPr>
        <w:tabs>
          <w:tab w:val="left" w:pos="1560"/>
        </w:tabs>
        <w:suppressAutoHyphens/>
        <w:jc w:val="both"/>
      </w:pPr>
      <w:r w:rsidRPr="00FE3437">
        <w:t>Usługi serwisu gwarancyjnego świadczone będą dla Odbiorców Usług.</w:t>
      </w:r>
    </w:p>
    <w:p w:rsidR="00155048" w:rsidRDefault="0012477C" w:rsidP="00155048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155048">
        <w:rPr>
          <w:sz w:val="24"/>
          <w:szCs w:val="24"/>
        </w:rPr>
        <w:t>Świadczenie usług serwisu gwarancyjnego może wymagać od Wykonawcy wykonania czynności w siedzibie powszechnej jednostki organizacyjnej prokurat</w:t>
      </w:r>
      <w:r w:rsidR="00155048">
        <w:rPr>
          <w:sz w:val="24"/>
          <w:szCs w:val="24"/>
        </w:rPr>
        <w:t xml:space="preserve">ury. </w:t>
      </w:r>
      <w:r w:rsidR="00A539F4">
        <w:rPr>
          <w:sz w:val="24"/>
          <w:szCs w:val="24"/>
        </w:rPr>
        <w:t>Zdalny dostęp do środowiska SDA możliwy będzie w siedzibie Zamawiającego.</w:t>
      </w:r>
    </w:p>
    <w:p w:rsidR="00155048" w:rsidRDefault="0012477C" w:rsidP="00155048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155048">
        <w:rPr>
          <w:sz w:val="24"/>
          <w:szCs w:val="24"/>
        </w:rPr>
        <w:t>W przypadku wystąpienia Awarii lub trudnych do zdiagnozowania Błędów Krytycznych, Błędów Niekrytycznych w czasie świadczenia przez Wykonawcę serwisu gwarancyjnego, Odbiorca Usług, jeżeli wystąpi taka konieczność, zapewni dla Wykonawcy dostępność informatyka przeszkolonego w zakresie administrowania SDA w danej lokalizacji, na czas  ustalania przyczyn zaistniałej sytuacji.</w:t>
      </w:r>
    </w:p>
    <w:p w:rsidR="00155048" w:rsidRDefault="0012477C" w:rsidP="00155048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155048">
        <w:rPr>
          <w:sz w:val="24"/>
          <w:szCs w:val="24"/>
        </w:rPr>
        <w:t>Wykonawca realizuje usługi serwisu gwarancyjnego na zlecenie Zamawiającego.</w:t>
      </w:r>
    </w:p>
    <w:p w:rsidR="00155048" w:rsidRDefault="0012477C" w:rsidP="00155048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155048">
        <w:rPr>
          <w:sz w:val="24"/>
          <w:szCs w:val="24"/>
        </w:rPr>
        <w:t xml:space="preserve">Zamawiający przekazuje Wykonawcy zlecenie usunięcia Awarii, Błędu Krytycznego lub Błędu Niekrytycznego za pośrednictwem dedykowanego serwisu www, określając kategorię zgłaszanej wady zmodyfikowanej wersji SDA jako Awaria, Błąd Krytyczny lub Błąd Niekrytyczny. W przypadku niedostępności serwisu www, Zamawiający przekazuje zlecenie usunięcia Awarii, Błędu Krytycznego lub Błędu Niekrytycznego telefonicznie, faksem lub za pośrednictwem e-mail. Wykonawca każdorazowo niezwłocznie potwierdza przyjęcie zgłoszenia. </w:t>
      </w:r>
    </w:p>
    <w:p w:rsidR="00155048" w:rsidRDefault="0012477C" w:rsidP="00155048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155048">
        <w:rPr>
          <w:sz w:val="24"/>
          <w:szCs w:val="24"/>
        </w:rPr>
        <w:t>Po podpisaniu Umowy Strony ustalą numery telefonów, faksu oraz adresy e-mail, za pośrednictwem których będą składane zlecenia usunięcia Awarii, Błędu Krytycznego lub Błędu Niekrytycznego.</w:t>
      </w:r>
    </w:p>
    <w:p w:rsidR="00EF40C2" w:rsidRPr="00EF40C2" w:rsidRDefault="0012477C" w:rsidP="00EF40C2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155048">
        <w:rPr>
          <w:sz w:val="24"/>
          <w:szCs w:val="24"/>
        </w:rPr>
        <w:t>Jeżeli dla usunięcia Awarii, Błędu Krytycznego lub Błędu Niekrytycznego niezbędne jest wykonanie poprawek oprogramowania SDA</w:t>
      </w:r>
      <w:r w:rsidR="00EF40C2">
        <w:rPr>
          <w:sz w:val="24"/>
          <w:szCs w:val="24"/>
        </w:rPr>
        <w:t>, wówczas Zamawiający</w:t>
      </w:r>
      <w:r w:rsidRPr="00155048">
        <w:rPr>
          <w:sz w:val="24"/>
          <w:szCs w:val="24"/>
        </w:rPr>
        <w:t xml:space="preserve">, udostępni </w:t>
      </w:r>
      <w:r w:rsidRPr="00EF40C2">
        <w:rPr>
          <w:sz w:val="24"/>
          <w:szCs w:val="24"/>
        </w:rPr>
        <w:t xml:space="preserve">Wykonawcy aktualne Kody Źródłowe oprogramowania oraz Dokumentację. </w:t>
      </w:r>
    </w:p>
    <w:p w:rsidR="00EF40C2" w:rsidRPr="00EF40C2" w:rsidRDefault="0012477C" w:rsidP="00EF40C2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EF40C2">
        <w:rPr>
          <w:sz w:val="24"/>
          <w:szCs w:val="24"/>
        </w:rPr>
        <w:t xml:space="preserve">Po wykonaniu poprawek SDA, przygotowanych na skutek zleceń usunięcia Awarii, Błędu Krytycznego lub Błędu Niekrytycznego, Wykonawca przekazuje nową wersję oprogramowania wraz z Dokumentacją, zgodnie z procedurą przekazywania Kodów Źródłowych, określoną w </w:t>
      </w:r>
      <w:r w:rsidR="00EF40C2" w:rsidRPr="00EF40C2">
        <w:rPr>
          <w:sz w:val="24"/>
          <w:szCs w:val="24"/>
        </w:rPr>
        <w:t xml:space="preserve">Umowie. </w:t>
      </w:r>
      <w:r w:rsidRPr="00EF40C2">
        <w:rPr>
          <w:sz w:val="24"/>
          <w:szCs w:val="24"/>
        </w:rPr>
        <w:t xml:space="preserve">Zamawiający przystępuje do testów akceptacyjnych nowej wersji oprogramowania. </w:t>
      </w:r>
    </w:p>
    <w:p w:rsidR="00EF40C2" w:rsidRPr="00EF40C2" w:rsidRDefault="0012477C" w:rsidP="00EF40C2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EF40C2">
        <w:rPr>
          <w:sz w:val="24"/>
          <w:szCs w:val="24"/>
        </w:rPr>
        <w:t>W ramach dedykowanego serwisu www, Wykonawca będzie prowadził ewidencję dostarczonych wersji zmodyfikowanego SDA, obejmującą co najmniej numery wersji, datę zatwierdzenia i dystrybucji wersji oraz szczegółowy opis zmian.</w:t>
      </w:r>
    </w:p>
    <w:p w:rsidR="00A85C2B" w:rsidRPr="00A85C2B" w:rsidRDefault="0012477C" w:rsidP="00A85C2B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EF40C2">
        <w:rPr>
          <w:sz w:val="24"/>
          <w:szCs w:val="24"/>
        </w:rPr>
        <w:t xml:space="preserve">W ramach dedykowanego serwisu www, Wykonawca prowadzi ewidencję zleceń </w:t>
      </w:r>
      <w:r w:rsidRPr="00A85C2B">
        <w:rPr>
          <w:sz w:val="24"/>
          <w:szCs w:val="24"/>
        </w:rPr>
        <w:t>usunięcia Awarii, Błędu Krytycznego lub Błędu Niekrytycznego.</w:t>
      </w:r>
    </w:p>
    <w:p w:rsidR="00A85C2B" w:rsidRPr="00A85C2B" w:rsidRDefault="0012477C" w:rsidP="00A85C2B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A85C2B">
        <w:rPr>
          <w:sz w:val="24"/>
          <w:szCs w:val="24"/>
        </w:rPr>
        <w:t>W przypadku dokonania przez Wykonawcę aktualizacji SDA w okresie obowiązywania Gwarancji, Wykonawca z chwilą odbioru bez zastrzeżeń dokonanej aktualizacji, przeniesie na Zamawiającego autorskie prawa majątkowe do korzystania ze zmienionej wersji SDA oraz do uaktualnionej Dokumentacji.</w:t>
      </w:r>
    </w:p>
    <w:p w:rsidR="00A85C2B" w:rsidRPr="00A85C2B" w:rsidRDefault="0012477C" w:rsidP="00A85C2B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A85C2B">
        <w:rPr>
          <w:sz w:val="24"/>
          <w:szCs w:val="24"/>
        </w:rPr>
        <w:t>Z wykonania obowiązków serwisu gwarancyjnego, Wykonawca przekazuje Zamawiającemu raport w terminie do 10 dnia każdego miesiąca za miesiąc poprzedni.</w:t>
      </w:r>
    </w:p>
    <w:p w:rsidR="00A85C2B" w:rsidRPr="001D150F" w:rsidRDefault="0012477C" w:rsidP="00A85C2B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A85C2B">
        <w:rPr>
          <w:sz w:val="24"/>
          <w:szCs w:val="24"/>
        </w:rPr>
        <w:lastRenderedPageBreak/>
        <w:t xml:space="preserve">W ramach realizacji usług serwisu gwarancyjnego, Zamawiający dokonuje odbiorów każdorazowo dostarczonej nowej wersji SDA, po przeprowadzeniu testów akceptacyjnych. Odbiór każdej zmodyfikowanej wersji SDA następuje </w:t>
      </w:r>
      <w:r w:rsidR="001F294F" w:rsidRPr="00A85C2B">
        <w:rPr>
          <w:sz w:val="24"/>
          <w:szCs w:val="24"/>
        </w:rPr>
        <w:t xml:space="preserve">na podstawie </w:t>
      </w:r>
      <w:r w:rsidR="001F294F" w:rsidRPr="001D150F">
        <w:rPr>
          <w:sz w:val="24"/>
          <w:szCs w:val="24"/>
        </w:rPr>
        <w:t>protokołu odbioru.</w:t>
      </w:r>
    </w:p>
    <w:p w:rsidR="00740E21" w:rsidRPr="001D150F" w:rsidRDefault="00740E21" w:rsidP="00A85C2B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1D150F">
        <w:rPr>
          <w:sz w:val="24"/>
          <w:szCs w:val="24"/>
        </w:rPr>
        <w:t>Wykonawca udzieli Zamawiającemu 6-miesięcznej gwarancji na prawidłowe działanie SDA, licząc od daty zakończenia umowy.</w:t>
      </w:r>
    </w:p>
    <w:p w:rsidR="007313B6" w:rsidRPr="001D150F" w:rsidRDefault="007313B6" w:rsidP="00A85C2B">
      <w:pPr>
        <w:pStyle w:val="Tekstpodstawowy3"/>
        <w:numPr>
          <w:ilvl w:val="0"/>
          <w:numId w:val="7"/>
        </w:numPr>
        <w:tabs>
          <w:tab w:val="left" w:pos="1560"/>
        </w:tabs>
        <w:suppressAutoHyphens/>
        <w:spacing w:after="0"/>
        <w:jc w:val="both"/>
        <w:rPr>
          <w:sz w:val="24"/>
          <w:szCs w:val="24"/>
        </w:rPr>
      </w:pPr>
      <w:r w:rsidRPr="001D150F">
        <w:rPr>
          <w:sz w:val="24"/>
          <w:szCs w:val="24"/>
        </w:rPr>
        <w:t>Wykonawca w toku wykonywa</w:t>
      </w:r>
      <w:r w:rsidR="00385702">
        <w:rPr>
          <w:sz w:val="24"/>
          <w:szCs w:val="24"/>
        </w:rPr>
        <w:t>nych prac będących przedmiotem U</w:t>
      </w:r>
      <w:r w:rsidRPr="001D150F">
        <w:rPr>
          <w:sz w:val="24"/>
          <w:szCs w:val="24"/>
        </w:rPr>
        <w:t>mowy nie będzie miał dostępu do informacji niejawnych w rozumieniu przepisów ustawy z dnia 5 sierpnia 2010r. o ochronie informacji niejawnych (Dz. U. z 2016r. poz. 1167 t.j.).</w:t>
      </w:r>
    </w:p>
    <w:p w:rsidR="00740E21" w:rsidRPr="00A85C2B" w:rsidRDefault="00740E21" w:rsidP="00740E21">
      <w:pPr>
        <w:pStyle w:val="Tekstpodstawowy3"/>
        <w:tabs>
          <w:tab w:val="left" w:pos="1560"/>
        </w:tabs>
        <w:suppressAutoHyphens/>
        <w:spacing w:after="0"/>
        <w:ind w:left="360"/>
        <w:jc w:val="both"/>
        <w:rPr>
          <w:sz w:val="24"/>
          <w:szCs w:val="24"/>
        </w:rPr>
      </w:pPr>
    </w:p>
    <w:p w:rsidR="00952F77" w:rsidRPr="00717272" w:rsidRDefault="00952F77" w:rsidP="00717272">
      <w:pPr>
        <w:pStyle w:val="Tekstpodstawowy3"/>
        <w:tabs>
          <w:tab w:val="left" w:pos="1560"/>
        </w:tabs>
        <w:suppressAutoHyphens/>
        <w:spacing w:after="0"/>
        <w:ind w:left="360"/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952F77" w:rsidRPr="007172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94" w:rsidRDefault="009A4294" w:rsidP="00CE684B">
      <w:r>
        <w:separator/>
      </w:r>
    </w:p>
  </w:endnote>
  <w:endnote w:type="continuationSeparator" w:id="0">
    <w:p w:rsidR="009A4294" w:rsidRDefault="009A4294" w:rsidP="00CE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897666"/>
      <w:docPartObj>
        <w:docPartGallery w:val="Page Numbers (Bottom of Page)"/>
        <w:docPartUnique/>
      </w:docPartObj>
    </w:sdtPr>
    <w:sdtEndPr/>
    <w:sdtContent>
      <w:p w:rsidR="00CE684B" w:rsidRDefault="00CE6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702">
          <w:rPr>
            <w:noProof/>
          </w:rPr>
          <w:t>4</w:t>
        </w:r>
        <w:r>
          <w:fldChar w:fldCharType="end"/>
        </w:r>
      </w:p>
    </w:sdtContent>
  </w:sdt>
  <w:p w:rsidR="00CE684B" w:rsidRDefault="00CE6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94" w:rsidRDefault="009A4294" w:rsidP="00CE684B">
      <w:r>
        <w:separator/>
      </w:r>
    </w:p>
  </w:footnote>
  <w:footnote w:type="continuationSeparator" w:id="0">
    <w:p w:rsidR="009A4294" w:rsidRDefault="009A4294" w:rsidP="00CE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0BF6"/>
    <w:multiLevelType w:val="hybridMultilevel"/>
    <w:tmpl w:val="FE2EEA4A"/>
    <w:lvl w:ilvl="0" w:tplc="94923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D350F"/>
    <w:multiLevelType w:val="hybridMultilevel"/>
    <w:tmpl w:val="B8121B90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CBDC50C8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 w:tplc="D5B89340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E586A"/>
    <w:multiLevelType w:val="hybridMultilevel"/>
    <w:tmpl w:val="E2D254AA"/>
    <w:lvl w:ilvl="0" w:tplc="7C821BEA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D476B5"/>
    <w:multiLevelType w:val="hybridMultilevel"/>
    <w:tmpl w:val="06EE4BAA"/>
    <w:lvl w:ilvl="0" w:tplc="CA56B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B37E2"/>
    <w:multiLevelType w:val="hybridMultilevel"/>
    <w:tmpl w:val="624A0A76"/>
    <w:lvl w:ilvl="0" w:tplc="97D678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5338"/>
    <w:multiLevelType w:val="hybridMultilevel"/>
    <w:tmpl w:val="A192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1642"/>
    <w:multiLevelType w:val="hybridMultilevel"/>
    <w:tmpl w:val="103AE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841"/>
    <w:multiLevelType w:val="hybridMultilevel"/>
    <w:tmpl w:val="761ED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D08B8"/>
    <w:multiLevelType w:val="hybridMultilevel"/>
    <w:tmpl w:val="5394A87C"/>
    <w:lvl w:ilvl="0" w:tplc="06BE0082">
      <w:start w:val="1"/>
      <w:numFmt w:val="decimal"/>
      <w:lvlText w:val="%1."/>
      <w:lvlJc w:val="center"/>
      <w:pPr>
        <w:tabs>
          <w:tab w:val="num" w:pos="2484"/>
        </w:tabs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7"/>
    <w:rsid w:val="00102DD6"/>
    <w:rsid w:val="0012477C"/>
    <w:rsid w:val="00155048"/>
    <w:rsid w:val="00161C14"/>
    <w:rsid w:val="0017270E"/>
    <w:rsid w:val="001A16FA"/>
    <w:rsid w:val="001D150F"/>
    <w:rsid w:val="001F294F"/>
    <w:rsid w:val="00385702"/>
    <w:rsid w:val="00717272"/>
    <w:rsid w:val="007313B6"/>
    <w:rsid w:val="00740E21"/>
    <w:rsid w:val="007A653B"/>
    <w:rsid w:val="00952F77"/>
    <w:rsid w:val="009A4294"/>
    <w:rsid w:val="00A539F4"/>
    <w:rsid w:val="00A85C2B"/>
    <w:rsid w:val="00B37F0B"/>
    <w:rsid w:val="00CA0308"/>
    <w:rsid w:val="00CE684B"/>
    <w:rsid w:val="00D86D84"/>
    <w:rsid w:val="00D957B3"/>
    <w:rsid w:val="00EC6F92"/>
    <w:rsid w:val="00EE5A61"/>
    <w:rsid w:val="00EF40C2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E7F6-E0E2-40EC-8DF3-1590E200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1247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2F77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52F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4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12477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13">
    <w:name w:val="Font Style13"/>
    <w:rsid w:val="0012477C"/>
    <w:rPr>
      <w:rFonts w:ascii="Times New Roman" w:hAnsi="Times New Roman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12477C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12477C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6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7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(PR)</dc:creator>
  <cp:keywords/>
  <dc:description/>
  <cp:lastModifiedBy>Sławek Renata (PR)</cp:lastModifiedBy>
  <cp:revision>14</cp:revision>
  <cp:lastPrinted>2018-02-23T10:03:00Z</cp:lastPrinted>
  <dcterms:created xsi:type="dcterms:W3CDTF">2018-02-19T10:26:00Z</dcterms:created>
  <dcterms:modified xsi:type="dcterms:W3CDTF">2018-02-23T10:04:00Z</dcterms:modified>
</cp:coreProperties>
</file>