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1561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 kwartał 2020 roku pn. „</w:t>
            </w:r>
            <w:r w:rsidR="00320B74" w:rsidRPr="00320B74">
              <w:rPr>
                <w:rFonts w:asciiTheme="minorHAnsi" w:hAnsiTheme="minorHAnsi" w:cstheme="minorHAnsi"/>
                <w:sz w:val="22"/>
                <w:szCs w:val="22"/>
              </w:rPr>
              <w:t>System operacyjnego gromadzenia, udostępniania i promocji cyfrowej informacji satelitarnej o środowisku (Sat4Envi)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</w:t>
            </w:r>
            <w:r w:rsid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 w:rsidR="00320B74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Minister Gospodarki Morskiej i Żeglugi Śródlądowej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beneficjent - </w:t>
            </w:r>
            <w:r w:rsidR="00320B74" w:rsidRPr="00320B74">
              <w:rPr>
                <w:rFonts w:asciiTheme="minorHAnsi" w:hAnsiTheme="minorHAnsi" w:cstheme="minorHAnsi"/>
                <w:sz w:val="22"/>
                <w:szCs w:val="22"/>
              </w:rPr>
              <w:t>Instytut Meteorologii i Gospodarki Wodnej – Państwowy Instytut Badawczy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1C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37C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1E6837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1E683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środków zaangażowanych jest niższa niż wykazana w raporcie za I kwartał 2020 r.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D37C53" w:rsidP="00320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ew. korektę raportu.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7C53" w:rsidRPr="00A06425" w:rsidTr="00A06425">
        <w:tc>
          <w:tcPr>
            <w:tcW w:w="562" w:type="dxa"/>
            <w:shd w:val="clear" w:color="auto" w:fill="auto"/>
          </w:tcPr>
          <w:p w:rsidR="00D37C53" w:rsidRPr="00A06425" w:rsidRDefault="00D37C5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37C53" w:rsidRDefault="00D37C5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7C53" w:rsidRDefault="00D37C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>Postęp rzeczowy. Kamienie milowe</w:t>
            </w:r>
          </w:p>
        </w:tc>
        <w:tc>
          <w:tcPr>
            <w:tcW w:w="4678" w:type="dxa"/>
            <w:shd w:val="clear" w:color="auto" w:fill="auto"/>
          </w:tcPr>
          <w:p w:rsidR="00D37C53" w:rsidRDefault="00D37C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>Zgodnie z Aneksem nr 6 planowany termin osiągnięcia kamienia milowego „Postępowanie przetargowe  na dostawę systemu odbioru danych satelitarnych” – 09.2019</w:t>
            </w:r>
          </w:p>
        </w:tc>
        <w:tc>
          <w:tcPr>
            <w:tcW w:w="5812" w:type="dxa"/>
            <w:shd w:val="clear" w:color="auto" w:fill="auto"/>
          </w:tcPr>
          <w:p w:rsidR="00D37C53" w:rsidRDefault="00D37C53" w:rsidP="00320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ew. korektę raportu.</w:t>
            </w:r>
          </w:p>
        </w:tc>
        <w:tc>
          <w:tcPr>
            <w:tcW w:w="1359" w:type="dxa"/>
          </w:tcPr>
          <w:p w:rsidR="00D37C53" w:rsidRPr="00A06425" w:rsidRDefault="00D37C5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1C79"/>
    <w:rsid w:val="0019648E"/>
    <w:rsid w:val="001E6837"/>
    <w:rsid w:val="002715B2"/>
    <w:rsid w:val="003124D1"/>
    <w:rsid w:val="00320B74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B5525F"/>
    <w:rsid w:val="00B871B6"/>
    <w:rsid w:val="00C64B1B"/>
    <w:rsid w:val="00CD5EB0"/>
    <w:rsid w:val="00CF1637"/>
    <w:rsid w:val="00D37C53"/>
    <w:rsid w:val="00E14C33"/>
    <w:rsid w:val="00E1561B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2020-07-29T11:16:00Z</dcterms:created>
  <dcterms:modified xsi:type="dcterms:W3CDTF">2020-07-29T11:16:00Z</dcterms:modified>
</cp:coreProperties>
</file>