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43D85505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</w:t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>Artykułów Rolno-Spożywczych w</w:t>
      </w:r>
      <w:r w:rsidR="00F9684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54952221"/>
          <w:placeholder>
            <w:docPart w:val="DefaultPlaceholder_-1854013440"/>
          </w:placeholder>
          <w:showingPlcHdr/>
        </w:sdtPr>
        <w:sdtEndPr/>
        <w:sdtContent>
          <w:r w:rsidR="00F9684C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5FD6A6E" w14:textId="77777777" w:rsidR="0025797F" w:rsidRDefault="0025797F" w:rsidP="0025797F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11641463" w14:textId="77777777" w:rsidR="0025797F" w:rsidRPr="00D4072A" w:rsidRDefault="0025797F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CE9B02" w14:textId="5F983B4D" w:rsidR="001C5601" w:rsidRPr="001008E3" w:rsidRDefault="00EC7DA8" w:rsidP="002B0C24">
      <w:pPr>
        <w:pStyle w:val="Nagwek1"/>
        <w:spacing w:after="240"/>
        <w:jc w:val="center"/>
        <w:rPr>
          <w:rFonts w:asciiTheme="minorHAnsi" w:hAnsiTheme="minorHAnsi"/>
          <w:b w:val="0"/>
        </w:rPr>
      </w:pPr>
      <w:r w:rsidRPr="001008E3">
        <w:rPr>
          <w:rFonts w:asciiTheme="minorHAnsi" w:hAnsiTheme="minorHAnsi"/>
          <w:b w:val="0"/>
        </w:rPr>
        <w:t xml:space="preserve">Wniosek o wydanie zgody na </w:t>
      </w:r>
      <w:r w:rsidR="001C5601" w:rsidRPr="001008E3">
        <w:rPr>
          <w:rFonts w:asciiTheme="minorHAnsi" w:hAnsiTheme="minorHAnsi"/>
          <w:b w:val="0"/>
        </w:rPr>
        <w:t>odstępstwa od warunków produkcji ekologicznej w związku z zaistniałymi okolicznościami katastroficznymi*</w:t>
      </w:r>
    </w:p>
    <w:p w14:paraId="63054BBF" w14:textId="3F052A0E" w:rsidR="00EC7DA8" w:rsidRPr="001008E3" w:rsidRDefault="00EC7DA8" w:rsidP="00C00DC4">
      <w:pPr>
        <w:pStyle w:val="Nagwek2"/>
        <w:spacing w:line="276" w:lineRule="auto"/>
        <w:rPr>
          <w:rFonts w:asciiTheme="minorHAnsi" w:hAnsiTheme="minorHAnsi"/>
        </w:rPr>
      </w:pPr>
      <w:r w:rsidRPr="001008E3">
        <w:rPr>
          <w:rFonts w:asciiTheme="minorHAnsi" w:hAnsiTheme="minorHAnsi"/>
        </w:rPr>
        <w:t>Dane identyfikacyjne wnioskodawcy:</w:t>
      </w:r>
    </w:p>
    <w:p w14:paraId="442B3274" w14:textId="3A0BBE68" w:rsidR="00EC7DA8" w:rsidRPr="00D87A36" w:rsidRDefault="00C31976" w:rsidP="00D87A36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Imię i nazwisko lub n</w:t>
      </w:r>
      <w:r w:rsidR="002B0C24" w:rsidRPr="004075B9">
        <w:rPr>
          <w:rFonts w:asciiTheme="minorHAnsi" w:hAnsiTheme="minorHAnsi" w:cstheme="minorHAnsi"/>
          <w:color w:val="000000" w:themeColor="text1"/>
          <w:szCs w:val="22"/>
        </w:rPr>
        <w:t>azwa producenta ekologicznego:</w:t>
      </w:r>
      <w:r w:rsidR="00AE4464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33874385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A816652" w14:textId="1F98C106" w:rsidR="002B0C24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37753505"/>
          <w:placeholder>
            <w:docPart w:val="DefaultPlaceholder_-1854013440"/>
          </w:placeholder>
        </w:sdtPr>
        <w:sdtEndPr/>
        <w:sdtContent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4779DC6B" w14:textId="136B581C" w:rsidR="00B377A9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Adres do korespondencji</w:t>
      </w:r>
      <w:r w:rsidR="00C31976" w:rsidRPr="004075B9">
        <w:rPr>
          <w:rFonts w:asciiTheme="minorHAnsi" w:hAnsiTheme="minorHAnsi" w:cstheme="minorHAnsi"/>
          <w:color w:val="000000" w:themeColor="text1"/>
          <w:szCs w:val="22"/>
        </w:rPr>
        <w:t xml:space="preserve"> (wpisać w </w:t>
      </w:r>
      <w:r w:rsidR="005E567E" w:rsidRPr="004075B9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="00C31976" w:rsidRPr="004075B9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5E567E" w:rsidRPr="004075B9">
        <w:rPr>
          <w:rFonts w:asciiTheme="minorHAnsi" w:hAnsiTheme="minorHAnsi" w:cstheme="minorHAnsi"/>
          <w:color w:val="000000" w:themeColor="text1"/>
          <w:szCs w:val="22"/>
        </w:rPr>
        <w:t>):</w:t>
      </w:r>
      <w:r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7109626"/>
          <w:placeholder>
            <w:docPart w:val="DefaultPlaceholder_-1854013440"/>
          </w:placeholder>
        </w:sdtPr>
        <w:sdtEndPr/>
        <w:sdtContent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61DAD378" w14:textId="1FD6A0C7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Telefon:</w:t>
      </w:r>
      <w:r w:rsidR="00B377A9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52457030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D4A80B2" w14:textId="7C18E8C3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Pesel (obowiązkowy dla osób fizycznych):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630519491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DB217A" w14:textId="1A6FD691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NIP (obowiązkowy dla firm):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83998060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2C4367D" w14:textId="5CB81FBA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Nazwa jednostki certyfikującej kontrolującej producenta: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72050220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672B63D" w14:textId="7BC97C81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Numer producenta nadany przez jednostkę certyfikującą: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24130675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401E21B" w14:textId="6D0D8323" w:rsidR="005E567E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16967459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13CC353" w14:textId="7C73C53A" w:rsidR="00F516A7" w:rsidRPr="001008E3" w:rsidRDefault="00F516A7" w:rsidP="00EE0ED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AA346F" w14:textId="45D5F2D1" w:rsidR="00FB5214" w:rsidRPr="001008E3" w:rsidRDefault="00B152E8" w:rsidP="00831DAA">
      <w:pPr>
        <w:suppressAutoHyphens w:val="0"/>
        <w:spacing w:after="240" w:line="276" w:lineRule="auto"/>
        <w:rPr>
          <w:rFonts w:asciiTheme="minorHAnsi" w:hAnsiTheme="minorHAnsi"/>
          <w:b/>
          <w:color w:val="000000" w:themeColor="text1"/>
        </w:rPr>
      </w:pPr>
      <w:r w:rsidRPr="001008E3">
        <w:rPr>
          <w:rFonts w:asciiTheme="minorHAnsi" w:hAnsiTheme="minorHAnsi"/>
          <w:b/>
          <w:color w:val="000000" w:themeColor="text1"/>
        </w:rPr>
        <w:t>Wnoszę</w:t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 o wydanie zgody na </w:t>
      </w:r>
      <w:r w:rsidR="002E5786" w:rsidRPr="001008E3">
        <w:rPr>
          <w:rFonts w:asciiTheme="minorHAnsi" w:hAnsiTheme="minorHAnsi"/>
          <w:b/>
          <w:color w:val="000000" w:themeColor="text1"/>
        </w:rPr>
        <w:t>odstępstwo/</w:t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odstępstwa od warunków produkcji ekologicznej </w:t>
      </w:r>
      <w:r w:rsidR="002075B1" w:rsidRPr="001008E3">
        <w:rPr>
          <w:rFonts w:asciiTheme="minorHAnsi" w:hAnsiTheme="minorHAnsi"/>
          <w:b/>
          <w:color w:val="000000" w:themeColor="text1"/>
        </w:rPr>
        <w:br/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w związku z zaistniałymi okolicznościami </w:t>
      </w:r>
      <w:r w:rsidR="005E567E" w:rsidRPr="001008E3">
        <w:rPr>
          <w:rFonts w:asciiTheme="minorHAnsi" w:hAnsiTheme="minorHAnsi"/>
          <w:b/>
          <w:color w:val="000000" w:themeColor="text1"/>
        </w:rPr>
        <w:t>katastroficznymi: *</w:t>
      </w:r>
      <w:r w:rsidRPr="001008E3">
        <w:rPr>
          <w:rFonts w:asciiTheme="minorHAnsi" w:hAnsiTheme="minorHAnsi"/>
          <w:b/>
          <w:color w:val="000000" w:themeColor="text1"/>
        </w:rPr>
        <w:t>*</w:t>
      </w:r>
    </w:p>
    <w:p w14:paraId="718A20C9" w14:textId="6F43F31F" w:rsidR="0002494E" w:rsidRPr="001008E3" w:rsidRDefault="00020503" w:rsidP="0044045B">
      <w:pPr>
        <w:pStyle w:val="Akapitzlist"/>
        <w:suppressAutoHyphens w:val="0"/>
        <w:spacing w:after="240" w:line="276" w:lineRule="auto"/>
        <w:ind w:left="363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101629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7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5E567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87789" w:rsidRPr="001008E3">
        <w:rPr>
          <w:rFonts w:asciiTheme="minorHAnsi" w:hAnsiTheme="minorHAnsi" w:cstheme="minorHAnsi"/>
          <w:b/>
          <w:color w:val="000000" w:themeColor="text1"/>
        </w:rPr>
        <w:t>I)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u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życie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poniżej wymienionych 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zwierząt nieekologicznych w celu odnowienia lub odbudowania stada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, w związku z wysoką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śmiertelności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ą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zwierząt i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niedostępnością zwierząt pochodzących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 chowu ekologicznego</w:t>
      </w:r>
      <w:r w:rsidR="002075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 xml:space="preserve">na zasadzie odstępstwa od pkt 1.3.1 </w:t>
      </w:r>
      <w:r w:rsidR="00FC4D7D" w:rsidRPr="001008E3">
        <w:rPr>
          <w:rFonts w:asciiTheme="minorHAnsi" w:hAnsiTheme="minorHAnsi" w:cstheme="minorHAnsi"/>
          <w:b/>
          <w:color w:val="000000" w:themeColor="text1"/>
        </w:rPr>
        <w:br/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>części II załącznika II do rozporządzenia (UE) 2018/</w:t>
      </w:r>
      <w:r w:rsidR="005E567E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5E567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5E567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 xml:space="preserve"> 3 ust. 2 rozporządzenia delegowanego Komisji (UE) 2020/2146) </w:t>
      </w:r>
      <w:r w:rsidR="0019345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>1</w:t>
      </w:r>
    </w:p>
    <w:p w14:paraId="5D9274DE" w14:textId="4738B2D2" w:rsidR="0002494E" w:rsidRPr="001008E3" w:rsidRDefault="0002494E" w:rsidP="00E03A25">
      <w:pPr>
        <w:pStyle w:val="Akapitzlist"/>
        <w:suppressAutoHyphens w:val="0"/>
        <w:spacing w:after="240"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nieekologicznych, które będą użyte  w celu odnowienia lub odbudowania stada, w związku z wysoką śmiertelnością zwierząt i niedostępnością zwierząt pochodzących z chowu ekologicznego"/>
        <w:tblDescription w:val="Należy podać gatunek, rasę liczbę zwierząt, wiek, planowany termin wprowadzenia zwierząt do gospodarstwa ekologiczego"/>
      </w:tblPr>
      <w:tblGrid>
        <w:gridCol w:w="2029"/>
        <w:gridCol w:w="1917"/>
        <w:gridCol w:w="1666"/>
        <w:gridCol w:w="1682"/>
        <w:gridCol w:w="2560"/>
      </w:tblGrid>
      <w:tr w:rsidR="001008E3" w:rsidRPr="001008E3" w14:paraId="5A64AA99" w14:textId="77777777" w:rsidTr="00BE6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EE72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Gatunek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238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Rasa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9EA" w14:textId="525EB694" w:rsidR="0002494E" w:rsidRPr="001008E3" w:rsidRDefault="0002494E" w:rsidP="00F6261E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Liczba zwierząt</w:t>
            </w:r>
            <w:r w:rsidR="004A0B17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(w przypadku pszczół</w:t>
            </w:r>
            <w:r w:rsidR="00F6261E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podać liczbę</w:t>
            </w:r>
            <w:r w:rsidR="004A0B17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rojów)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8FF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Wiek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0F3" w14:textId="77777777" w:rsidR="0002494E" w:rsidRPr="001008E3" w:rsidRDefault="0002494E" w:rsidP="00BE5454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Planowany termin wprowadzenia zwierząt do gospodarstwa ekologicznego</w:t>
            </w:r>
          </w:p>
        </w:tc>
      </w:tr>
      <w:tr w:rsidR="001008E3" w:rsidRPr="001008E3" w14:paraId="2C9220F4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4FE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650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670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568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B89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5ED96E99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8FB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08E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117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076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84B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6EEB2F69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D1D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333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A6D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47A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4F5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F32B883" w14:textId="68724538" w:rsidR="00874381" w:rsidRPr="001008E3" w:rsidRDefault="00874381" w:rsidP="00CF209A">
      <w:pPr>
        <w:suppressAutoHyphens w:val="0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24C897DB" w14:textId="77777777" w:rsidR="00B152E8" w:rsidRPr="001008E3" w:rsidRDefault="00B152E8" w:rsidP="00B152E8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555F29B0" w14:textId="41127978" w:rsidR="00C879B3" w:rsidRPr="001008E3" w:rsidRDefault="00020503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32191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7877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II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)</w:t>
      </w:r>
      <w:r w:rsidR="007877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użycie paszy nieekologicznej zamiast ekologicznej lub w okresie konwersji do żywienia zwierząt, w związku z utratą produkcji</w:t>
      </w:r>
      <w:r w:rsidR="00C879B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paszy lub </w:t>
      </w:r>
      <w:r w:rsidR="00195A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gdy </w:t>
      </w:r>
      <w:r w:rsidR="00C879B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nałożono na nią ograniczenia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972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- </w:t>
      </w:r>
      <w:r w:rsidR="00A972C9" w:rsidRPr="001008E3">
        <w:rPr>
          <w:rFonts w:asciiTheme="minorHAnsi" w:hAnsiTheme="minorHAnsi" w:cstheme="minorHAnsi"/>
          <w:b/>
          <w:color w:val="000000" w:themeColor="text1"/>
        </w:rPr>
        <w:t>na zasadzie odstępstwa od pkt 1.4.1 lit. b) części II załącznika II do rozporządzenia (UE) 2018/848</w:t>
      </w:r>
      <w:r w:rsidR="00A972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E301E5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F209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E301E5" w:rsidRPr="001008E3">
        <w:rPr>
          <w:rFonts w:asciiTheme="minorHAnsi" w:hAnsiTheme="minorHAnsi" w:cstheme="minorHAnsi"/>
          <w:b/>
          <w:color w:val="000000" w:themeColor="text1"/>
        </w:rPr>
        <w:t xml:space="preserve"> 3 ust. 3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</w:p>
    <w:p w14:paraId="26A628A1" w14:textId="77777777" w:rsidR="00E03A25" w:rsidRPr="001008E3" w:rsidRDefault="00E03A25" w:rsidP="00E03A25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dotyczaca paszy nieekologicznej zamiast ekologicznej lub w okresie konwersji do żywienia zwierząt, w związku z utratą produkcji paszy lub gdy nałożono na nią ograniczenia"/>
        <w:tblDescription w:val="Należy wskazać rodzaj oraz ilość paszy,atunek oraz liczba zwierząt, dla których przeznaczona będzie nieekologiczna pasza, przedział czasowy, w jakim będzie stosowana nieekologiczna pasza (od miesiąca do miesiąca danego roku)"/>
      </w:tblPr>
      <w:tblGrid>
        <w:gridCol w:w="1532"/>
        <w:gridCol w:w="4164"/>
        <w:gridCol w:w="4158"/>
      </w:tblGrid>
      <w:tr w:rsidR="001008E3" w:rsidRPr="001008E3" w14:paraId="298FF96D" w14:textId="77777777" w:rsidTr="00D9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DFFA" w14:textId="77777777" w:rsidR="008D69C6" w:rsidRPr="001008E3" w:rsidRDefault="008D69C6" w:rsidP="009B413C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Rodzaj oraz Ilość paszy (tony)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5262" w14:textId="77777777" w:rsidR="008D69C6" w:rsidRPr="001008E3" w:rsidRDefault="008D69C6" w:rsidP="009B4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Gatunek oraz liczba zwierząt, dla których przeznaczona będzie nieekologiczna pasza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E43" w14:textId="5B699A82" w:rsidR="008D69C6" w:rsidRPr="001008E3" w:rsidRDefault="008D69C6" w:rsidP="009B4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Przedział czasowy, w jakim będzie stosowana nieekologiczna pasza</w:t>
            </w: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br/>
              <w:t>(od miesiąca do miesiąca danego roku)</w:t>
            </w:r>
          </w:p>
        </w:tc>
      </w:tr>
      <w:tr w:rsidR="001008E3" w:rsidRPr="001008E3" w14:paraId="684CC132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275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D65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30D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138AF46C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572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10A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250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6CE49130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24A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D6C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839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0DEB89E0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84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804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6E8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002AC62" w14:textId="77777777" w:rsidR="008D69C6" w:rsidRPr="001008E3" w:rsidRDefault="008D69C6" w:rsidP="008D69C6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22A456E8" w14:textId="15A6B5E9" w:rsidR="00E03A25" w:rsidRPr="001008E3" w:rsidRDefault="00E03A25" w:rsidP="00856889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4D62CD46" w14:textId="077B5471" w:rsidR="005A48DC" w:rsidRPr="00D87A36" w:rsidRDefault="00020503" w:rsidP="00D87A36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134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III)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6812F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dostosowanie wymogów dotyczących wypasu na gruntach ekologicznych, </w:t>
      </w:r>
      <w:r w:rsidR="005A48D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tj. </w:t>
      </w:r>
      <w:r w:rsidR="006812F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gęstości obsady w budynkach oraz minimalnych powierzchni pomieszczeń i przestrzeni otwartych, określonych w akcie wykonawczym przyjętym na podstawie art. 14 ust. 3 rozporządzenia </w:t>
      </w:r>
      <w:r w:rsidR="00E3390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(UE) 2018/848</w:t>
      </w:r>
      <w:r w:rsidR="00277AC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</w:t>
      </w:r>
      <w:r w:rsidR="006C389A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6C389A" w:rsidRPr="001008E3">
        <w:rPr>
          <w:rFonts w:asciiTheme="minorHAnsi" w:hAnsiTheme="minorHAnsi" w:cstheme="minorHAnsi"/>
          <w:b/>
          <w:color w:val="000000" w:themeColor="text1"/>
        </w:rPr>
        <w:t>na zasadzie odstępstwa od pkt 1.4.2.1, 1.6.3 i 1.6.4 części II załącznika II do rozporządzenia (UE) 2018/</w:t>
      </w:r>
      <w:r w:rsidR="0044045B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AF33A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AF33AD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F209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AF33AD" w:rsidRPr="001008E3">
        <w:rPr>
          <w:rFonts w:asciiTheme="minorHAnsi" w:hAnsiTheme="minorHAnsi" w:cstheme="minorHAnsi"/>
          <w:b/>
          <w:color w:val="000000" w:themeColor="text1"/>
        </w:rPr>
        <w:t xml:space="preserve"> 3 ust. 4 rozporządzenia delegowanego Komisji (UE) 2020/2146)</w:t>
      </w:r>
    </w:p>
    <w:p w14:paraId="55EB4E58" w14:textId="7C06031F" w:rsidR="00AF33AD" w:rsidRPr="0044045B" w:rsidRDefault="005A48DC" w:rsidP="0044045B">
      <w:pPr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83049026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64F383B" w14:textId="2E7B9101" w:rsidR="001476AF" w:rsidRPr="001008E3" w:rsidRDefault="00020503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21049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IV)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9C72C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zmniejszenie odsetka suchej masy składający się z paszy objętościowej, paszy zielonej lub suszu paszowego lub kiszonki w dziennej dawce pokarmowej w przypadku utraty produkcji paszy lub nałożenia na nią ograniczeń</w:t>
      </w:r>
      <w:r w:rsidR="00B9426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B94268" w:rsidRPr="001008E3">
        <w:rPr>
          <w:rFonts w:asciiTheme="minorHAnsi" w:hAnsiTheme="minorHAnsi" w:cstheme="minorHAnsi"/>
          <w:b/>
          <w:color w:val="000000" w:themeColor="text1"/>
        </w:rPr>
        <w:t>na zasadzie odstępstwa od pkt 1.9.1.1 lit. f) części II załącznika II do rozporządzenia (UE) 2018/848</w:t>
      </w:r>
      <w:r w:rsidR="001476AF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1476AF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8C61F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051C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8C61FB" w:rsidRPr="001008E3">
        <w:rPr>
          <w:rFonts w:asciiTheme="minorHAnsi" w:hAnsiTheme="minorHAnsi" w:cstheme="minorHAnsi"/>
          <w:b/>
          <w:color w:val="000000" w:themeColor="text1"/>
        </w:rPr>
        <w:t xml:space="preserve"> 3 ust. 5</w:t>
      </w:r>
      <w:r w:rsidR="001476AF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B9426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2</w:t>
      </w:r>
    </w:p>
    <w:p w14:paraId="6FEB5558" w14:textId="22743FB6" w:rsidR="00FC0B37" w:rsidRPr="001008E3" w:rsidRDefault="005B5F08" w:rsidP="00140EB7">
      <w:pPr>
        <w:spacing w:after="720"/>
        <w:ind w:left="360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34359554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0888FC4" w14:textId="34A59FB2" w:rsidR="00DF4465" w:rsidRPr="001008E3" w:rsidRDefault="00020503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70089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dokarmiane</w:t>
      </w:r>
      <w:r w:rsidR="0087438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rodzin pszczelich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ekologicznym miodem lub pyłkiem, ekologicznymi syropami cukrowymi lub ekologicznym cukrem, w </w:t>
      </w:r>
      <w:r w:rsidR="00D4226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przetrwanie uli jest zagrożone z przyczyn innych niż warunki klimatyczne</w:t>
      </w:r>
      <w:r w:rsidR="007C355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7C3551" w:rsidRPr="001008E3">
        <w:rPr>
          <w:rFonts w:asciiTheme="minorHAnsi" w:hAnsiTheme="minorHAnsi" w:cstheme="minorHAnsi"/>
          <w:b/>
          <w:color w:val="000000" w:themeColor="text1"/>
        </w:rPr>
        <w:t>na zasadzie odstępstwa od pkt 1.9.6.2 lit. b) części II załącznika II do rozporządzenia (UE) 2018/</w:t>
      </w:r>
      <w:r w:rsidR="00D4226E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D4226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DF446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9753D5" w:rsidRPr="001008E3">
        <w:rPr>
          <w:rFonts w:asciiTheme="minorHAnsi" w:hAnsiTheme="minorHAnsi" w:cstheme="minorHAnsi"/>
          <w:b/>
          <w:color w:val="000000" w:themeColor="text1"/>
        </w:rPr>
        <w:t xml:space="preserve">2, 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3 ust. 6</w:t>
      </w:r>
      <w:r w:rsidR="00DF4465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6413E7" w:rsidRPr="001008E3">
        <w:rPr>
          <w:rFonts w:asciiTheme="minorHAnsi" w:hAnsiTheme="minorHAnsi" w:cstheme="minorHAnsi"/>
          <w:b/>
          <w:color w:val="000000" w:themeColor="text1"/>
        </w:rPr>
        <w:br/>
      </w:r>
    </w:p>
    <w:p w14:paraId="5568A354" w14:textId="0489469B" w:rsidR="00874381" w:rsidRPr="001008E3" w:rsidRDefault="00874381" w:rsidP="00874381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Informuję, że dokarmianie rodzin pszczelich odbywać się będzie 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w okresie (podać przedział czasowy z</w:t>
      </w:r>
      <w:r w:rsidR="000A09A5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uwzględnieniem miesięcy i roku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62859456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080B8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za pomocą</w:t>
      </w: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**:</w:t>
      </w:r>
    </w:p>
    <w:p w14:paraId="295E563C" w14:textId="1068389D" w:rsidR="00874381" w:rsidRPr="001008E3" w:rsidRDefault="00020503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6223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miodu</w:t>
      </w:r>
    </w:p>
    <w:p w14:paraId="65A2118C" w14:textId="2DE97892" w:rsidR="00874381" w:rsidRPr="001008E3" w:rsidRDefault="00020503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009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pyłku</w:t>
      </w:r>
    </w:p>
    <w:p w14:paraId="2C69E989" w14:textId="3BB46AB4" w:rsidR="00874381" w:rsidRPr="001008E3" w:rsidRDefault="00020503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5974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syropu cukrowego</w:t>
      </w:r>
    </w:p>
    <w:p w14:paraId="7A318A48" w14:textId="51191D57" w:rsidR="00DF4465" w:rsidRDefault="00020503" w:rsidP="00140EB7">
      <w:pPr>
        <w:pStyle w:val="Akapitzlist"/>
        <w:spacing w:after="600"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8025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cukru</w:t>
      </w:r>
    </w:p>
    <w:p w14:paraId="4B877164" w14:textId="77777777" w:rsidR="00140EB7" w:rsidRPr="001008E3" w:rsidRDefault="00140EB7" w:rsidP="00140EB7">
      <w:pPr>
        <w:pStyle w:val="Akapitzlist"/>
        <w:spacing w:after="600" w:line="276" w:lineRule="auto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55B3067E" w14:textId="0E5A19DB" w:rsidR="00B552E2" w:rsidRPr="001008E3" w:rsidRDefault="00020503" w:rsidP="00140EB7">
      <w:pPr>
        <w:pStyle w:val="Akapitzlist"/>
        <w:suppressAutoHyphens w:val="0"/>
        <w:spacing w:before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3995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D20E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przeniesienie rodzin pszczelich na obszary, które nie spełniają przepisów dotyczących umieszczania pasiek</w:t>
      </w:r>
      <w:r w:rsidR="00D43F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, w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D43F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przetrwanie uli jest zagrożone</w:t>
      </w:r>
      <w:r w:rsidR="00A877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</w:t>
      </w:r>
      <w:r w:rsidR="007C27C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7C27CE" w:rsidRPr="001008E3">
        <w:rPr>
          <w:rFonts w:asciiTheme="minorHAnsi" w:hAnsiTheme="minorHAnsi" w:cstheme="minorHAnsi"/>
          <w:b/>
          <w:color w:val="000000" w:themeColor="text1"/>
        </w:rPr>
        <w:t>na zasadzie odstępstwa od pkt 1.9.6.5 lit. a) i c) części II załącznika II do rozporządzenia (UE) 2018/</w:t>
      </w:r>
      <w:r w:rsidR="0044045B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1F11AC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 3 ust. 7</w:t>
      </w:r>
      <w:r w:rsidR="00A128CC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</w:p>
    <w:p w14:paraId="1EBE7E54" w14:textId="77777777" w:rsidR="002C43B9" w:rsidRPr="001008E3" w:rsidRDefault="002C43B9" w:rsidP="002C43B9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65FC40DF" w14:textId="7EBCC992" w:rsidR="00637010" w:rsidRDefault="002C43B9" w:rsidP="00140EB7">
      <w:pPr>
        <w:pStyle w:val="Akapitzlist"/>
        <w:spacing w:before="600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198376161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B8DD5AF" w14:textId="7B4B66EC" w:rsidR="00140EB7" w:rsidRDefault="00140EB7" w:rsidP="00140EB7">
      <w:pPr>
        <w:pStyle w:val="Akapitzlist"/>
        <w:spacing w:before="840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6B86F76" w14:textId="77777777" w:rsidR="00140EB7" w:rsidRPr="001008E3" w:rsidRDefault="00140EB7" w:rsidP="00140EB7">
      <w:pPr>
        <w:pStyle w:val="Akapitzlist"/>
        <w:spacing w:before="840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4CF2B236" w14:textId="6E55C7B9" w:rsidR="00E03A25" w:rsidRPr="001008E3" w:rsidRDefault="00020503" w:rsidP="00140EB7">
      <w:pPr>
        <w:pStyle w:val="Akapitzlist"/>
        <w:suppressAutoHyphens w:val="0"/>
        <w:spacing w:before="240"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6862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C478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odnowienie lub odbudowanie zasobów zwierząt akwakultury przy użyciu </w:t>
      </w:r>
      <w:r w:rsidR="00CA6C0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poniżej wymienionych 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nieekologicznych zwierząt akwakultury</w:t>
      </w:r>
      <w:r w:rsidR="004B0E40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,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</w:t>
      </w:r>
      <w:r w:rsidR="00B1142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związku z wysoką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śmiertelnością i</w:t>
      </w:r>
      <w:r w:rsidR="00B1142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zwierzęta pochodzące z chowu ekologicznego nie są dostępne</w:t>
      </w:r>
      <w:r w:rsidR="008857AC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FC0B37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- </w:t>
      </w:r>
      <w:r w:rsidR="00FC0B37" w:rsidRPr="001008E3">
        <w:rPr>
          <w:rFonts w:asciiTheme="minorHAnsi" w:hAnsiTheme="minorHAnsi" w:cstheme="minorHAnsi"/>
          <w:b/>
          <w:color w:val="000000" w:themeColor="text1"/>
        </w:rPr>
        <w:t>na zasadzie odstępstwa od pkt 3.1.2.1 lit. a) części III załącznika II do rozporządzenia (UE) 2018/848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D27DD4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 3 ust. 8</w:t>
      </w:r>
      <w:r w:rsidR="00A128CC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F01FA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3</w:t>
      </w:r>
    </w:p>
    <w:p w14:paraId="22061333" w14:textId="77777777" w:rsidR="00B1142D" w:rsidRPr="001008E3" w:rsidRDefault="00B1142D" w:rsidP="00B1142D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tbl>
      <w:tblPr>
        <w:tblStyle w:val="Tabelasiatki1jasnaakcent1"/>
        <w:tblW w:w="4529" w:type="pct"/>
        <w:jc w:val="center"/>
        <w:tblLook w:val="04A0" w:firstRow="1" w:lastRow="0" w:firstColumn="1" w:lastColumn="0" w:noHBand="0" w:noVBand="1"/>
        <w:tblCaption w:val="Informacja dotycząca liczby nieekologicznych zwierząt, które będą użyte w celuodnowienia lub odbudowania zasobów zwierząt akwakultury w związku z wysoką śmiertelnością i w przypadku, gdy zwierzęta pochodzące z chowu ekologicznego nie są dostępne"/>
        <w:tblDescription w:val="Należy wskazać gatunek, liczbę zwierząt, wiek, planowany termin wprowadzenia zwierząt do gospodarstwa ekologicznego"/>
      </w:tblPr>
      <w:tblGrid>
        <w:gridCol w:w="2052"/>
        <w:gridCol w:w="1519"/>
        <w:gridCol w:w="1701"/>
        <w:gridCol w:w="3654"/>
      </w:tblGrid>
      <w:tr w:rsidR="001008E3" w:rsidRPr="001008E3" w14:paraId="560E1E57" w14:textId="77777777" w:rsidTr="00D4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535" w14:textId="77777777" w:rsidR="005D6678" w:rsidRPr="001008E3" w:rsidRDefault="005D6678" w:rsidP="007101D5">
            <w:pPr>
              <w:suppressAutoHyphens w:val="0"/>
              <w:spacing w:after="24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Gatunek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CA7A" w14:textId="75C2D4AB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Liczba zwierząt akwakultury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C39" w14:textId="77777777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Wiek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F7F" w14:textId="77777777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Planowany termin wprowadzenia zwierząt do gospodarstwa ekologicznego</w:t>
            </w:r>
          </w:p>
        </w:tc>
      </w:tr>
      <w:tr w:rsidR="001008E3" w:rsidRPr="001008E3" w14:paraId="41DAA85F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C53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F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DAA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789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570FF62D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A09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AA1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2CE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D64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4F52D0E9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5D1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71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987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70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16CB4DAA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415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62D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6D4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2D8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41AAA64" w14:textId="39DC8275" w:rsidR="000419DE" w:rsidRPr="001008E3" w:rsidRDefault="000419DE" w:rsidP="008F5848">
      <w:pPr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681A4D77" w14:textId="3CEF4AFE" w:rsidR="000419DE" w:rsidRPr="0044045B" w:rsidRDefault="00020503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87226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A39A9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VIII)</w:t>
      </w:r>
      <w:r w:rsidR="0002494E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8685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stosowanie dwutlenku siarki do maksymalnej zawartości określonej w części B załącznika I do rozporządzenia delegowanego (UE) 2019/934</w:t>
      </w:r>
      <w:r w:rsidR="00E03A2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do wytwarzania produktów sektora wina</w:t>
      </w:r>
      <w:r w:rsidR="00AB5653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AB5653" w:rsidRPr="0044045B">
        <w:rPr>
          <w:rFonts w:asciiTheme="minorHAnsi" w:hAnsiTheme="minorHAnsi" w:cstheme="minorHAnsi"/>
          <w:b/>
          <w:color w:val="000000" w:themeColor="text1"/>
        </w:rPr>
        <w:t>na zasadzie odstępstwa od aktu wykonawczego przyjętego na podstawie art. 24 ust. 9 rozporządzenia (UE) 2018/</w:t>
      </w:r>
      <w:r w:rsidR="0044045B" w:rsidRPr="0044045B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44045B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</w:t>
      </w:r>
      <w:r w:rsidR="00E301E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E301E5" w:rsidRPr="0044045B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BE0EBC" w:rsidRPr="0044045B">
        <w:rPr>
          <w:rFonts w:asciiTheme="minorHAnsi" w:hAnsiTheme="minorHAnsi" w:cstheme="minorHAnsi"/>
          <w:b/>
          <w:color w:val="000000" w:themeColor="text1"/>
        </w:rPr>
        <w:t xml:space="preserve">2, </w:t>
      </w:r>
      <w:r w:rsidR="00E301E5" w:rsidRPr="0044045B">
        <w:rPr>
          <w:rFonts w:asciiTheme="minorHAnsi" w:hAnsiTheme="minorHAnsi" w:cstheme="minorHAnsi"/>
          <w:b/>
          <w:color w:val="000000" w:themeColor="text1"/>
        </w:rPr>
        <w:t>3 ust. 9 rozporządzenia delegowanego Komisji (UE) 2020/2146)</w:t>
      </w:r>
      <w:r w:rsidR="00E03A2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4</w:t>
      </w:r>
    </w:p>
    <w:p w14:paraId="413099CF" w14:textId="77777777" w:rsidR="00E03A25" w:rsidRPr="001008E3" w:rsidRDefault="00E03A25" w:rsidP="00E03A25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51D105B8" w14:textId="70FEA576" w:rsidR="00E03A25" w:rsidRPr="001008E3" w:rsidRDefault="00E03A25" w:rsidP="0044045B">
      <w:pPr>
        <w:pStyle w:val="Akapitzlist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0547538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B31F15A" w14:textId="77777777" w:rsidR="001171F2" w:rsidRPr="001008E3" w:rsidRDefault="001171F2" w:rsidP="00010410">
      <w:pPr>
        <w:spacing w:before="240"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369932D1" w14:textId="520695CC" w:rsidR="00B70023" w:rsidRPr="001008E3" w:rsidRDefault="00B70023" w:rsidP="00010410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08E3">
        <w:rPr>
          <w:rFonts w:asciiTheme="minorHAnsi" w:hAnsiTheme="minorHAnsi" w:cstheme="minorHAnsi"/>
          <w:b/>
          <w:color w:val="000000" w:themeColor="text1"/>
        </w:rPr>
        <w:t xml:space="preserve">W związku z ubieganiem się 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>p</w:t>
      </w:r>
      <w:r w:rsidRPr="001008E3">
        <w:rPr>
          <w:rFonts w:asciiTheme="minorHAnsi" w:hAnsiTheme="minorHAnsi" w:cstheme="minorHAnsi"/>
          <w:b/>
          <w:color w:val="000000" w:themeColor="text1"/>
        </w:rPr>
        <w:t>o</w:t>
      </w:r>
      <w:r w:rsidR="0010061F" w:rsidRPr="001008E3">
        <w:rPr>
          <w:rFonts w:asciiTheme="minorHAnsi" w:hAnsiTheme="minorHAnsi" w:cstheme="minorHAnsi"/>
          <w:b/>
          <w:color w:val="000000" w:themeColor="text1"/>
        </w:rPr>
        <w:t>wyżej zaznaczone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odstępstwo</w:t>
      </w:r>
      <w:r w:rsidR="000B0600" w:rsidRPr="001008E3">
        <w:rPr>
          <w:rFonts w:asciiTheme="minorHAnsi" w:hAnsiTheme="minorHAnsi" w:cstheme="minorHAnsi"/>
          <w:b/>
          <w:color w:val="000000" w:themeColor="text1"/>
        </w:rPr>
        <w:t>/odstępstwa (pkt I-VIII</w:t>
      </w:r>
      <w:r w:rsidR="0010061F" w:rsidRPr="001008E3">
        <w:rPr>
          <w:rFonts w:asciiTheme="minorHAnsi" w:hAnsiTheme="minorHAnsi" w:cstheme="minorHAnsi"/>
          <w:b/>
          <w:color w:val="000000" w:themeColor="text1"/>
        </w:rPr>
        <w:t>)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>,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do wniosku załączam </w:t>
      </w:r>
      <w:r w:rsidR="00010410" w:rsidRPr="001008E3">
        <w:rPr>
          <w:rFonts w:asciiTheme="minorHAnsi" w:hAnsiTheme="minorHAnsi" w:cstheme="minorHAnsi"/>
          <w:b/>
          <w:color w:val="000000" w:themeColor="text1"/>
        </w:rPr>
        <w:t>formalną decyzję potwierdzającą okoliczności</w:t>
      </w:r>
      <w:r w:rsidR="00B140DF" w:rsidRPr="001008E3">
        <w:rPr>
          <w:rFonts w:asciiTheme="minorHAnsi" w:hAnsiTheme="minorHAnsi" w:cstheme="minorHAnsi"/>
          <w:b/>
          <w:color w:val="000000" w:themeColor="text1"/>
        </w:rPr>
        <w:t xml:space="preserve"> katastroficzne</w:t>
      </w:r>
      <w:r w:rsidR="00010410" w:rsidRPr="001008E3">
        <w:rPr>
          <w:rFonts w:asciiTheme="minorHAnsi" w:hAnsiTheme="minorHAnsi" w:cstheme="minorHAnsi"/>
          <w:b/>
          <w:color w:val="000000" w:themeColor="text1"/>
        </w:rPr>
        <w:t>, wydaną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przez:</w:t>
      </w:r>
    </w:p>
    <w:p w14:paraId="2E3F5E28" w14:textId="510C8E2C" w:rsidR="00B70023" w:rsidRPr="001008E3" w:rsidRDefault="00B836A2" w:rsidP="00B70023">
      <w:pPr>
        <w:pStyle w:val="Akapitzlist"/>
        <w:numPr>
          <w:ilvl w:val="1"/>
          <w:numId w:val="24"/>
        </w:numPr>
        <w:spacing w:before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Nazwa instytucji</w:t>
      </w:r>
      <w:r w:rsidR="00B7002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, która wydała dokument: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502749814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00C0364" w14:textId="6459F2E9" w:rsidR="00B70023" w:rsidRPr="001008E3" w:rsidRDefault="00B70023" w:rsidP="00B70023">
      <w:pPr>
        <w:pStyle w:val="Akapitzlist"/>
        <w:numPr>
          <w:ilvl w:val="1"/>
          <w:numId w:val="24"/>
        </w:numPr>
        <w:spacing w:before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Nazwa dokumentu: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7008078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68FE97C" w14:textId="77777777" w:rsidR="001171F2" w:rsidRPr="001008E3" w:rsidRDefault="001171F2" w:rsidP="00831D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0E75394" w14:textId="6D5FFD93" w:rsidR="00831DAA" w:rsidRPr="001008E3" w:rsidRDefault="00831DAA" w:rsidP="00831DAA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</w:t>
      </w:r>
      <w:r w:rsidR="003A3393"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k na podstawie przepisów prawa</w:t>
      </w:r>
      <w:r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, na czas niezbędny do załatwienia sprawy.</w:t>
      </w:r>
    </w:p>
    <w:p w14:paraId="61CAB743" w14:textId="08FB81F6" w:rsidR="00426356" w:rsidRPr="001008E3" w:rsidRDefault="00831DAA" w:rsidP="008F5848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008E3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008E3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72D62BCB" w14:textId="2A0539BE" w:rsidR="004A5EA6" w:rsidRPr="001008E3" w:rsidRDefault="00D4226E" w:rsidP="00D4226E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</w:t>
      </w:r>
      <w:r w:rsidR="004404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143E7FBB" w:rsidR="004806E5" w:rsidRPr="001008E3" w:rsidRDefault="004806E5" w:rsidP="008F5848">
      <w:p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*złożony na </w:t>
      </w:r>
      <w:r w:rsidR="004A0FDA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</w:t>
      </w:r>
      <w:r w:rsidR="00F0488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7</w:t>
      </w:r>
      <w:r w:rsidR="00460824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A37D99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B7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23 czerwca </w:t>
      </w:r>
      <w:r w:rsidR="00A37D99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</w:t>
      </w:r>
      <w:r w:rsidR="00556054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 i produkcji ekologicznej, </w:t>
      </w:r>
      <w:r w:rsidR="00E20832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art. 3 ust. 2–9 rozporządzenia delegowanego Komisji (UE) 2020/2146 z dnia 24 września 2020 r. uzupełniającego rozporządzenie Parlamentu Europejskiego i Rady (UE) 2018/848 w odniesieniu do wyjątkowych zasad produkcji w przypadku produkcji ekologicznej</w:t>
      </w:r>
    </w:p>
    <w:p w14:paraId="50FEC6ED" w14:textId="46BD14B8" w:rsidR="00AD4C9B" w:rsidRPr="001008E3" w:rsidRDefault="00AD4C9B" w:rsidP="008F5848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p w14:paraId="21817E84" w14:textId="7985119D" w:rsidR="008A3E23" w:rsidRPr="001008E3" w:rsidRDefault="005A48DC" w:rsidP="008F5848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*** </w:t>
      </w:r>
      <w:r w:rsidR="00B11F8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należy opisać wnioskowane odstępstwo wraz z podaniem </w:t>
      </w:r>
      <w:r w:rsidR="00B11F85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przedziału czasowego, w jakim będzie stosowane </w:t>
      </w:r>
      <w:r w:rsidR="008F2F77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(od miesiąca do miesiąca danego roku)</w:t>
      </w:r>
      <w:r w:rsidR="00FE53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9DD5949" w14:textId="386524DD" w:rsidR="002F0271" w:rsidRPr="001008E3" w:rsidRDefault="002F0271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 xml:space="preserve">1 </w:t>
      </w:r>
      <w:r w:rsidR="00560E1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warunkiem 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przyznania </w:t>
      </w:r>
      <w:r w:rsidR="00560E1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niniejszego odstępstwa jest,</w:t>
      </w:r>
      <w:r w:rsidR="00F41861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że spełnione są odpowiednie okresy konwersji określone w pkt </w:t>
      </w:r>
      <w:r w:rsidR="006B6A7B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1.2.2 części</w:t>
      </w:r>
      <w:r w:rsidR="00F41861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II załącznika II rozporządzenia (UE) 2018/848</w:t>
      </w:r>
      <w:r w:rsidR="00213086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. </w:t>
      </w:r>
      <w:r w:rsidR="003A305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Odstępstwo stosuje się również</w:t>
      </w:r>
      <w:r w:rsidR="00BE4FF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odpowiednio do produkcji pszczół i innych owadów</w:t>
      </w:r>
    </w:p>
    <w:p w14:paraId="141FCD21" w14:textId="0E4C0C09" w:rsidR="00086DCD" w:rsidRPr="001008E3" w:rsidRDefault="002E2F78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warunkiem przyznania niniejszego odstępstwa jest, </w:t>
      </w:r>
      <w:r w:rsidR="00086DCD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że zaspokojone są potrzeby żywieniowe zwierząt na poszczególnych etapach ich </w:t>
      </w:r>
      <w:r w:rsidR="00391343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rozwoju</w:t>
      </w:r>
      <w:r w:rsidR="00593D7D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</w:t>
      </w:r>
    </w:p>
    <w:p w14:paraId="03252DAC" w14:textId="6D2E3582" w:rsidR="00560E15" w:rsidRPr="001008E3" w:rsidRDefault="00560E15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vertAlign w:val="superscript"/>
          <w:lang w:eastAsia="en-US"/>
        </w:rPr>
        <w:t>3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warunkiem przyznania niniejszego odstępstwa jest,</w:t>
      </w: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że ostatnie dwie trzecie trwania cyklu produkcyjnego są zarządzane ekologicznie</w:t>
      </w:r>
    </w:p>
    <w:p w14:paraId="20C7B35D" w14:textId="50ECBC17" w:rsidR="00E03A25" w:rsidRPr="001008E3" w:rsidRDefault="00E03A25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vertAlign w:val="superscript"/>
          <w:lang w:eastAsia="en-US"/>
        </w:rPr>
        <w:t xml:space="preserve">4 </w:t>
      </w: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warunkiem przyznania niniejszego odstępstwa jest stan sanitarny winogron ekologicznych, który zobowiązuje producenta wina do stosowania większej ilości dwutlenku siarki niż w poprzednich latach w celu otrzymania porównywalnego produktu końcowego</w:t>
      </w:r>
    </w:p>
    <w:p w14:paraId="4859DFCF" w14:textId="3AEBD91F" w:rsidR="00560E15" w:rsidRPr="001008E3" w:rsidRDefault="00560E15" w:rsidP="00086DCD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vertAlign w:val="superscript"/>
          <w:lang w:eastAsia="en-US"/>
        </w:rPr>
      </w:pPr>
    </w:p>
    <w:p w14:paraId="62890EE7" w14:textId="2C20BF82" w:rsidR="002E2F78" w:rsidRPr="001008E3" w:rsidRDefault="002E2F78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2E2F78" w:rsidRPr="001008E3" w:rsidSect="00FE5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1485" w14:textId="77777777" w:rsidR="00631C75" w:rsidRDefault="00631C75">
      <w:r>
        <w:separator/>
      </w:r>
    </w:p>
  </w:endnote>
  <w:endnote w:type="continuationSeparator" w:id="0">
    <w:p w14:paraId="3D018434" w14:textId="77777777" w:rsidR="00631C75" w:rsidRDefault="0063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F081" w14:textId="1E3753F6" w:rsidR="00197548" w:rsidRPr="00A4503F" w:rsidRDefault="00197548" w:rsidP="00197548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A4503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A4503F">
      <w:rPr>
        <w:rFonts w:asciiTheme="minorHAnsi" w:hAnsiTheme="minorHAnsi" w:cstheme="minorHAnsi"/>
        <w:color w:val="000000" w:themeColor="text1"/>
      </w:rPr>
      <w:t>F-10/ BRE-07-IR-01, wydanie 7</w:t>
    </w:r>
    <w:r w:rsidR="00E67623" w:rsidRPr="00A4503F">
      <w:rPr>
        <w:rFonts w:asciiTheme="minorHAnsi" w:hAnsiTheme="minorHAnsi" w:cstheme="minorHAnsi"/>
        <w:color w:val="000000" w:themeColor="text1"/>
      </w:rPr>
      <w:t>t z dnia 07.07.2022</w:t>
    </w:r>
    <w:r w:rsidRPr="00A4503F">
      <w:rPr>
        <w:rFonts w:asciiTheme="minorHAnsi" w:hAnsiTheme="minorHAnsi" w:cstheme="minorHAnsi"/>
        <w:color w:val="000000" w:themeColor="text1"/>
      </w:rPr>
      <w:t xml:space="preserve">, str. </w:t>
    </w:r>
    <w:r w:rsidRPr="00A4503F">
      <w:rPr>
        <w:rStyle w:val="Numerstrony"/>
        <w:rFonts w:asciiTheme="minorHAnsi" w:hAnsiTheme="minorHAnsi" w:cstheme="minorHAnsi"/>
        <w:color w:val="000000" w:themeColor="text1"/>
      </w:rPr>
      <w:t xml:space="preserve">4 z </w: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A4503F">
      <w:rPr>
        <w:rStyle w:val="Numerstrony"/>
        <w:rFonts w:asciiTheme="minorHAnsi" w:hAnsiTheme="minorHAnsi" w:cstheme="minorHAnsi"/>
        <w:color w:val="000000" w:themeColor="text1"/>
      </w:rPr>
      <w:instrText xml:space="preserve"> NUMPAGES </w:instrTex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FE5340">
      <w:rPr>
        <w:rStyle w:val="Numerstrony"/>
        <w:rFonts w:asciiTheme="minorHAnsi" w:hAnsiTheme="minorHAnsi" w:cstheme="minorHAnsi"/>
        <w:noProof/>
        <w:color w:val="000000" w:themeColor="text1"/>
      </w:rPr>
      <w:t>5</w: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end"/>
    </w:r>
  </w:p>
  <w:p w14:paraId="4092DE89" w14:textId="0691972D" w:rsidR="00AE5BA1" w:rsidRPr="00AD25AC" w:rsidRDefault="00AE5BA1" w:rsidP="00197548">
    <w:pPr>
      <w:pStyle w:val="Stopka"/>
      <w:tabs>
        <w:tab w:val="clear" w:pos="4536"/>
        <w:tab w:val="clear" w:pos="9072"/>
        <w:tab w:val="left" w:pos="8655"/>
        <w:tab w:val="left" w:pos="9045"/>
      </w:tabs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08A2" w14:textId="5595D837" w:rsidR="000343D6" w:rsidRPr="00A4503F" w:rsidRDefault="00B9426B" w:rsidP="000343D6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F-10/ BRE-07-IR-01, wydanie 8</w:t>
    </w:r>
    <w:r w:rsidR="000343D6" w:rsidRPr="00A4503F">
      <w:rPr>
        <w:rFonts w:asciiTheme="minorHAnsi" w:hAnsiTheme="minorHAnsi" w:cstheme="minorHAnsi"/>
        <w:color w:val="000000" w:themeColor="text1"/>
      </w:rPr>
      <w:t xml:space="preserve"> </w:t>
    </w:r>
    <w:r w:rsidR="00DA2A5D">
      <w:rPr>
        <w:rFonts w:asciiTheme="minorHAnsi" w:hAnsiTheme="minorHAnsi" w:cstheme="minorHAnsi"/>
        <w:color w:val="000000" w:themeColor="text1"/>
      </w:rPr>
      <w:t xml:space="preserve">z dnia </w:t>
    </w:r>
    <w:r w:rsidR="00BA6521">
      <w:rPr>
        <w:rFonts w:asciiTheme="minorHAnsi" w:hAnsiTheme="minorHAnsi" w:cstheme="minorHAnsi"/>
        <w:color w:val="000000" w:themeColor="text1"/>
      </w:rPr>
      <w:t>6.07</w:t>
    </w:r>
    <w:r w:rsidR="00DA2A5D">
      <w:rPr>
        <w:rFonts w:asciiTheme="minorHAnsi" w:hAnsiTheme="minorHAnsi" w:cstheme="minorHAnsi"/>
        <w:color w:val="000000" w:themeColor="text1"/>
      </w:rPr>
      <w:t>.2023</w:t>
    </w:r>
    <w:r w:rsidR="000343D6" w:rsidRPr="00A4503F">
      <w:rPr>
        <w:rFonts w:asciiTheme="minorHAnsi" w:hAnsiTheme="minorHAnsi" w:cstheme="minorHAnsi"/>
        <w:color w:val="000000" w:themeColor="text1"/>
      </w:rPr>
      <w:t xml:space="preserve">, str. </w: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1D4E5C">
      <w:rPr>
        <w:rStyle w:val="Numerstrony"/>
        <w:rFonts w:asciiTheme="minorHAnsi" w:hAnsiTheme="minorHAnsi" w:cstheme="minorHAnsi"/>
        <w:noProof/>
        <w:color w:val="000000" w:themeColor="text1"/>
      </w:rPr>
      <w:t>5</w: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t xml:space="preserve"> z 5</w:t>
    </w:r>
  </w:p>
  <w:p w14:paraId="4F0F661F" w14:textId="7882E4B7" w:rsidR="000343D6" w:rsidRDefault="000343D6">
    <w:pPr>
      <w:pStyle w:val="Stopka"/>
    </w:pPr>
  </w:p>
  <w:p w14:paraId="5F70FBEE" w14:textId="45D2FBC2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DDA3" w14:textId="77777777" w:rsidR="00BA6521" w:rsidRDefault="00BA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C2EE" w14:textId="77777777" w:rsidR="00631C75" w:rsidRDefault="00631C75">
      <w:r>
        <w:separator/>
      </w:r>
    </w:p>
  </w:footnote>
  <w:footnote w:type="continuationSeparator" w:id="0">
    <w:p w14:paraId="41749A97" w14:textId="77777777" w:rsidR="00631C75" w:rsidRDefault="0063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337A3431" w:rsidR="00AE5BA1" w:rsidRPr="00A4503F" w:rsidRDefault="00D87A36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………………………………………………………..</w:t>
    </w:r>
    <w:r w:rsidR="0044045B">
      <w:rPr>
        <w:rFonts w:asciiTheme="minorHAnsi" w:hAnsiTheme="minorHAnsi" w:cstheme="minorHAnsi"/>
        <w:sz w:val="22"/>
        <w:szCs w:val="22"/>
      </w:rPr>
      <w:br/>
    </w:r>
    <w:r w:rsidR="00AE5BA1" w:rsidRPr="00A4503F">
      <w:rPr>
        <w:rFonts w:asciiTheme="minorHAnsi" w:hAnsiTheme="minorHAnsi" w:cstheme="minorHAnsi"/>
        <w:color w:val="000000" w:themeColor="text1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645EC088" w:rsidR="00AE5BA1" w:rsidRPr="00A4503F" w:rsidRDefault="00D87A36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………………………………………………………..</w:t>
    </w:r>
    <w:r w:rsidR="00F9684C">
      <w:rPr>
        <w:rFonts w:asciiTheme="minorHAnsi" w:hAnsiTheme="minorHAnsi" w:cstheme="minorHAnsi"/>
        <w:color w:val="000000" w:themeColor="text1"/>
        <w:sz w:val="22"/>
        <w:szCs w:val="22"/>
      </w:rPr>
      <w:br/>
    </w:r>
    <w:r w:rsidR="00AE5BA1" w:rsidRPr="00A4503F">
      <w:rPr>
        <w:rFonts w:asciiTheme="minorHAnsi" w:hAnsiTheme="minorHAnsi" w:cstheme="minorHAnsi"/>
        <w:color w:val="000000" w:themeColor="text1"/>
        <w:sz w:val="22"/>
        <w:szCs w:val="22"/>
      </w:rPr>
      <w:t>Znak sprawy nadany przez WIJHARS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8A6B" w14:textId="77777777" w:rsidR="00BA6521" w:rsidRDefault="00BA6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2023E4"/>
    <w:multiLevelType w:val="hybridMultilevel"/>
    <w:tmpl w:val="B7282E72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1E24"/>
    <w:multiLevelType w:val="hybridMultilevel"/>
    <w:tmpl w:val="370E7042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186C"/>
    <w:multiLevelType w:val="hybridMultilevel"/>
    <w:tmpl w:val="33EA0796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447D"/>
    <w:multiLevelType w:val="hybridMultilevel"/>
    <w:tmpl w:val="C9E83E6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9B4"/>
    <w:multiLevelType w:val="hybridMultilevel"/>
    <w:tmpl w:val="FB8A9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C"/>
    <w:multiLevelType w:val="hybridMultilevel"/>
    <w:tmpl w:val="2388846A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AC3"/>
    <w:multiLevelType w:val="hybridMultilevel"/>
    <w:tmpl w:val="50EA9A3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5F0"/>
    <w:multiLevelType w:val="hybridMultilevel"/>
    <w:tmpl w:val="5C1AEC06"/>
    <w:lvl w:ilvl="0" w:tplc="0CE4C3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64ECC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5AB2"/>
    <w:multiLevelType w:val="hybridMultilevel"/>
    <w:tmpl w:val="432C4E3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3A07"/>
    <w:multiLevelType w:val="hybridMultilevel"/>
    <w:tmpl w:val="D35E552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44367">
    <w:abstractNumId w:val="0"/>
  </w:num>
  <w:num w:numId="2" w16cid:durableId="1128164743">
    <w:abstractNumId w:val="1"/>
  </w:num>
  <w:num w:numId="3" w16cid:durableId="1390684517">
    <w:abstractNumId w:val="2"/>
  </w:num>
  <w:num w:numId="4" w16cid:durableId="782456553">
    <w:abstractNumId w:val="17"/>
  </w:num>
  <w:num w:numId="5" w16cid:durableId="635573306">
    <w:abstractNumId w:val="22"/>
  </w:num>
  <w:num w:numId="6" w16cid:durableId="233778140">
    <w:abstractNumId w:val="21"/>
  </w:num>
  <w:num w:numId="7" w16cid:durableId="860434726">
    <w:abstractNumId w:val="13"/>
  </w:num>
  <w:num w:numId="8" w16cid:durableId="1057971950">
    <w:abstractNumId w:val="11"/>
  </w:num>
  <w:num w:numId="9" w16cid:durableId="1625843216">
    <w:abstractNumId w:val="7"/>
  </w:num>
  <w:num w:numId="10" w16cid:durableId="1327976781">
    <w:abstractNumId w:val="23"/>
  </w:num>
  <w:num w:numId="11" w16cid:durableId="1117599354">
    <w:abstractNumId w:val="9"/>
  </w:num>
  <w:num w:numId="12" w16cid:durableId="1306662206">
    <w:abstractNumId w:val="18"/>
  </w:num>
  <w:num w:numId="13" w16cid:durableId="1538355137">
    <w:abstractNumId w:val="16"/>
  </w:num>
  <w:num w:numId="14" w16cid:durableId="1001541276">
    <w:abstractNumId w:val="8"/>
  </w:num>
  <w:num w:numId="15" w16cid:durableId="270863562">
    <w:abstractNumId w:val="24"/>
  </w:num>
  <w:num w:numId="16" w16cid:durableId="1147209251">
    <w:abstractNumId w:val="19"/>
  </w:num>
  <w:num w:numId="17" w16cid:durableId="2019311332">
    <w:abstractNumId w:val="10"/>
  </w:num>
  <w:num w:numId="18" w16cid:durableId="1459452841">
    <w:abstractNumId w:val="20"/>
  </w:num>
  <w:num w:numId="19" w16cid:durableId="1898777260">
    <w:abstractNumId w:val="5"/>
  </w:num>
  <w:num w:numId="20" w16cid:durableId="948194496">
    <w:abstractNumId w:val="4"/>
  </w:num>
  <w:num w:numId="21" w16cid:durableId="1572620917">
    <w:abstractNumId w:val="15"/>
  </w:num>
  <w:num w:numId="22" w16cid:durableId="1153716071">
    <w:abstractNumId w:val="3"/>
  </w:num>
  <w:num w:numId="23" w16cid:durableId="464274140">
    <w:abstractNumId w:val="12"/>
  </w:num>
  <w:num w:numId="24" w16cid:durableId="1327826691">
    <w:abstractNumId w:val="14"/>
  </w:num>
  <w:num w:numId="25" w16cid:durableId="190815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071BD"/>
    <w:rsid w:val="00010410"/>
    <w:rsid w:val="000131D4"/>
    <w:rsid w:val="00020503"/>
    <w:rsid w:val="0002494E"/>
    <w:rsid w:val="000256AD"/>
    <w:rsid w:val="00025FBE"/>
    <w:rsid w:val="00026DD4"/>
    <w:rsid w:val="0002721A"/>
    <w:rsid w:val="000343D6"/>
    <w:rsid w:val="000419DE"/>
    <w:rsid w:val="000434E4"/>
    <w:rsid w:val="000448B7"/>
    <w:rsid w:val="000630C9"/>
    <w:rsid w:val="00066369"/>
    <w:rsid w:val="00072626"/>
    <w:rsid w:val="00080B83"/>
    <w:rsid w:val="00086DCD"/>
    <w:rsid w:val="000A09A5"/>
    <w:rsid w:val="000A4020"/>
    <w:rsid w:val="000B0600"/>
    <w:rsid w:val="000C59FF"/>
    <w:rsid w:val="000D0245"/>
    <w:rsid w:val="000D4625"/>
    <w:rsid w:val="000E6FEB"/>
    <w:rsid w:val="000E776F"/>
    <w:rsid w:val="000F055A"/>
    <w:rsid w:val="000F55A2"/>
    <w:rsid w:val="0010061F"/>
    <w:rsid w:val="001008E3"/>
    <w:rsid w:val="0010119B"/>
    <w:rsid w:val="00102903"/>
    <w:rsid w:val="001171F2"/>
    <w:rsid w:val="00131621"/>
    <w:rsid w:val="00136F74"/>
    <w:rsid w:val="0014076D"/>
    <w:rsid w:val="00140EB7"/>
    <w:rsid w:val="00141EB5"/>
    <w:rsid w:val="0014553E"/>
    <w:rsid w:val="001476AF"/>
    <w:rsid w:val="001553BB"/>
    <w:rsid w:val="001705EB"/>
    <w:rsid w:val="00175465"/>
    <w:rsid w:val="00193452"/>
    <w:rsid w:val="00195AE8"/>
    <w:rsid w:val="00197548"/>
    <w:rsid w:val="00197967"/>
    <w:rsid w:val="001A4C7C"/>
    <w:rsid w:val="001A6414"/>
    <w:rsid w:val="001B0BF2"/>
    <w:rsid w:val="001C3E79"/>
    <w:rsid w:val="001C5601"/>
    <w:rsid w:val="001D089D"/>
    <w:rsid w:val="001D4E5C"/>
    <w:rsid w:val="001E3FCA"/>
    <w:rsid w:val="001F11AC"/>
    <w:rsid w:val="001F3E3C"/>
    <w:rsid w:val="002075B1"/>
    <w:rsid w:val="00213086"/>
    <w:rsid w:val="00244BB5"/>
    <w:rsid w:val="002539B2"/>
    <w:rsid w:val="0025797F"/>
    <w:rsid w:val="00264F97"/>
    <w:rsid w:val="00270A49"/>
    <w:rsid w:val="00277AC2"/>
    <w:rsid w:val="002829E4"/>
    <w:rsid w:val="00283E25"/>
    <w:rsid w:val="002905CF"/>
    <w:rsid w:val="002A4AFF"/>
    <w:rsid w:val="002B0C24"/>
    <w:rsid w:val="002B0F12"/>
    <w:rsid w:val="002B48E6"/>
    <w:rsid w:val="002C43B9"/>
    <w:rsid w:val="002E2F78"/>
    <w:rsid w:val="002E5786"/>
    <w:rsid w:val="002F0271"/>
    <w:rsid w:val="002F2D63"/>
    <w:rsid w:val="002F5480"/>
    <w:rsid w:val="00300B2B"/>
    <w:rsid w:val="003030C1"/>
    <w:rsid w:val="00313FE7"/>
    <w:rsid w:val="00320193"/>
    <w:rsid w:val="00322D64"/>
    <w:rsid w:val="00332E16"/>
    <w:rsid w:val="00344FC8"/>
    <w:rsid w:val="003458D3"/>
    <w:rsid w:val="003460F4"/>
    <w:rsid w:val="00347CDA"/>
    <w:rsid w:val="003504F3"/>
    <w:rsid w:val="003555D7"/>
    <w:rsid w:val="003624A7"/>
    <w:rsid w:val="0036584D"/>
    <w:rsid w:val="00375E39"/>
    <w:rsid w:val="00391343"/>
    <w:rsid w:val="003A26EA"/>
    <w:rsid w:val="003A3055"/>
    <w:rsid w:val="003A3393"/>
    <w:rsid w:val="003D31D6"/>
    <w:rsid w:val="003E2C5C"/>
    <w:rsid w:val="003F72B9"/>
    <w:rsid w:val="0040024E"/>
    <w:rsid w:val="004075B9"/>
    <w:rsid w:val="004130DC"/>
    <w:rsid w:val="00426356"/>
    <w:rsid w:val="0044045B"/>
    <w:rsid w:val="00441A34"/>
    <w:rsid w:val="0046018D"/>
    <w:rsid w:val="00460824"/>
    <w:rsid w:val="00462A87"/>
    <w:rsid w:val="00464DF9"/>
    <w:rsid w:val="00464E3C"/>
    <w:rsid w:val="004806E5"/>
    <w:rsid w:val="004852A3"/>
    <w:rsid w:val="00486380"/>
    <w:rsid w:val="00486FDC"/>
    <w:rsid w:val="004A0B17"/>
    <w:rsid w:val="004A0FDA"/>
    <w:rsid w:val="004A5EA6"/>
    <w:rsid w:val="004A6239"/>
    <w:rsid w:val="004B0E40"/>
    <w:rsid w:val="004B7F5D"/>
    <w:rsid w:val="004D2178"/>
    <w:rsid w:val="004D7AC4"/>
    <w:rsid w:val="004E68EB"/>
    <w:rsid w:val="005049F0"/>
    <w:rsid w:val="00506B3A"/>
    <w:rsid w:val="00522364"/>
    <w:rsid w:val="00524B68"/>
    <w:rsid w:val="00524C97"/>
    <w:rsid w:val="005257F7"/>
    <w:rsid w:val="005307B3"/>
    <w:rsid w:val="0054011F"/>
    <w:rsid w:val="00546ADE"/>
    <w:rsid w:val="00553E8A"/>
    <w:rsid w:val="0055507F"/>
    <w:rsid w:val="00556054"/>
    <w:rsid w:val="00560E15"/>
    <w:rsid w:val="00564249"/>
    <w:rsid w:val="00583413"/>
    <w:rsid w:val="00593D7D"/>
    <w:rsid w:val="0059513A"/>
    <w:rsid w:val="005A08ED"/>
    <w:rsid w:val="005A435B"/>
    <w:rsid w:val="005A48DC"/>
    <w:rsid w:val="005B194B"/>
    <w:rsid w:val="005B2B73"/>
    <w:rsid w:val="005B5F08"/>
    <w:rsid w:val="005C673E"/>
    <w:rsid w:val="005D6678"/>
    <w:rsid w:val="005E567E"/>
    <w:rsid w:val="00605222"/>
    <w:rsid w:val="00631C75"/>
    <w:rsid w:val="00637010"/>
    <w:rsid w:val="00640398"/>
    <w:rsid w:val="006413E7"/>
    <w:rsid w:val="00651254"/>
    <w:rsid w:val="00661EE7"/>
    <w:rsid w:val="00677636"/>
    <w:rsid w:val="006812FE"/>
    <w:rsid w:val="00681684"/>
    <w:rsid w:val="006927DE"/>
    <w:rsid w:val="006A0100"/>
    <w:rsid w:val="006B37D1"/>
    <w:rsid w:val="006B6A7B"/>
    <w:rsid w:val="006C389A"/>
    <w:rsid w:val="006D4C18"/>
    <w:rsid w:val="006F1C11"/>
    <w:rsid w:val="007101D5"/>
    <w:rsid w:val="00735220"/>
    <w:rsid w:val="00741C16"/>
    <w:rsid w:val="0075178F"/>
    <w:rsid w:val="00753E80"/>
    <w:rsid w:val="00757B5D"/>
    <w:rsid w:val="00762715"/>
    <w:rsid w:val="00766B06"/>
    <w:rsid w:val="00766DCF"/>
    <w:rsid w:val="00787789"/>
    <w:rsid w:val="007932EF"/>
    <w:rsid w:val="007C27CE"/>
    <w:rsid w:val="007C3551"/>
    <w:rsid w:val="007C75B6"/>
    <w:rsid w:val="007F03FF"/>
    <w:rsid w:val="007F5943"/>
    <w:rsid w:val="007F5D7C"/>
    <w:rsid w:val="007F7732"/>
    <w:rsid w:val="00804CA0"/>
    <w:rsid w:val="00807C1B"/>
    <w:rsid w:val="008223AE"/>
    <w:rsid w:val="00826630"/>
    <w:rsid w:val="00831DAA"/>
    <w:rsid w:val="008338D3"/>
    <w:rsid w:val="00840B2E"/>
    <w:rsid w:val="0085673C"/>
    <w:rsid w:val="00856889"/>
    <w:rsid w:val="008573A2"/>
    <w:rsid w:val="00874381"/>
    <w:rsid w:val="00876927"/>
    <w:rsid w:val="008857AC"/>
    <w:rsid w:val="00886415"/>
    <w:rsid w:val="008A3449"/>
    <w:rsid w:val="008A3E23"/>
    <w:rsid w:val="008C61FB"/>
    <w:rsid w:val="008C7592"/>
    <w:rsid w:val="008D68FC"/>
    <w:rsid w:val="008D69C6"/>
    <w:rsid w:val="008F2F77"/>
    <w:rsid w:val="008F5848"/>
    <w:rsid w:val="009144FA"/>
    <w:rsid w:val="009207FE"/>
    <w:rsid w:val="009270A7"/>
    <w:rsid w:val="0093555E"/>
    <w:rsid w:val="00967DDC"/>
    <w:rsid w:val="00971E4F"/>
    <w:rsid w:val="00973B27"/>
    <w:rsid w:val="009753D5"/>
    <w:rsid w:val="00984776"/>
    <w:rsid w:val="009C72C2"/>
    <w:rsid w:val="009E2FEE"/>
    <w:rsid w:val="009E5DDB"/>
    <w:rsid w:val="009F2544"/>
    <w:rsid w:val="00A04B9E"/>
    <w:rsid w:val="00A128CC"/>
    <w:rsid w:val="00A22DF8"/>
    <w:rsid w:val="00A25C0A"/>
    <w:rsid w:val="00A35F79"/>
    <w:rsid w:val="00A37D99"/>
    <w:rsid w:val="00A4503F"/>
    <w:rsid w:val="00A564E8"/>
    <w:rsid w:val="00A877C9"/>
    <w:rsid w:val="00A96C0A"/>
    <w:rsid w:val="00A972C9"/>
    <w:rsid w:val="00AA39A9"/>
    <w:rsid w:val="00AB23EC"/>
    <w:rsid w:val="00AB5653"/>
    <w:rsid w:val="00AB6F3F"/>
    <w:rsid w:val="00AB7F4F"/>
    <w:rsid w:val="00AC225C"/>
    <w:rsid w:val="00AC3AC0"/>
    <w:rsid w:val="00AD20E9"/>
    <w:rsid w:val="00AD25AC"/>
    <w:rsid w:val="00AD4C9B"/>
    <w:rsid w:val="00AE0472"/>
    <w:rsid w:val="00AE4464"/>
    <w:rsid w:val="00AE5BA1"/>
    <w:rsid w:val="00AE75F5"/>
    <w:rsid w:val="00AF33AD"/>
    <w:rsid w:val="00B06996"/>
    <w:rsid w:val="00B1142D"/>
    <w:rsid w:val="00B11F85"/>
    <w:rsid w:val="00B140DF"/>
    <w:rsid w:val="00B152E8"/>
    <w:rsid w:val="00B22CDB"/>
    <w:rsid w:val="00B377A9"/>
    <w:rsid w:val="00B43B4B"/>
    <w:rsid w:val="00B47AFA"/>
    <w:rsid w:val="00B552E2"/>
    <w:rsid w:val="00B55B1D"/>
    <w:rsid w:val="00B60286"/>
    <w:rsid w:val="00B675D8"/>
    <w:rsid w:val="00B70023"/>
    <w:rsid w:val="00B836A2"/>
    <w:rsid w:val="00B86855"/>
    <w:rsid w:val="00B907A9"/>
    <w:rsid w:val="00B913D1"/>
    <w:rsid w:val="00B93057"/>
    <w:rsid w:val="00B94268"/>
    <w:rsid w:val="00B9426B"/>
    <w:rsid w:val="00BA6521"/>
    <w:rsid w:val="00BC1823"/>
    <w:rsid w:val="00BC4781"/>
    <w:rsid w:val="00BE0EBC"/>
    <w:rsid w:val="00BE4FF5"/>
    <w:rsid w:val="00BE5454"/>
    <w:rsid w:val="00BE60F5"/>
    <w:rsid w:val="00BF3DF4"/>
    <w:rsid w:val="00C00DC4"/>
    <w:rsid w:val="00C051CA"/>
    <w:rsid w:val="00C172B5"/>
    <w:rsid w:val="00C30CDF"/>
    <w:rsid w:val="00C31976"/>
    <w:rsid w:val="00C408C3"/>
    <w:rsid w:val="00C511AC"/>
    <w:rsid w:val="00C6461E"/>
    <w:rsid w:val="00C74089"/>
    <w:rsid w:val="00C879B3"/>
    <w:rsid w:val="00C94A12"/>
    <w:rsid w:val="00CA6C0B"/>
    <w:rsid w:val="00CB384F"/>
    <w:rsid w:val="00CC38EF"/>
    <w:rsid w:val="00CC4C74"/>
    <w:rsid w:val="00CF209A"/>
    <w:rsid w:val="00CF5B8F"/>
    <w:rsid w:val="00D13DD4"/>
    <w:rsid w:val="00D207EB"/>
    <w:rsid w:val="00D27DD4"/>
    <w:rsid w:val="00D336E5"/>
    <w:rsid w:val="00D4072A"/>
    <w:rsid w:val="00D4226E"/>
    <w:rsid w:val="00D43FB1"/>
    <w:rsid w:val="00D608F2"/>
    <w:rsid w:val="00D62CED"/>
    <w:rsid w:val="00D70B02"/>
    <w:rsid w:val="00D72021"/>
    <w:rsid w:val="00D87A36"/>
    <w:rsid w:val="00D90E0C"/>
    <w:rsid w:val="00DA2A5D"/>
    <w:rsid w:val="00DB4960"/>
    <w:rsid w:val="00DD63EB"/>
    <w:rsid w:val="00DE323D"/>
    <w:rsid w:val="00DF4465"/>
    <w:rsid w:val="00DF625F"/>
    <w:rsid w:val="00DF7B56"/>
    <w:rsid w:val="00E03A25"/>
    <w:rsid w:val="00E12E73"/>
    <w:rsid w:val="00E20832"/>
    <w:rsid w:val="00E2234D"/>
    <w:rsid w:val="00E223E6"/>
    <w:rsid w:val="00E238CC"/>
    <w:rsid w:val="00E27812"/>
    <w:rsid w:val="00E301E5"/>
    <w:rsid w:val="00E33905"/>
    <w:rsid w:val="00E36658"/>
    <w:rsid w:val="00E50D66"/>
    <w:rsid w:val="00E51425"/>
    <w:rsid w:val="00E60621"/>
    <w:rsid w:val="00E6671A"/>
    <w:rsid w:val="00E67623"/>
    <w:rsid w:val="00E67C24"/>
    <w:rsid w:val="00E744FA"/>
    <w:rsid w:val="00E77932"/>
    <w:rsid w:val="00E80DC0"/>
    <w:rsid w:val="00E829F1"/>
    <w:rsid w:val="00E86500"/>
    <w:rsid w:val="00EA3977"/>
    <w:rsid w:val="00EC0459"/>
    <w:rsid w:val="00EC1EA6"/>
    <w:rsid w:val="00EC7DA8"/>
    <w:rsid w:val="00ED3560"/>
    <w:rsid w:val="00EE0ED0"/>
    <w:rsid w:val="00EE13E6"/>
    <w:rsid w:val="00EE2B44"/>
    <w:rsid w:val="00EF08DF"/>
    <w:rsid w:val="00EF6579"/>
    <w:rsid w:val="00F01FA3"/>
    <w:rsid w:val="00F04883"/>
    <w:rsid w:val="00F11B81"/>
    <w:rsid w:val="00F20D8C"/>
    <w:rsid w:val="00F34F1E"/>
    <w:rsid w:val="00F41861"/>
    <w:rsid w:val="00F516A7"/>
    <w:rsid w:val="00F54577"/>
    <w:rsid w:val="00F61C75"/>
    <w:rsid w:val="00F6261E"/>
    <w:rsid w:val="00F63B6D"/>
    <w:rsid w:val="00F66D6B"/>
    <w:rsid w:val="00F70E30"/>
    <w:rsid w:val="00F87E9C"/>
    <w:rsid w:val="00F91405"/>
    <w:rsid w:val="00F94C03"/>
    <w:rsid w:val="00F9521B"/>
    <w:rsid w:val="00F9684C"/>
    <w:rsid w:val="00FA4A54"/>
    <w:rsid w:val="00FB4489"/>
    <w:rsid w:val="00FB5214"/>
    <w:rsid w:val="00FC0883"/>
    <w:rsid w:val="00FC0B37"/>
    <w:rsid w:val="00FC3AA0"/>
    <w:rsid w:val="00FC4D7D"/>
    <w:rsid w:val="00FE5340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3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3E6"/>
    <w:rPr>
      <w:b/>
      <w:bCs/>
      <w:lang w:eastAsia="zh-CN"/>
    </w:rPr>
  </w:style>
  <w:style w:type="paragraph" w:customStyle="1" w:styleId="Adresat">
    <w:name w:val="Adresat"/>
    <w:basedOn w:val="Normalny"/>
    <w:link w:val="AdresatZnak"/>
    <w:qFormat/>
    <w:rsid w:val="00426356"/>
    <w:pPr>
      <w:spacing w:before="600" w:after="600" w:line="312" w:lineRule="auto"/>
      <w:ind w:left="4247"/>
      <w:contextualSpacing/>
      <w:jc w:val="both"/>
    </w:pPr>
    <w:rPr>
      <w:rFonts w:asciiTheme="minorHAnsi" w:hAnsiTheme="minorHAnsi" w:cstheme="minorHAnsi"/>
      <w:b/>
    </w:rPr>
  </w:style>
  <w:style w:type="character" w:customStyle="1" w:styleId="AdresatZnak">
    <w:name w:val="Adresat Znak"/>
    <w:basedOn w:val="Domylnaczcionkaakapitu"/>
    <w:link w:val="Adresat"/>
    <w:rsid w:val="00426356"/>
    <w:rPr>
      <w:rFonts w:asciiTheme="minorHAnsi" w:hAnsiTheme="minorHAnsi" w:cstheme="minorHAnsi"/>
      <w:b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96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6D19D-41D3-41C8-8202-A5097A7A4524}"/>
      </w:docPartPr>
      <w:docPartBody>
        <w:p w:rsidR="00D72BD6" w:rsidRDefault="0039490B">
          <w:r w:rsidRPr="008326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0B"/>
    <w:rsid w:val="00340953"/>
    <w:rsid w:val="00387FC7"/>
    <w:rsid w:val="0039490B"/>
    <w:rsid w:val="003B4691"/>
    <w:rsid w:val="004033BF"/>
    <w:rsid w:val="00550C54"/>
    <w:rsid w:val="005724DE"/>
    <w:rsid w:val="00B33328"/>
    <w:rsid w:val="00D70B02"/>
    <w:rsid w:val="00D72BD6"/>
    <w:rsid w:val="00EA610F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49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7907-1D79-4E46-9919-B3F04A6D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odstępstwa od warunków produkcji ekologicznej w związku z zaistniałymi okolicznościami katastroficznymi </vt:lpstr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odstępstwa od warunków produkcji ekologicznej w związku z zaistniałymi okolicznościami katastroficznymi</dc:title>
  <dc:subject/>
  <dc:creator>Justyna Wudarek</dc:creator>
  <cp:keywords/>
  <cp:lastModifiedBy>Barbara Bornejko</cp:lastModifiedBy>
  <cp:revision>2</cp:revision>
  <cp:lastPrinted>2022-07-04T09:53:00Z</cp:lastPrinted>
  <dcterms:created xsi:type="dcterms:W3CDTF">2024-10-29T10:47:00Z</dcterms:created>
  <dcterms:modified xsi:type="dcterms:W3CDTF">2024-10-29T10:47:00Z</dcterms:modified>
</cp:coreProperties>
</file>