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473" w:rsidRDefault="006A66E1" w:rsidP="00CF610A">
      <w:pPr>
        <w:pStyle w:val="Nagwek2"/>
        <w:tabs>
          <w:tab w:val="left" w:pos="-180"/>
        </w:tabs>
        <w:ind w:right="-569"/>
        <w:rPr>
          <w:b/>
          <w:sz w:val="22"/>
          <w:szCs w:val="22"/>
          <w:u w:val="none"/>
        </w:rPr>
      </w:pPr>
    </w:p>
    <w:p w:rsidR="00385473" w:rsidRDefault="006A66E1" w:rsidP="00385473">
      <w:pPr>
        <w:pStyle w:val="Nagwek2"/>
        <w:tabs>
          <w:tab w:val="left" w:pos="-180"/>
          <w:tab w:val="left" w:pos="9000"/>
        </w:tabs>
        <w:ind w:right="72"/>
        <w:rPr>
          <w:b/>
          <w:sz w:val="22"/>
          <w:szCs w:val="22"/>
          <w:u w:val="none"/>
        </w:rPr>
      </w:pPr>
    </w:p>
    <w:p w:rsidR="00B30F26" w:rsidRPr="00527B88" w:rsidRDefault="006A66E1" w:rsidP="00B30F26">
      <w:pPr>
        <w:spacing w:line="360" w:lineRule="auto"/>
        <w:ind w:left="1416" w:right="-569" w:firstLine="708"/>
        <w:jc w:val="right"/>
        <w:rPr>
          <w:rFonts w:ascii="Calibri" w:hAnsi="Calibri"/>
        </w:rPr>
      </w:pPr>
      <w:r w:rsidRPr="00527B88">
        <w:rPr>
          <w:rFonts w:ascii="Calibri" w:hAnsi="Calibri"/>
        </w:rPr>
        <w:t>War</w:t>
      </w:r>
      <w:r>
        <w:rPr>
          <w:rFonts w:ascii="Calibri" w:hAnsi="Calibri"/>
        </w:rPr>
        <w:t>szawa,</w:t>
      </w:r>
      <w:r>
        <w:rPr>
          <w:rFonts w:ascii="Calibri" w:hAnsi="Calibri"/>
        </w:rPr>
        <w:t xml:space="preserve"> </w:t>
      </w:r>
      <w:bookmarkStart w:id="0" w:name="ezdDataPodpisu"/>
      <w:r>
        <w:rPr>
          <w:rFonts w:ascii="Calibri" w:hAnsi="Calibri"/>
        </w:rPr>
        <w:t>25 listopada 2020 r.</w:t>
      </w:r>
      <w:bookmarkEnd w:id="0"/>
      <w:r>
        <w:rPr>
          <w:rFonts w:ascii="Calibri" w:hAnsi="Calibri"/>
        </w:rPr>
        <w:t xml:space="preserve">              </w:t>
      </w:r>
    </w:p>
    <w:p w:rsidR="00385473" w:rsidRDefault="006A66E1" w:rsidP="00B30F26">
      <w:pPr>
        <w:pStyle w:val="Nagwek2"/>
        <w:tabs>
          <w:tab w:val="left" w:pos="-180"/>
          <w:tab w:val="left" w:pos="9000"/>
        </w:tabs>
        <w:ind w:right="72"/>
        <w:jc w:val="right"/>
        <w:rPr>
          <w:b/>
          <w:sz w:val="22"/>
          <w:szCs w:val="22"/>
          <w:u w:val="none"/>
        </w:rPr>
      </w:pPr>
    </w:p>
    <w:p w:rsidR="00385473" w:rsidRDefault="006A66E1" w:rsidP="00385473">
      <w:pPr>
        <w:pStyle w:val="Nagwek2"/>
        <w:tabs>
          <w:tab w:val="left" w:pos="-180"/>
          <w:tab w:val="left" w:pos="9000"/>
        </w:tabs>
        <w:ind w:right="72"/>
        <w:rPr>
          <w:b/>
          <w:sz w:val="22"/>
          <w:szCs w:val="22"/>
          <w:u w:val="none"/>
        </w:rPr>
      </w:pPr>
    </w:p>
    <w:p w:rsidR="00385473" w:rsidRDefault="006A66E1" w:rsidP="00385473">
      <w:pPr>
        <w:pStyle w:val="Nagwek2"/>
        <w:tabs>
          <w:tab w:val="left" w:pos="-180"/>
          <w:tab w:val="left" w:pos="9000"/>
        </w:tabs>
        <w:ind w:right="72"/>
        <w:rPr>
          <w:b/>
          <w:sz w:val="22"/>
          <w:szCs w:val="22"/>
          <w:u w:val="none"/>
        </w:rPr>
      </w:pPr>
      <w:r>
        <w:rPr>
          <w:b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647065</wp:posOffset>
                </wp:positionV>
                <wp:extent cx="2857500" cy="725170"/>
                <wp:effectExtent l="0" t="0" r="0" b="1778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473" w:rsidRPr="005C626A" w:rsidRDefault="006A66E1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3875" cy="542925"/>
                                  <wp:effectExtent l="0" t="0" r="9525" b="9525"/>
                                  <wp:docPr id="444853979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85473" w:rsidRPr="00A72E6F" w:rsidRDefault="006A66E1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WOJEWODA MAZOWIECKI</w:t>
                            </w:r>
                          </w:p>
                          <w:p w:rsidR="00385473" w:rsidRDefault="006A66E1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</w:p>
                          <w:p w:rsidR="00385473" w:rsidRDefault="006A66E1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Default="006A66E1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Default="006A66E1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Pr="008978E9" w:rsidRDefault="006A66E1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Pr="007D0B8E" w:rsidRDefault="006A66E1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Pr="007D0B8E" w:rsidRDefault="006A66E1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0;margin-top:50.95pt;width:225pt;height:57.1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" filled="f" fillcolor="#bbe0e3" stroked="f">
                <v:textbox inset="0,0,0,0">
                  <w:txbxContent>
                    <w:p w:rsidR="00385473" w:rsidRPr="005C626A" w:rsidRDefault="006A66E1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3875" cy="542925"/>
                            <wp:effectExtent l="0" t="0" r="9525" b="9525"/>
                            <wp:docPr id="444853979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85473" w:rsidRPr="00A72E6F" w:rsidRDefault="006A66E1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/>
                          <w:b/>
                          <w:color w:val="000000"/>
                        </w:rPr>
                      </w:pP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>WOJEWODA MAZOWIECKI</w:t>
                      </w:r>
                    </w:p>
                    <w:p w:rsidR="00385473" w:rsidRDefault="006A66E1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>
                        <w:rPr>
                          <w:b/>
                          <w:color w:val="000000"/>
                        </w:rPr>
                        <w:tab/>
                      </w:r>
                    </w:p>
                    <w:p w:rsidR="00385473" w:rsidRDefault="006A66E1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Default="006A66E1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Default="006A66E1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Pr="008978E9" w:rsidRDefault="006A66E1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Pr="007D0B8E" w:rsidRDefault="006A66E1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Pr="007D0B8E" w:rsidRDefault="006A66E1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CF610A" w:rsidRPr="00527B88" w:rsidRDefault="006A66E1" w:rsidP="00CF610A">
      <w:pPr>
        <w:spacing w:line="360" w:lineRule="auto"/>
        <w:ind w:left="1416" w:firstLine="708"/>
        <w:jc w:val="right"/>
        <w:rPr>
          <w:rFonts w:ascii="Calibri" w:hAnsi="Calibri"/>
        </w:rPr>
      </w:pPr>
      <w:r w:rsidRPr="00A72E6F">
        <w:rPr>
          <w:rFonts w:ascii="Calibri" w:hAnsi="Calibri"/>
        </w:rPr>
        <w:tab/>
      </w:r>
      <w:r w:rsidRPr="00A72E6F">
        <w:rPr>
          <w:rFonts w:ascii="Calibri" w:hAnsi="Calibri"/>
        </w:rPr>
        <w:tab/>
      </w:r>
      <w:r w:rsidRPr="00A72E6F">
        <w:rPr>
          <w:rFonts w:ascii="Calibri" w:hAnsi="Calibri"/>
        </w:rPr>
        <w:tab/>
      </w:r>
      <w:r w:rsidRPr="00A72E6F">
        <w:rPr>
          <w:rFonts w:ascii="Calibri" w:hAnsi="Calibri"/>
        </w:rPr>
        <w:tab/>
      </w:r>
      <w:r w:rsidRPr="00A72E6F">
        <w:rPr>
          <w:rFonts w:ascii="Calibri" w:hAnsi="Calibri"/>
        </w:rPr>
        <w:tab/>
      </w:r>
    </w:p>
    <w:p w:rsidR="00B30F26" w:rsidRDefault="006A66E1" w:rsidP="00CF610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</w:p>
    <w:p w:rsidR="00CF610A" w:rsidRPr="00527B88" w:rsidRDefault="006A66E1" w:rsidP="00CF610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            </w:t>
      </w:r>
      <w:r>
        <w:rPr>
          <w:rFonts w:ascii="Calibri" w:hAnsi="Calibri"/>
        </w:rPr>
        <w:t xml:space="preserve"> </w:t>
      </w:r>
      <w:bookmarkStart w:id="1" w:name="_GoBack"/>
      <w:r>
        <w:rPr>
          <w:rFonts w:ascii="Calibri" w:hAnsi="Calibri"/>
        </w:rPr>
        <w:t>WNP-I.4131.</w:t>
      </w:r>
      <w:r>
        <w:rPr>
          <w:rFonts w:ascii="Calibri" w:hAnsi="Calibri"/>
        </w:rPr>
        <w:t>186</w:t>
      </w:r>
      <w:r>
        <w:rPr>
          <w:rFonts w:ascii="Calibri" w:hAnsi="Calibri"/>
        </w:rPr>
        <w:t>.20</w:t>
      </w:r>
      <w:r>
        <w:rPr>
          <w:rFonts w:ascii="Calibri" w:hAnsi="Calibri"/>
        </w:rPr>
        <w:t>20</w:t>
      </w:r>
      <w:r>
        <w:rPr>
          <w:rFonts w:ascii="Calibri" w:hAnsi="Calibri"/>
        </w:rPr>
        <w:t>.MS</w:t>
      </w:r>
    </w:p>
    <w:bookmarkEnd w:id="1"/>
    <w:p w:rsidR="00CF610A" w:rsidRDefault="006A66E1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</w:p>
    <w:p w:rsidR="00CF610A" w:rsidRPr="00A14804" w:rsidRDefault="006A66E1" w:rsidP="00253ADA">
      <w:pPr>
        <w:autoSpaceDE w:val="0"/>
        <w:autoSpaceDN w:val="0"/>
        <w:adjustRightInd w:val="0"/>
        <w:ind w:left="4956"/>
        <w:rPr>
          <w:rFonts w:ascii="Calibri" w:hAnsi="Calibri"/>
          <w:b/>
        </w:rPr>
      </w:pPr>
      <w:r w:rsidRPr="00A14804">
        <w:rPr>
          <w:rFonts w:ascii="Calibri" w:hAnsi="Calibri"/>
          <w:b/>
        </w:rPr>
        <w:t>Rada Miasta Milanówka</w:t>
      </w:r>
    </w:p>
    <w:p w:rsidR="00CF610A" w:rsidRPr="00A14804" w:rsidRDefault="006A66E1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</w:rPr>
      </w:pPr>
      <w:r w:rsidRPr="00A14804">
        <w:rPr>
          <w:rFonts w:ascii="Calibri" w:hAnsi="Calibri"/>
          <w:b/>
        </w:rPr>
        <w:t>ul. Kościuszki 45</w:t>
      </w:r>
    </w:p>
    <w:p w:rsidR="00CF610A" w:rsidRPr="00A14804" w:rsidRDefault="006A66E1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</w:rPr>
      </w:pPr>
      <w:r w:rsidRPr="00A14804">
        <w:rPr>
          <w:rFonts w:ascii="Calibri" w:hAnsi="Calibri"/>
          <w:b/>
        </w:rPr>
        <w:t>0</w:t>
      </w:r>
      <w:r>
        <w:rPr>
          <w:rFonts w:ascii="Calibri" w:hAnsi="Calibri"/>
          <w:b/>
        </w:rPr>
        <w:t>5</w:t>
      </w:r>
      <w:r w:rsidRPr="00A14804">
        <w:rPr>
          <w:rFonts w:ascii="Calibri" w:hAnsi="Calibri"/>
          <w:b/>
        </w:rPr>
        <w:t>-822 Milanówek</w:t>
      </w:r>
    </w:p>
    <w:p w:rsidR="00CF610A" w:rsidRDefault="006A66E1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</w:p>
    <w:p w:rsidR="00CF610A" w:rsidRDefault="006A66E1" w:rsidP="006376DD">
      <w:pPr>
        <w:pStyle w:val="Nagwek1"/>
        <w:spacing w:line="360" w:lineRule="auto"/>
        <w:ind w:right="-468"/>
        <w:jc w:val="center"/>
        <w:rPr>
          <w:rFonts w:ascii="Calibri" w:hAnsi="Calibri" w:cs="Calibri"/>
          <w:b/>
          <w:color w:val="auto"/>
          <w:sz w:val="24"/>
        </w:rPr>
      </w:pPr>
      <w:r w:rsidRPr="00CF610A">
        <w:rPr>
          <w:rFonts w:ascii="Calibri" w:hAnsi="Calibri" w:cs="Calibri"/>
          <w:b/>
          <w:color w:val="auto"/>
          <w:sz w:val="24"/>
        </w:rPr>
        <w:t>Rozstrzygnięcie nadzorcze</w:t>
      </w:r>
    </w:p>
    <w:p w:rsidR="00CF610A" w:rsidRPr="002B42F1" w:rsidRDefault="006A66E1" w:rsidP="006376DD">
      <w:pPr>
        <w:pStyle w:val="Tekstpodstawowy"/>
        <w:ind w:left="-426" w:right="-471" w:firstLine="710"/>
        <w:rPr>
          <w:rFonts w:ascii="Calibri" w:hAnsi="Calibri" w:cs="Calibri"/>
          <w:sz w:val="24"/>
        </w:rPr>
      </w:pPr>
      <w:r w:rsidRPr="002B42F1">
        <w:rPr>
          <w:rFonts w:ascii="Calibri" w:hAnsi="Calibri" w:cs="Calibri"/>
          <w:sz w:val="24"/>
        </w:rPr>
        <w:t xml:space="preserve">Działając na podstawie </w:t>
      </w:r>
      <w:r w:rsidRPr="002B42F1">
        <w:rPr>
          <w:rFonts w:ascii="Calibri" w:hAnsi="Calibri" w:cs="Calibri"/>
          <w:sz w:val="24"/>
        </w:rPr>
        <w:t>art. 91 ust. 1 w związku z art. 86 ustawy z dni</w:t>
      </w:r>
      <w:r>
        <w:rPr>
          <w:rFonts w:ascii="Calibri" w:hAnsi="Calibri" w:cs="Calibri"/>
          <w:sz w:val="24"/>
        </w:rPr>
        <w:t xml:space="preserve">a 8 marca 1990 r.                         </w:t>
      </w:r>
      <w:r>
        <w:rPr>
          <w:rFonts w:ascii="Calibri" w:hAnsi="Calibri" w:cs="Calibri"/>
          <w:sz w:val="24"/>
        </w:rPr>
        <w:t xml:space="preserve">   </w:t>
      </w:r>
      <w:r w:rsidRPr="002B42F1">
        <w:rPr>
          <w:rFonts w:ascii="Calibri" w:hAnsi="Calibri" w:cs="Calibri"/>
          <w:sz w:val="24"/>
        </w:rPr>
        <w:t>o</w:t>
      </w:r>
      <w:r>
        <w:rPr>
          <w:rFonts w:ascii="Calibri" w:hAnsi="Calibri" w:cs="Calibri"/>
          <w:sz w:val="24"/>
        </w:rPr>
        <w:t xml:space="preserve"> </w:t>
      </w:r>
      <w:r w:rsidRPr="002B42F1">
        <w:rPr>
          <w:rFonts w:ascii="Calibri" w:hAnsi="Calibri" w:cs="Calibri"/>
          <w:sz w:val="24"/>
        </w:rPr>
        <w:t xml:space="preserve">samorządzie </w:t>
      </w:r>
      <w:r>
        <w:rPr>
          <w:rFonts w:ascii="Calibri" w:hAnsi="Calibri" w:cs="Calibri"/>
          <w:sz w:val="24"/>
        </w:rPr>
        <w:t>gminnym (Dz. U. z 20</w:t>
      </w:r>
      <w:r>
        <w:rPr>
          <w:rFonts w:ascii="Calibri" w:hAnsi="Calibri" w:cs="Calibri"/>
          <w:sz w:val="24"/>
        </w:rPr>
        <w:t>20</w:t>
      </w:r>
      <w:r>
        <w:rPr>
          <w:rFonts w:ascii="Calibri" w:hAnsi="Calibri" w:cs="Calibri"/>
          <w:sz w:val="24"/>
        </w:rPr>
        <w:t xml:space="preserve"> r. poz. </w:t>
      </w:r>
      <w:r>
        <w:rPr>
          <w:rFonts w:ascii="Calibri" w:hAnsi="Calibri" w:cs="Calibri"/>
          <w:sz w:val="24"/>
        </w:rPr>
        <w:t>713</w:t>
      </w:r>
      <w:r>
        <w:rPr>
          <w:rFonts w:ascii="Calibri" w:hAnsi="Calibri" w:cs="Calibri"/>
          <w:sz w:val="24"/>
        </w:rPr>
        <w:t>, z późn, zm.</w:t>
      </w:r>
      <w:r w:rsidRPr="002B42F1">
        <w:rPr>
          <w:rFonts w:ascii="Calibri" w:hAnsi="Calibri" w:cs="Calibri"/>
          <w:sz w:val="24"/>
        </w:rPr>
        <w:t>)</w:t>
      </w:r>
    </w:p>
    <w:p w:rsidR="00CF610A" w:rsidRPr="002B42F1" w:rsidRDefault="006A66E1" w:rsidP="00CF610A">
      <w:pPr>
        <w:spacing w:line="360" w:lineRule="auto"/>
        <w:ind w:right="-468"/>
        <w:jc w:val="center"/>
        <w:rPr>
          <w:rFonts w:ascii="Calibri" w:hAnsi="Calibri" w:cs="Calibri"/>
          <w:b/>
          <w:bCs/>
        </w:rPr>
      </w:pPr>
      <w:r w:rsidRPr="002B42F1">
        <w:rPr>
          <w:rFonts w:ascii="Calibri" w:hAnsi="Calibri" w:cs="Calibri"/>
          <w:b/>
          <w:bCs/>
        </w:rPr>
        <w:t>stwierdzam nieważność</w:t>
      </w:r>
    </w:p>
    <w:p w:rsidR="00253ADA" w:rsidRPr="00527310" w:rsidRDefault="006A66E1" w:rsidP="00924310">
      <w:pPr>
        <w:pStyle w:val="Tekstpodstawowy"/>
        <w:ind w:left="-357" w:right="-471"/>
        <w:rPr>
          <w:rFonts w:ascii="Calibri" w:hAnsi="Calibri" w:cs="Calibri"/>
          <w:b/>
          <w:i/>
          <w:sz w:val="24"/>
        </w:rPr>
      </w:pPr>
      <w:r w:rsidRPr="002B42F1">
        <w:rPr>
          <w:rFonts w:ascii="Calibri" w:hAnsi="Calibri" w:cs="Calibri"/>
          <w:bCs/>
          <w:sz w:val="24"/>
        </w:rPr>
        <w:t xml:space="preserve">uchwały </w:t>
      </w:r>
      <w:r>
        <w:rPr>
          <w:rFonts w:ascii="Calibri" w:hAnsi="Calibri" w:cs="Calibri"/>
          <w:bCs/>
          <w:sz w:val="24"/>
        </w:rPr>
        <w:t xml:space="preserve">Nr </w:t>
      </w:r>
      <w:r>
        <w:rPr>
          <w:rFonts w:ascii="Calibri" w:hAnsi="Calibri" w:cs="Calibri"/>
          <w:bCs/>
          <w:sz w:val="24"/>
        </w:rPr>
        <w:t xml:space="preserve">278/XXXIV/20 Rady Miasta Milanówka z dnia 16 października 2020 r. w sprawie </w:t>
      </w:r>
      <w:r>
        <w:rPr>
          <w:rFonts w:ascii="Calibri" w:hAnsi="Calibri" w:cs="Calibri"/>
          <w:bCs/>
          <w:i/>
          <w:sz w:val="24"/>
        </w:rPr>
        <w:t xml:space="preserve">przekazania zgodnie z właściwością wniosku o modyfikację planu i lokalizacji inwestycji drogowej </w:t>
      </w:r>
      <w:r>
        <w:rPr>
          <w:rFonts w:ascii="Calibri" w:hAnsi="Calibri" w:cs="Calibri"/>
          <w:bCs/>
          <w:i/>
          <w:sz w:val="24"/>
        </w:rPr>
        <w:t xml:space="preserve">            </w:t>
      </w:r>
      <w:r>
        <w:rPr>
          <w:rFonts w:ascii="Calibri" w:hAnsi="Calibri" w:cs="Calibri"/>
          <w:bCs/>
          <w:i/>
          <w:sz w:val="24"/>
        </w:rPr>
        <w:t>u zbiegu ulic Kościelnej, Kościuszki oraz Piasta</w:t>
      </w:r>
      <w:r>
        <w:rPr>
          <w:rFonts w:ascii="Calibri" w:hAnsi="Calibri" w:cs="Calibri"/>
          <w:bCs/>
          <w:sz w:val="24"/>
        </w:rPr>
        <w:t>, w zakresie § 2, w czę</w:t>
      </w:r>
      <w:r>
        <w:rPr>
          <w:rFonts w:ascii="Calibri" w:hAnsi="Calibri" w:cs="Calibri"/>
          <w:bCs/>
          <w:sz w:val="24"/>
        </w:rPr>
        <w:t xml:space="preserve">ści dotyczącej sformułowania </w:t>
      </w:r>
      <w:r>
        <w:rPr>
          <w:rFonts w:ascii="Calibri" w:hAnsi="Calibri" w:cs="Calibri"/>
          <w:bCs/>
          <w:i/>
          <w:sz w:val="24"/>
        </w:rPr>
        <w:t xml:space="preserve">Zobowiązuje się (…) Starostę Powiatu Grodziskiego do zawiadomienia Rady Miasta Milanówka                    o sposobie </w:t>
      </w:r>
      <w:r>
        <w:rPr>
          <w:rFonts w:ascii="Calibri" w:hAnsi="Calibri" w:cs="Calibri"/>
          <w:bCs/>
          <w:i/>
          <w:sz w:val="24"/>
        </w:rPr>
        <w:t>rozpatrzenia</w:t>
      </w:r>
      <w:r>
        <w:rPr>
          <w:rFonts w:ascii="Calibri" w:hAnsi="Calibri" w:cs="Calibri"/>
          <w:bCs/>
          <w:i/>
          <w:sz w:val="24"/>
        </w:rPr>
        <w:t xml:space="preserve"> wniosku.</w:t>
      </w:r>
    </w:p>
    <w:p w:rsidR="006376DD" w:rsidRDefault="006A66E1" w:rsidP="00D143D8">
      <w:pPr>
        <w:pStyle w:val="Tekstpodstawowy"/>
        <w:ind w:right="-468"/>
        <w:jc w:val="center"/>
        <w:rPr>
          <w:rFonts w:ascii="Calibri" w:hAnsi="Calibri" w:cs="Calibri"/>
          <w:b/>
          <w:sz w:val="24"/>
        </w:rPr>
      </w:pPr>
    </w:p>
    <w:p w:rsidR="00032C85" w:rsidRDefault="006A66E1" w:rsidP="00D143D8">
      <w:pPr>
        <w:pStyle w:val="Tekstpodstawowy"/>
        <w:ind w:right="-468"/>
        <w:jc w:val="center"/>
        <w:rPr>
          <w:rFonts w:ascii="Calibri" w:hAnsi="Calibri" w:cs="Calibri"/>
          <w:b/>
          <w:sz w:val="24"/>
          <w:u w:val="single"/>
        </w:rPr>
      </w:pPr>
      <w:r w:rsidRPr="00B30F26">
        <w:rPr>
          <w:rFonts w:ascii="Calibri" w:hAnsi="Calibri" w:cs="Calibri"/>
          <w:b/>
          <w:sz w:val="24"/>
        </w:rPr>
        <w:t>Uzasadnienie</w:t>
      </w:r>
    </w:p>
    <w:p w:rsidR="00412AC3" w:rsidRDefault="006A66E1" w:rsidP="008F2DE7">
      <w:pPr>
        <w:spacing w:line="360" w:lineRule="auto"/>
        <w:ind w:left="-426" w:right="-569" w:firstLine="852"/>
        <w:jc w:val="both"/>
        <w:rPr>
          <w:rFonts w:asciiTheme="minorHAnsi" w:hAnsiTheme="minorHAnsi" w:cstheme="minorHAnsi"/>
          <w:i/>
        </w:rPr>
      </w:pPr>
      <w:r w:rsidRPr="00CF610A">
        <w:rPr>
          <w:rFonts w:asciiTheme="minorHAnsi" w:hAnsiTheme="minorHAnsi" w:cstheme="minorHAnsi"/>
        </w:rPr>
        <w:t xml:space="preserve">Na sesji, która odbyła się </w:t>
      </w:r>
      <w:r>
        <w:rPr>
          <w:rFonts w:asciiTheme="minorHAnsi" w:hAnsiTheme="minorHAnsi" w:cstheme="minorHAnsi"/>
        </w:rPr>
        <w:t>16 października</w:t>
      </w:r>
      <w:r>
        <w:rPr>
          <w:rFonts w:asciiTheme="minorHAnsi" w:hAnsiTheme="minorHAnsi" w:cstheme="minorHAnsi"/>
        </w:rPr>
        <w:t xml:space="preserve"> 2020 r. Rada Miasta Milanówka podjęła uchwałę                              Nr </w:t>
      </w:r>
      <w:r>
        <w:rPr>
          <w:rFonts w:asciiTheme="minorHAnsi" w:hAnsiTheme="minorHAnsi" w:cstheme="minorHAnsi"/>
        </w:rPr>
        <w:t xml:space="preserve">278/XXXIV/20 w sprawie </w:t>
      </w:r>
      <w:r>
        <w:rPr>
          <w:rFonts w:asciiTheme="minorHAnsi" w:hAnsiTheme="minorHAnsi" w:cstheme="minorHAnsi"/>
          <w:i/>
        </w:rPr>
        <w:t>przekazania zgodnie z właściwością wniosku o modyfikację planu i lokalizacji inwestycji drogowej u zbiegu ulic Kościelnej, Kościuszki oraz Piasta.</w:t>
      </w:r>
    </w:p>
    <w:p w:rsidR="007346DE" w:rsidRDefault="006A66E1" w:rsidP="008F2DE7">
      <w:pPr>
        <w:spacing w:line="360" w:lineRule="auto"/>
        <w:ind w:left="-426" w:right="-569" w:firstLine="8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Przedmi</w:t>
      </w:r>
      <w:r>
        <w:rPr>
          <w:rFonts w:asciiTheme="minorHAnsi" w:hAnsiTheme="minorHAnsi" w:cstheme="minorHAnsi"/>
        </w:rPr>
        <w:t>otem niniejszej uchwały jest przekazanie przez Radę Miasta Milanówka wniosku mieszkańca Miasta Milanówka, dotyczącego modyfikacji planu i lokalizacji inwestycji drogowej u zbiegu ulic Kościelnej i Kościuszki</w:t>
      </w:r>
      <w:r>
        <w:rPr>
          <w:rFonts w:asciiTheme="minorHAnsi" w:hAnsiTheme="minorHAnsi" w:cstheme="minorHAnsi"/>
        </w:rPr>
        <w:t>, do organów właściwych w sprawie, tj. Burmistrza</w:t>
      </w:r>
      <w:r>
        <w:rPr>
          <w:rFonts w:asciiTheme="minorHAnsi" w:hAnsiTheme="minorHAnsi" w:cstheme="minorHAnsi"/>
        </w:rPr>
        <w:t xml:space="preserve"> Miasta  Milanówka oraz </w:t>
      </w:r>
      <w:r>
        <w:rPr>
          <w:rFonts w:asciiTheme="minorHAnsi" w:hAnsiTheme="minorHAnsi" w:cstheme="minorHAnsi"/>
        </w:rPr>
        <w:t>Starosty Powiatu Grodziskiego.</w:t>
      </w:r>
    </w:p>
    <w:p w:rsidR="00FE40FA" w:rsidRDefault="006A66E1" w:rsidP="008F2DE7">
      <w:pPr>
        <w:spacing w:line="360" w:lineRule="auto"/>
        <w:ind w:left="-426" w:right="-569" w:firstLine="852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Jak wynika z uzasadnienia do przedmiotowej uchwały </w:t>
      </w:r>
      <w:r>
        <w:rPr>
          <w:rFonts w:asciiTheme="minorHAnsi" w:hAnsiTheme="minorHAnsi" w:cstheme="minorHAnsi"/>
          <w:i/>
        </w:rPr>
        <w:t xml:space="preserve">(…) rzeczona we wniosku inwestycja prowadzona będzie na skrzyżowaniu dróg gminnych i powiatowych i zgodnie z art. 25 ust. 1 ustawy </w:t>
      </w:r>
      <w:r>
        <w:rPr>
          <w:rFonts w:asciiTheme="minorHAnsi" w:hAnsiTheme="minorHAnsi" w:cstheme="minorHAnsi"/>
          <w:i/>
        </w:rPr>
        <w:t xml:space="preserve">              </w:t>
      </w:r>
      <w:r>
        <w:rPr>
          <w:rFonts w:asciiTheme="minorHAnsi" w:hAnsiTheme="minorHAnsi" w:cstheme="minorHAnsi"/>
          <w:i/>
        </w:rPr>
        <w:t>o dro</w:t>
      </w:r>
      <w:r>
        <w:rPr>
          <w:rFonts w:asciiTheme="minorHAnsi" w:hAnsiTheme="minorHAnsi" w:cstheme="minorHAnsi"/>
          <w:i/>
        </w:rPr>
        <w:t xml:space="preserve">gach publicznych (tj. Dz. U. z 2020 r. poz. 470, 471, 1087) w zakresie prowadzenia procesu inwestycyjnego z wniosku Gminy Milanówek, właściwym będzie Zarząd Powiatu Grodziskiego. </w:t>
      </w:r>
      <w:r>
        <w:rPr>
          <w:rFonts w:asciiTheme="minorHAnsi" w:hAnsiTheme="minorHAnsi" w:cstheme="minorHAnsi"/>
          <w:i/>
        </w:rPr>
        <w:lastRenderedPageBreak/>
        <w:t xml:space="preserve">Prowadzenie takiej inwestycji wymaga współpracy między organami, a co za tym </w:t>
      </w:r>
      <w:r>
        <w:rPr>
          <w:rFonts w:asciiTheme="minorHAnsi" w:hAnsiTheme="minorHAnsi" w:cstheme="minorHAnsi"/>
          <w:i/>
        </w:rPr>
        <w:t>idzie konieczne będzie uzgodnienie zakresu planowanych prac, gdzie decydujący będzie miał podmiot zarządzający drogą. (…). W tym stanie faktycznym wszelkie wnioski dotyczące planowanego zakresu prac powinny trafić zarówno do zarządcy drogi wyższej kategori</w:t>
      </w:r>
      <w:r>
        <w:rPr>
          <w:rFonts w:asciiTheme="minorHAnsi" w:hAnsiTheme="minorHAnsi" w:cstheme="minorHAnsi"/>
          <w:i/>
        </w:rPr>
        <w:t xml:space="preserve">i tj. Zarządu Powiatu Grodziskiego w części w jakiej będzie prowadził przebudowę ww. skrzyżowania, jak i do Burmistrza Miasta Milanówka w części w jakiej prowadzi prace przy przygotowaniu dokumentacji projektowej. </w:t>
      </w:r>
    </w:p>
    <w:p w:rsidR="00223679" w:rsidRDefault="006A66E1" w:rsidP="008F2DE7">
      <w:pPr>
        <w:spacing w:line="360" w:lineRule="auto"/>
        <w:ind w:left="-426" w:right="-569" w:firstLine="8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marginesie należy wskazać, iż podstawę</w:t>
      </w:r>
      <w:r>
        <w:rPr>
          <w:rFonts w:asciiTheme="minorHAnsi" w:hAnsiTheme="minorHAnsi" w:cstheme="minorHAnsi"/>
        </w:rPr>
        <w:t xml:space="preserve"> prawną przedmiotowej uchwały stanowią                     m. in. przepisy ustawy z dnia 14 czerwca 1960 r. Kodeks postępowania administracyjnego (Dz. U.                     z 2020 r. poz. 256, z późn. zm.), tj.: </w:t>
      </w:r>
    </w:p>
    <w:p w:rsidR="00FE40FA" w:rsidRDefault="006A66E1" w:rsidP="00223679">
      <w:pPr>
        <w:spacing w:line="360" w:lineRule="auto"/>
        <w:ind w:left="-426" w:right="-56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art. 242 § 1, zgodnie z którym </w:t>
      </w:r>
      <w:r w:rsidRPr="00223679">
        <w:rPr>
          <w:rFonts w:asciiTheme="minorHAnsi" w:hAnsiTheme="minorHAnsi" w:cstheme="minorHAnsi"/>
          <w:i/>
        </w:rPr>
        <w:t>Wnioski s</w:t>
      </w:r>
      <w:r w:rsidRPr="00223679">
        <w:rPr>
          <w:rFonts w:asciiTheme="minorHAnsi" w:hAnsiTheme="minorHAnsi" w:cstheme="minorHAnsi"/>
          <w:i/>
        </w:rPr>
        <w:t>kłada się do organów właściwych ze względu na przedmiot wniosku.</w:t>
      </w:r>
      <w:r>
        <w:rPr>
          <w:rFonts w:asciiTheme="minorHAnsi" w:hAnsiTheme="minorHAnsi" w:cstheme="minorHAnsi"/>
        </w:rPr>
        <w:t>;</w:t>
      </w:r>
    </w:p>
    <w:p w:rsidR="00223679" w:rsidRDefault="006A66E1" w:rsidP="00223679">
      <w:pPr>
        <w:spacing w:line="360" w:lineRule="auto"/>
        <w:ind w:left="-426" w:right="-569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- art. 243, zgodnie z którym </w:t>
      </w:r>
      <w:r w:rsidRPr="00223679">
        <w:rPr>
          <w:rFonts w:asciiTheme="minorHAnsi" w:hAnsiTheme="minorHAnsi" w:cstheme="minorHAnsi"/>
          <w:i/>
        </w:rPr>
        <w:t>Jeżeli organ, który otrzymał wniosek, nie jest właściwy do jego rozpatrzenia, obowiązany jest w ciągu siedmiu dni przekazać go właściwemu organowi. O przekazaniu</w:t>
      </w:r>
      <w:r w:rsidRPr="00223679">
        <w:rPr>
          <w:rFonts w:asciiTheme="minorHAnsi" w:hAnsiTheme="minorHAnsi" w:cstheme="minorHAnsi"/>
          <w:i/>
        </w:rPr>
        <w:t xml:space="preserve"> wniosku zawiadamia się równocześnie wnioskodawcę. </w:t>
      </w:r>
    </w:p>
    <w:p w:rsidR="005375AF" w:rsidRDefault="006A66E1" w:rsidP="00223679">
      <w:pPr>
        <w:spacing w:line="360" w:lineRule="auto"/>
        <w:ind w:left="-426" w:right="-569" w:firstLine="8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wstępie</w:t>
      </w:r>
      <w:r>
        <w:rPr>
          <w:rFonts w:asciiTheme="minorHAnsi" w:hAnsiTheme="minorHAnsi" w:cstheme="minorHAnsi"/>
        </w:rPr>
        <w:t xml:space="preserve"> należy wskazać, iż organ nadzoru badając</w:t>
      </w:r>
      <w:r>
        <w:rPr>
          <w:rFonts w:asciiTheme="minorHAnsi" w:hAnsiTheme="minorHAnsi" w:cstheme="minorHAnsi"/>
        </w:rPr>
        <w:t xml:space="preserve"> legalność</w:t>
      </w:r>
      <w:r>
        <w:rPr>
          <w:rFonts w:asciiTheme="minorHAnsi" w:hAnsiTheme="minorHAnsi" w:cstheme="minorHAnsi"/>
        </w:rPr>
        <w:t xml:space="preserve"> przedmiotow</w:t>
      </w:r>
      <w:r>
        <w:rPr>
          <w:rFonts w:asciiTheme="minorHAnsi" w:hAnsiTheme="minorHAnsi" w:cstheme="minorHAnsi"/>
        </w:rPr>
        <w:t xml:space="preserve">ej </w:t>
      </w:r>
      <w:r>
        <w:rPr>
          <w:rFonts w:asciiTheme="minorHAnsi" w:hAnsiTheme="minorHAnsi" w:cstheme="minorHAnsi"/>
        </w:rPr>
        <w:t>uchwa</w:t>
      </w:r>
      <w:r>
        <w:rPr>
          <w:rFonts w:asciiTheme="minorHAnsi" w:hAnsiTheme="minorHAnsi" w:cstheme="minorHAnsi"/>
        </w:rPr>
        <w:t xml:space="preserve">ły stwierdził, że regulacja zawarta w § </w:t>
      </w: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, w części dotyczącej zobowiązania Starosty Powiatu Grodziskiego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do zawiadomienia Rady Miasta Milanówka o sposobie rozpatrzenia wniosku, nie znajduje oparcia </w:t>
      </w:r>
      <w:r>
        <w:rPr>
          <w:rFonts w:asciiTheme="minorHAnsi" w:hAnsiTheme="minorHAnsi" w:cstheme="minorHAnsi"/>
        </w:rPr>
        <w:t xml:space="preserve">                </w:t>
      </w:r>
      <w:r>
        <w:rPr>
          <w:rFonts w:asciiTheme="minorHAnsi" w:hAnsiTheme="minorHAnsi" w:cstheme="minorHAnsi"/>
        </w:rPr>
        <w:t>w przepisach prawa powszechnie obowiązującego i tym samym stanowi istotne naruszenie prawa.</w:t>
      </w:r>
    </w:p>
    <w:p w:rsidR="004F560D" w:rsidRDefault="006A66E1" w:rsidP="00223679">
      <w:pPr>
        <w:spacing w:line="360" w:lineRule="auto"/>
        <w:ind w:left="-426" w:right="-569" w:firstLine="8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Zasadniczym przepisem wyznaczającym właściwość rady w z</w:t>
      </w:r>
      <w:r>
        <w:rPr>
          <w:rFonts w:asciiTheme="minorHAnsi" w:hAnsiTheme="minorHAnsi" w:cstheme="minorHAnsi"/>
        </w:rPr>
        <w:t xml:space="preserve">akresie rozpatrywania wniosków jest art. 18 ust. 2 pkt 1-15 ustawy o samorządzie gminnym oraz </w:t>
      </w:r>
      <w:r>
        <w:rPr>
          <w:rFonts w:asciiTheme="minorHAnsi" w:hAnsiTheme="minorHAnsi" w:cstheme="minorHAnsi"/>
        </w:rPr>
        <w:t>przepisy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ustaw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szczególnych. Przy czym należy wskazać, iż w przypadku wniosków, których postulaty mieszczą się w zakresie </w:t>
      </w:r>
      <w:r>
        <w:rPr>
          <w:rFonts w:asciiTheme="minorHAnsi" w:hAnsiTheme="minorHAnsi" w:cstheme="minorHAnsi"/>
        </w:rPr>
        <w:t>rozpatrzenia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dwóch odrębnych organów, to</w:t>
      </w:r>
      <w:r>
        <w:rPr>
          <w:rFonts w:asciiTheme="minorHAnsi" w:hAnsiTheme="minorHAnsi" w:cstheme="minorHAnsi"/>
        </w:rPr>
        <w:t xml:space="preserve"> wniosek taki powinien być podzielony i każdy z postulatów powinien być przekazany organowi właściwemu w sprawie. </w:t>
      </w:r>
    </w:p>
    <w:p w:rsidR="009E2CA4" w:rsidRDefault="006A66E1" w:rsidP="00223679">
      <w:pPr>
        <w:spacing w:line="360" w:lineRule="auto"/>
        <w:ind w:left="-426" w:right="-569" w:firstLine="8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Warto również podkreślić, iż p</w:t>
      </w:r>
      <w:r w:rsidRPr="009E2CA4">
        <w:rPr>
          <w:rFonts w:asciiTheme="minorHAnsi" w:hAnsiTheme="minorHAnsi" w:cstheme="minorHAnsi"/>
        </w:rPr>
        <w:t>rzekazanie wniosku właściwemu organowi stanowi czynność techniczną, a nie orzeczniczą, nie wymaga formy postano</w:t>
      </w:r>
      <w:r w:rsidRPr="009E2CA4">
        <w:rPr>
          <w:rFonts w:asciiTheme="minorHAnsi" w:hAnsiTheme="minorHAnsi" w:cstheme="minorHAnsi"/>
        </w:rPr>
        <w:t xml:space="preserve">wienia i nie przysługuje na nią ani zażalenie czy wniosek o ponowne rozpatrzenie sprawy, ani skarga do sądu administracyjnego (por. wyroki WSA </w:t>
      </w:r>
      <w:r>
        <w:rPr>
          <w:rFonts w:asciiTheme="minorHAnsi" w:hAnsiTheme="minorHAnsi" w:cstheme="minorHAnsi"/>
        </w:rPr>
        <w:t xml:space="preserve">               </w:t>
      </w:r>
      <w:r w:rsidRPr="009E2CA4">
        <w:rPr>
          <w:rFonts w:asciiTheme="minorHAnsi" w:hAnsiTheme="minorHAnsi" w:cstheme="minorHAnsi"/>
        </w:rPr>
        <w:t>w Warszawie z 26</w:t>
      </w:r>
      <w:r>
        <w:rPr>
          <w:rFonts w:asciiTheme="minorHAnsi" w:hAnsiTheme="minorHAnsi" w:cstheme="minorHAnsi"/>
        </w:rPr>
        <w:t xml:space="preserve"> lipca </w:t>
      </w:r>
      <w:r w:rsidRPr="009E2CA4">
        <w:rPr>
          <w:rFonts w:asciiTheme="minorHAnsi" w:hAnsiTheme="minorHAnsi" w:cstheme="minorHAnsi"/>
        </w:rPr>
        <w:t xml:space="preserve">2006 r., </w:t>
      </w:r>
      <w:r>
        <w:rPr>
          <w:rFonts w:asciiTheme="minorHAnsi" w:hAnsiTheme="minorHAnsi" w:cstheme="minorHAnsi"/>
        </w:rPr>
        <w:t xml:space="preserve">sygn. akt </w:t>
      </w:r>
      <w:hyperlink r:id="rId9" w:anchor="/document/520351945?cm=DOCUMENT" w:tgtFrame="_blank" w:history="1">
        <w:r w:rsidRPr="009E2CA4">
          <w:rPr>
            <w:rFonts w:asciiTheme="minorHAnsi" w:hAnsiTheme="minorHAnsi" w:cstheme="minorHAnsi"/>
          </w:rPr>
          <w:t>VII SA/</w:t>
        </w:r>
        <w:proofErr w:type="spellStart"/>
        <w:r w:rsidRPr="009E2CA4">
          <w:rPr>
            <w:rFonts w:asciiTheme="minorHAnsi" w:hAnsiTheme="minorHAnsi" w:cstheme="minorHAnsi"/>
          </w:rPr>
          <w:t>Wa</w:t>
        </w:r>
        <w:proofErr w:type="spellEnd"/>
        <w:r w:rsidRPr="009E2CA4">
          <w:rPr>
            <w:rFonts w:asciiTheme="minorHAnsi" w:hAnsiTheme="minorHAnsi" w:cstheme="minorHAnsi"/>
          </w:rPr>
          <w:t xml:space="preserve"> 571/06</w:t>
        </w:r>
      </w:hyperlink>
      <w:r>
        <w:rPr>
          <w:rFonts w:asciiTheme="minorHAnsi" w:hAnsiTheme="minorHAnsi" w:cstheme="minorHAnsi"/>
        </w:rPr>
        <w:t xml:space="preserve"> </w:t>
      </w:r>
      <w:r w:rsidRPr="009E2CA4">
        <w:rPr>
          <w:rFonts w:asciiTheme="minorHAnsi" w:hAnsiTheme="minorHAnsi" w:cstheme="minorHAnsi"/>
        </w:rPr>
        <w:t>oraz z 12</w:t>
      </w:r>
      <w:r>
        <w:rPr>
          <w:rFonts w:asciiTheme="minorHAnsi" w:hAnsiTheme="minorHAnsi" w:cstheme="minorHAnsi"/>
        </w:rPr>
        <w:t xml:space="preserve"> lipca </w:t>
      </w:r>
      <w:r w:rsidRPr="009E2CA4">
        <w:rPr>
          <w:rFonts w:asciiTheme="minorHAnsi" w:hAnsiTheme="minorHAnsi" w:cstheme="minorHAnsi"/>
        </w:rPr>
        <w:t xml:space="preserve">2006 r., </w:t>
      </w:r>
      <w:r>
        <w:rPr>
          <w:rFonts w:asciiTheme="minorHAnsi" w:hAnsiTheme="minorHAnsi" w:cstheme="minorHAnsi"/>
        </w:rPr>
        <w:t xml:space="preserve">sygn. akt </w:t>
      </w:r>
      <w:hyperlink r:id="rId10" w:anchor="/document/520336777?cm=DOCUMENT" w:tgtFrame="_blank" w:history="1">
        <w:r w:rsidRPr="009E2CA4">
          <w:rPr>
            <w:rFonts w:asciiTheme="minorHAnsi" w:hAnsiTheme="minorHAnsi" w:cstheme="minorHAnsi"/>
          </w:rPr>
          <w:t>IV SA/</w:t>
        </w:r>
        <w:proofErr w:type="spellStart"/>
        <w:r w:rsidRPr="009E2CA4">
          <w:rPr>
            <w:rFonts w:asciiTheme="minorHAnsi" w:hAnsiTheme="minorHAnsi" w:cstheme="minorHAnsi"/>
          </w:rPr>
          <w:t>Wa</w:t>
        </w:r>
        <w:proofErr w:type="spellEnd"/>
        <w:r w:rsidRPr="009E2CA4">
          <w:rPr>
            <w:rFonts w:asciiTheme="minorHAnsi" w:hAnsiTheme="minorHAnsi" w:cstheme="minorHAnsi"/>
          </w:rPr>
          <w:t xml:space="preserve"> 739/06</w:t>
        </w:r>
      </w:hyperlink>
      <w:r w:rsidRPr="009E2CA4">
        <w:rPr>
          <w:rFonts w:asciiTheme="minorHAnsi" w:hAnsiTheme="minorHAnsi" w:cstheme="minorHAnsi"/>
        </w:rPr>
        <w:t xml:space="preserve">, w którym stwierdzono, że </w:t>
      </w:r>
      <w:r w:rsidRPr="009E2CA4">
        <w:rPr>
          <w:rFonts w:asciiTheme="minorHAnsi" w:hAnsiTheme="minorHAnsi" w:cstheme="minorHAnsi"/>
          <w:i/>
        </w:rPr>
        <w:t xml:space="preserve">w przypadku przekazywania spraw na zasadzie </w:t>
      </w:r>
      <w:hyperlink r:id="rId11" w:anchor="/document/16784712?unitId=art(243)&amp;cm=DOCUMENT" w:tgtFrame="_blank" w:history="1">
        <w:r w:rsidRPr="009E2CA4">
          <w:rPr>
            <w:rFonts w:asciiTheme="minorHAnsi" w:hAnsiTheme="minorHAnsi" w:cstheme="minorHAnsi"/>
            <w:i/>
          </w:rPr>
          <w:t>art. 243</w:t>
        </w:r>
      </w:hyperlink>
      <w:r w:rsidRPr="009E2CA4">
        <w:rPr>
          <w:rFonts w:asciiTheme="minorHAnsi" w:hAnsiTheme="minorHAnsi" w:cstheme="minorHAnsi"/>
          <w:i/>
        </w:rPr>
        <w:t xml:space="preserve"> k.p.a. wyłączona jest droga instancyjnej kontroli prawidłowości działania organów administracji publicznej</w:t>
      </w:r>
      <w:r w:rsidRPr="009E2CA4">
        <w:rPr>
          <w:rFonts w:asciiTheme="minorHAnsi" w:hAnsiTheme="minorHAnsi" w:cstheme="minorHAnsi"/>
        </w:rPr>
        <w:t>).</w:t>
      </w:r>
    </w:p>
    <w:p w:rsidR="00B457BB" w:rsidRDefault="006A66E1" w:rsidP="00223679">
      <w:pPr>
        <w:spacing w:line="360" w:lineRule="auto"/>
        <w:ind w:left="-426" w:right="-569" w:firstLine="8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Należy bowiem podkreślić, iż s</w:t>
      </w:r>
      <w:r w:rsidRPr="00B457BB">
        <w:rPr>
          <w:rFonts w:asciiTheme="minorHAnsi" w:hAnsiTheme="minorHAnsi" w:cstheme="minorHAnsi"/>
        </w:rPr>
        <w:t xml:space="preserve">twierdzenie </w:t>
      </w:r>
      <w:r w:rsidRPr="00B457BB">
        <w:rPr>
          <w:rFonts w:asciiTheme="minorHAnsi" w:hAnsiTheme="minorHAnsi" w:cstheme="minorHAnsi"/>
        </w:rPr>
        <w:t>niewłaściwości przez organ, do którego wniosek wpłynął, rodzi</w:t>
      </w:r>
      <w:r>
        <w:rPr>
          <w:rFonts w:asciiTheme="minorHAnsi" w:hAnsiTheme="minorHAnsi" w:cstheme="minorHAnsi"/>
        </w:rPr>
        <w:t xml:space="preserve"> wyłącznie</w:t>
      </w:r>
      <w:r w:rsidRPr="00B457BB">
        <w:rPr>
          <w:rFonts w:asciiTheme="minorHAnsi" w:hAnsiTheme="minorHAnsi" w:cstheme="minorHAnsi"/>
        </w:rPr>
        <w:t xml:space="preserve"> dwa obowiązki</w:t>
      </w:r>
      <w:r>
        <w:rPr>
          <w:rFonts w:asciiTheme="minorHAnsi" w:hAnsiTheme="minorHAnsi" w:cstheme="minorHAnsi"/>
        </w:rPr>
        <w:t>:</w:t>
      </w:r>
      <w:r w:rsidRPr="00B457B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</w:t>
      </w:r>
      <w:r w:rsidRPr="00B457BB">
        <w:rPr>
          <w:rFonts w:asciiTheme="minorHAnsi" w:hAnsiTheme="minorHAnsi" w:cstheme="minorHAnsi"/>
        </w:rPr>
        <w:t>ależy wniosek przekazać według właściwości oraz zawiadomić wnioskodawcę o tej czynności.</w:t>
      </w:r>
    </w:p>
    <w:p w:rsidR="00B457BB" w:rsidRDefault="006A66E1" w:rsidP="00223679">
      <w:pPr>
        <w:spacing w:line="360" w:lineRule="auto"/>
        <w:ind w:left="-426" w:right="-569" w:firstLine="8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 niniejszej sprawie mamy do czynienia z dwoma organami właściwymi w sprawie: B</w:t>
      </w:r>
      <w:r>
        <w:rPr>
          <w:rFonts w:asciiTheme="minorHAnsi" w:hAnsiTheme="minorHAnsi" w:cstheme="minorHAnsi"/>
        </w:rPr>
        <w:t>urmistrzem Miasta Milanówka oraz Starostą Powiatu Grodziskiego.</w:t>
      </w:r>
    </w:p>
    <w:p w:rsidR="00B457BB" w:rsidRDefault="006A66E1" w:rsidP="00223679">
      <w:pPr>
        <w:spacing w:line="360" w:lineRule="auto"/>
        <w:ind w:left="-426" w:right="-569" w:firstLine="8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ocenie organu nadzoru, w przypadku pierwszego</w:t>
      </w:r>
      <w:r>
        <w:rPr>
          <w:rFonts w:asciiTheme="minorHAnsi" w:hAnsiTheme="minorHAnsi" w:cstheme="minorHAnsi"/>
        </w:rPr>
        <w:t xml:space="preserve"> organu właściwego w sprawie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Rada Miasta Milanówka miała podstawę prawną do postanowienia w zakresie zobowiązania organu do zawiadomienia Rady o</w:t>
      </w:r>
      <w:r>
        <w:rPr>
          <w:rFonts w:asciiTheme="minorHAnsi" w:hAnsiTheme="minorHAnsi" w:cstheme="minorHAnsi"/>
        </w:rPr>
        <w:t xml:space="preserve"> sposobie rozpatrzenia</w:t>
      </w:r>
      <w:r>
        <w:rPr>
          <w:rFonts w:asciiTheme="minorHAnsi" w:hAnsiTheme="minorHAnsi" w:cstheme="minorHAnsi"/>
        </w:rPr>
        <w:t xml:space="preserve"> wniosku,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gdyż</w:t>
      </w:r>
      <w:r>
        <w:rPr>
          <w:rFonts w:asciiTheme="minorHAnsi" w:hAnsiTheme="minorHAnsi" w:cstheme="minorHAnsi"/>
        </w:rPr>
        <w:t xml:space="preserve"> Burmistrz, jako organ wykonawczy, </w:t>
      </w:r>
      <w:r>
        <w:rPr>
          <w:rFonts w:asciiTheme="minorHAnsi" w:hAnsiTheme="minorHAnsi" w:cstheme="minorHAnsi"/>
        </w:rPr>
        <w:t xml:space="preserve">                    </w:t>
      </w:r>
      <w:r>
        <w:rPr>
          <w:rFonts w:asciiTheme="minorHAnsi" w:hAnsiTheme="minorHAnsi" w:cstheme="minorHAnsi"/>
        </w:rPr>
        <w:t>w realizacji zadań własnych gminy, podlega wyłącznie radzie gminy (art. 30 ust. 3 ustawy o samorządzie gminnym)</w:t>
      </w:r>
      <w:r>
        <w:rPr>
          <w:rFonts w:asciiTheme="minorHAnsi" w:hAnsiTheme="minorHAnsi" w:cstheme="minorHAnsi"/>
        </w:rPr>
        <w:t xml:space="preserve">. </w:t>
      </w:r>
    </w:p>
    <w:p w:rsidR="009A2DEB" w:rsidRDefault="006A66E1" w:rsidP="00223679">
      <w:pPr>
        <w:spacing w:line="360" w:lineRule="auto"/>
        <w:ind w:left="-426" w:right="-569" w:firstLine="8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Natomiast w przypadku zobowiązania Starosty Powiatu</w:t>
      </w:r>
      <w:r>
        <w:rPr>
          <w:rFonts w:asciiTheme="minorHAnsi" w:hAnsiTheme="minorHAnsi" w:cstheme="minorHAnsi"/>
        </w:rPr>
        <w:t xml:space="preserve"> Grodziskiego przez Radę Miasta Milanówka w zakresie zawiadomienia Rady o sposobie rozpatrzenia wniosku stanowi, w ocenie organu nadzoru, działanie przekraczające delegację ustawową i tym samym stoi w sprzeczności                                         z </w:t>
      </w:r>
      <w:r>
        <w:rPr>
          <w:rFonts w:asciiTheme="minorHAnsi" w:hAnsiTheme="minorHAnsi" w:cstheme="minorHAnsi"/>
        </w:rPr>
        <w:t xml:space="preserve">konstytucyjnymi zasadami praworządności i legalizmu. </w:t>
      </w:r>
    </w:p>
    <w:p w:rsidR="00E23350" w:rsidRDefault="006A66E1" w:rsidP="00223679">
      <w:pPr>
        <w:spacing w:line="360" w:lineRule="auto"/>
        <w:ind w:left="-426" w:right="-569" w:firstLine="8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Należy bowiem pamiętać, iż organ</w:t>
      </w:r>
      <w:r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władzy publicznej działają na podstawie i w granicach prawa (art. 7 Konstytucji RP). Prawo stanowi bowiem nie tylko kompetencję do działania, ale także powinno być źród</w:t>
      </w:r>
      <w:r>
        <w:rPr>
          <w:rFonts w:asciiTheme="minorHAnsi" w:hAnsiTheme="minorHAnsi" w:cstheme="minorHAnsi"/>
        </w:rPr>
        <w:t xml:space="preserve">łem nakazów i zakazów wyznaczających ramy prawne owego działania. </w:t>
      </w:r>
      <w:r w:rsidRPr="009A2DEB">
        <w:rPr>
          <w:rFonts w:asciiTheme="minorHAnsi" w:hAnsiTheme="minorHAnsi" w:cstheme="minorHAnsi"/>
        </w:rPr>
        <w:t>Kompetencji do działania nie można domniemywać, konstruują ją przepisy o różnym charakterze (przepisy materialne, proceduralne, ustrojowe).</w:t>
      </w:r>
    </w:p>
    <w:p w:rsidR="009A2DEB" w:rsidRDefault="006A66E1" w:rsidP="00223679">
      <w:pPr>
        <w:spacing w:line="360" w:lineRule="auto"/>
        <w:ind w:left="-426" w:right="-569" w:firstLine="852"/>
        <w:jc w:val="both"/>
        <w:rPr>
          <w:rFonts w:asciiTheme="minorHAnsi" w:hAnsiTheme="minorHAnsi" w:cstheme="minorHAnsi"/>
        </w:rPr>
      </w:pPr>
      <w:r w:rsidRPr="009A2DEB">
        <w:rPr>
          <w:rFonts w:asciiTheme="minorHAnsi" w:hAnsiTheme="minorHAnsi" w:cstheme="minorHAnsi"/>
        </w:rPr>
        <w:t>Celem zasady legalizmu jest przeciwdziałanie dowol</w:t>
      </w:r>
      <w:r w:rsidRPr="009A2DEB">
        <w:rPr>
          <w:rFonts w:asciiTheme="minorHAnsi" w:hAnsiTheme="minorHAnsi" w:cstheme="minorHAnsi"/>
        </w:rPr>
        <w:t xml:space="preserve">ności i arbitralności działania organów państwa oraz poddanie tego działania kontroli w oparciu o kryterium zgodności z obowiązującym prawem. Działania organów bez podstawy prawnej i poza granicami prawa albo z naruszeniem tych granic są zawsze nielegalne </w:t>
      </w:r>
      <w:r w:rsidRPr="009A2DEB">
        <w:rPr>
          <w:rFonts w:asciiTheme="minorHAnsi" w:hAnsiTheme="minorHAnsi" w:cstheme="minorHAnsi"/>
        </w:rPr>
        <w:t>i mogą rodzić odpowiedzialność konstytucyjną i karną osób te działania podejmujących, a także odpowiedzialność odszkodowawczą państwa.</w:t>
      </w:r>
    </w:p>
    <w:p w:rsidR="00EC16CB" w:rsidRDefault="006A66E1" w:rsidP="00EC16CB">
      <w:pPr>
        <w:spacing w:line="360" w:lineRule="auto"/>
        <w:ind w:left="-426" w:right="-569" w:firstLine="709"/>
        <w:jc w:val="both"/>
        <w:rPr>
          <w:rFonts w:asciiTheme="minorHAnsi" w:hAnsiTheme="minorHAnsi" w:cstheme="minorHAnsi"/>
        </w:rPr>
      </w:pPr>
      <w:r w:rsidRPr="00397C5F">
        <w:rPr>
          <w:rFonts w:asciiTheme="minorHAnsi" w:hAnsiTheme="minorHAnsi" w:cstheme="minorHAnsi"/>
        </w:rPr>
        <w:t>Realizacja spraw oddanych pod kompetencje gminy jest wyrazem jej samodzielności. Nie ma ona jednak charakteru arbitralneg</w:t>
      </w:r>
      <w:r w:rsidRPr="00397C5F">
        <w:rPr>
          <w:rFonts w:asciiTheme="minorHAnsi" w:hAnsiTheme="minorHAnsi" w:cstheme="minorHAnsi"/>
        </w:rPr>
        <w:t xml:space="preserve">o i nieograniczonego – co konsekwentnie podkreśla się w judykaturze. </w:t>
      </w:r>
      <w:r>
        <w:rPr>
          <w:rFonts w:asciiTheme="minorHAnsi" w:hAnsiTheme="minorHAnsi" w:cstheme="minorHAnsi"/>
        </w:rPr>
        <w:t xml:space="preserve">         </w:t>
      </w:r>
      <w:r w:rsidRPr="00397C5F">
        <w:rPr>
          <w:rFonts w:asciiTheme="minorHAnsi" w:hAnsiTheme="minorHAnsi" w:cstheme="minorHAnsi"/>
        </w:rPr>
        <w:t>W swoich działaniach gmina jest ograniczona przez Konstytucję, przepisy prawa wspólnotowego oraz akty rangi ustawowej i podustawowej. Jednocześnie zgodnie z art. 16 Konstytucji s</w:t>
      </w:r>
      <w:r w:rsidRPr="00397C5F">
        <w:rPr>
          <w:rFonts w:asciiTheme="minorHAnsi" w:hAnsiTheme="minorHAnsi" w:cstheme="minorHAnsi"/>
        </w:rPr>
        <w:t>amorząd terytorialny uczestniczy w sprawowaniu władzy publicznej, przez co należy przyjąć, że nie posiada on własnych celów i interesów.</w:t>
      </w:r>
    </w:p>
    <w:p w:rsidR="00F1047B" w:rsidRDefault="006A66E1" w:rsidP="00EC16CB">
      <w:pPr>
        <w:spacing w:line="360" w:lineRule="auto"/>
        <w:ind w:left="-426" w:right="-569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aspekcie merytorycznym należy </w:t>
      </w:r>
      <w:r>
        <w:rPr>
          <w:rFonts w:asciiTheme="minorHAnsi" w:hAnsiTheme="minorHAnsi" w:cstheme="minorHAnsi"/>
        </w:rPr>
        <w:t>podkreślić</w:t>
      </w:r>
      <w:r>
        <w:rPr>
          <w:rFonts w:asciiTheme="minorHAnsi" w:hAnsiTheme="minorHAnsi" w:cstheme="minorHAnsi"/>
        </w:rPr>
        <w:t xml:space="preserve">, iż </w:t>
      </w:r>
      <w:r>
        <w:rPr>
          <w:rFonts w:asciiTheme="minorHAnsi" w:hAnsiTheme="minorHAnsi" w:cstheme="minorHAnsi"/>
        </w:rPr>
        <w:t>żadne przepisy prawa powszechnie obowiązującego</w:t>
      </w:r>
      <w:r>
        <w:rPr>
          <w:rFonts w:asciiTheme="minorHAnsi" w:hAnsiTheme="minorHAnsi" w:cstheme="minorHAnsi"/>
        </w:rPr>
        <w:t xml:space="preserve"> nie przyznają organowi s</w:t>
      </w:r>
      <w:r>
        <w:rPr>
          <w:rFonts w:asciiTheme="minorHAnsi" w:hAnsiTheme="minorHAnsi" w:cstheme="minorHAnsi"/>
        </w:rPr>
        <w:t>tanowiącemu</w:t>
      </w:r>
      <w:r>
        <w:rPr>
          <w:rFonts w:asciiTheme="minorHAnsi" w:hAnsiTheme="minorHAnsi" w:cstheme="minorHAnsi"/>
        </w:rPr>
        <w:t xml:space="preserve"> jednostki samorządu terytorialnego</w:t>
      </w:r>
      <w:r>
        <w:rPr>
          <w:rFonts w:asciiTheme="minorHAnsi" w:hAnsiTheme="minorHAnsi" w:cstheme="minorHAnsi"/>
        </w:rPr>
        <w:t xml:space="preserve"> działające</w:t>
      </w:r>
      <w:r>
        <w:rPr>
          <w:rFonts w:asciiTheme="minorHAnsi" w:hAnsiTheme="minorHAnsi" w:cstheme="minorHAnsi"/>
        </w:rPr>
        <w:t xml:space="preserve">go </w:t>
      </w:r>
      <w:r>
        <w:rPr>
          <w:rFonts w:asciiTheme="minorHAnsi" w:hAnsiTheme="minorHAnsi" w:cstheme="minorHAnsi"/>
        </w:rPr>
        <w:t>na terenie danej wspólnoty samorządowej (w tym przypadku Radzie Miasta Milanówka)</w:t>
      </w:r>
      <w:r>
        <w:rPr>
          <w:rFonts w:asciiTheme="minorHAnsi" w:hAnsiTheme="minorHAnsi" w:cstheme="minorHAnsi"/>
        </w:rPr>
        <w:t xml:space="preserve"> uprawnienia do</w:t>
      </w:r>
      <w:r>
        <w:rPr>
          <w:rFonts w:asciiTheme="minorHAnsi" w:hAnsiTheme="minorHAnsi" w:cstheme="minorHAnsi"/>
        </w:rPr>
        <w:t xml:space="preserve"> zobowiązania organu z terenu innej jednostki samorządowej (w tym przypadku Starosty Powiatu </w:t>
      </w:r>
      <w:r>
        <w:rPr>
          <w:rFonts w:asciiTheme="minorHAnsi" w:hAnsiTheme="minorHAnsi" w:cstheme="minorHAnsi"/>
        </w:rPr>
        <w:lastRenderedPageBreak/>
        <w:t>Grodziskiego</w:t>
      </w:r>
      <w:r>
        <w:rPr>
          <w:rFonts w:asciiTheme="minorHAnsi" w:hAnsiTheme="minorHAnsi" w:cstheme="minorHAnsi"/>
        </w:rPr>
        <w:t>) do podjęcia określonego działania</w:t>
      </w:r>
      <w:r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Zakres bowiem spraw jakie podlegają kompetencji rady ma wymiar ograniczony do potrzeb wspólnoty o zasięgu lokalnym.</w:t>
      </w:r>
    </w:p>
    <w:p w:rsidR="008B629A" w:rsidRDefault="006A66E1" w:rsidP="00E548F9">
      <w:pPr>
        <w:autoSpaceDE w:val="0"/>
        <w:autoSpaceDN w:val="0"/>
        <w:adjustRightInd w:val="0"/>
        <w:spacing w:line="360" w:lineRule="auto"/>
        <w:ind w:left="-426" w:right="-569" w:firstLine="99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Biorąc pod uwagę powyższy wywód, zasadne jest stwierdzenie nieważności</w:t>
      </w:r>
      <w:r>
        <w:rPr>
          <w:rFonts w:asciiTheme="minorHAnsi" w:hAnsiTheme="minorHAnsi" w:cstheme="minorHAnsi"/>
        </w:rPr>
        <w:t xml:space="preserve"> przedmiotowej uchwały</w:t>
      </w:r>
      <w:r>
        <w:rPr>
          <w:rFonts w:asciiTheme="minorHAnsi" w:hAnsiTheme="minorHAnsi" w:cstheme="minorHAnsi"/>
        </w:rPr>
        <w:t xml:space="preserve"> w </w:t>
      </w:r>
      <w:r>
        <w:rPr>
          <w:rFonts w:asciiTheme="minorHAnsi" w:hAnsiTheme="minorHAnsi" w:cstheme="minorHAnsi"/>
        </w:rPr>
        <w:t>części wskazanej w petitum rozstrzygnięcia</w:t>
      </w:r>
      <w:r>
        <w:rPr>
          <w:rFonts w:asciiTheme="minorHAnsi" w:hAnsiTheme="minorHAnsi" w:cstheme="minorHAnsi"/>
        </w:rPr>
        <w:t>, jako niezgodnej z przepisami prawa powszechnie obowiązującego.</w:t>
      </w:r>
    </w:p>
    <w:p w:rsidR="000E7E1F" w:rsidRDefault="006A66E1" w:rsidP="00412AC3">
      <w:pPr>
        <w:spacing w:line="360" w:lineRule="auto"/>
        <w:ind w:left="-426" w:right="-569" w:firstLine="852"/>
        <w:jc w:val="both"/>
        <w:rPr>
          <w:rFonts w:asciiTheme="minorHAnsi" w:hAnsiTheme="minorHAnsi" w:cstheme="minorHAnsi"/>
        </w:rPr>
      </w:pPr>
      <w:r w:rsidRPr="00325CA0">
        <w:rPr>
          <w:rFonts w:asciiTheme="minorHAnsi" w:hAnsiTheme="minorHAnsi" w:cstheme="minorHAnsi"/>
        </w:rPr>
        <w:t>Stwierdzenie nieważności uchwały, wstrzymuje jej wykonanie</w:t>
      </w:r>
      <w:r>
        <w:rPr>
          <w:rFonts w:asciiTheme="minorHAnsi" w:hAnsiTheme="minorHAnsi" w:cstheme="minorHAnsi"/>
        </w:rPr>
        <w:t xml:space="preserve"> </w:t>
      </w:r>
      <w:r w:rsidRPr="00325CA0">
        <w:rPr>
          <w:rFonts w:asciiTheme="minorHAnsi" w:hAnsiTheme="minorHAnsi" w:cstheme="minorHAnsi"/>
        </w:rPr>
        <w:t>z mocy prawa</w:t>
      </w:r>
      <w:r>
        <w:rPr>
          <w:rFonts w:asciiTheme="minorHAnsi" w:hAnsiTheme="minorHAnsi" w:cstheme="minorHAnsi"/>
        </w:rPr>
        <w:t xml:space="preserve"> w zakresie określonym w petitum rozstrzygnięcia</w:t>
      </w:r>
      <w:r w:rsidRPr="00325CA0">
        <w:rPr>
          <w:rFonts w:asciiTheme="minorHAnsi" w:hAnsiTheme="minorHAnsi" w:cstheme="minorHAnsi"/>
        </w:rPr>
        <w:t>, z d</w:t>
      </w:r>
      <w:r w:rsidRPr="00325CA0">
        <w:rPr>
          <w:rFonts w:asciiTheme="minorHAnsi" w:hAnsiTheme="minorHAnsi" w:cstheme="minorHAnsi"/>
        </w:rPr>
        <w:t>niem</w:t>
      </w:r>
      <w:r w:rsidRPr="00325CA0">
        <w:rPr>
          <w:rFonts w:asciiTheme="minorHAnsi" w:hAnsiTheme="minorHAnsi" w:cstheme="minorHAnsi"/>
        </w:rPr>
        <w:t xml:space="preserve"> jego</w:t>
      </w:r>
      <w:r w:rsidRPr="00325CA0">
        <w:rPr>
          <w:rFonts w:asciiTheme="minorHAnsi" w:hAnsiTheme="minorHAnsi" w:cstheme="minorHAnsi"/>
        </w:rPr>
        <w:t xml:space="preserve"> doręczenia</w:t>
      </w:r>
      <w:r w:rsidRPr="00325CA0">
        <w:rPr>
          <w:rFonts w:asciiTheme="minorHAnsi" w:hAnsiTheme="minorHAnsi" w:cstheme="minorHAnsi"/>
        </w:rPr>
        <w:t>.</w:t>
      </w:r>
      <w:r w:rsidRPr="00325CA0">
        <w:rPr>
          <w:rFonts w:asciiTheme="minorHAnsi" w:hAnsiTheme="minorHAnsi" w:cstheme="minorHAnsi"/>
        </w:rPr>
        <w:t xml:space="preserve"> </w:t>
      </w:r>
    </w:p>
    <w:p w:rsidR="00C46090" w:rsidRPr="000E7E1F" w:rsidRDefault="006A66E1" w:rsidP="00412AC3">
      <w:pPr>
        <w:pStyle w:val="Default"/>
        <w:spacing w:line="360" w:lineRule="auto"/>
        <w:ind w:left="-426" w:right="-569" w:firstLine="852"/>
        <w:jc w:val="both"/>
        <w:rPr>
          <w:rFonts w:asciiTheme="minorHAnsi" w:hAnsiTheme="minorHAnsi" w:cstheme="minorHAnsi"/>
          <w:bCs/>
        </w:rPr>
      </w:pPr>
      <w:r w:rsidRPr="00325CA0">
        <w:rPr>
          <w:rFonts w:asciiTheme="minorHAnsi" w:hAnsiTheme="minorHAnsi" w:cstheme="minorHAnsi"/>
        </w:rPr>
        <w:t xml:space="preserve">Na niniejsze rozstrzygnięcie nadzorcze </w:t>
      </w:r>
      <w:r>
        <w:rPr>
          <w:rFonts w:asciiTheme="minorHAnsi" w:hAnsiTheme="minorHAnsi" w:cstheme="minorHAnsi"/>
        </w:rPr>
        <w:t>Miastu</w:t>
      </w:r>
      <w:r w:rsidRPr="00325CA0">
        <w:rPr>
          <w:rFonts w:asciiTheme="minorHAnsi" w:hAnsiTheme="minorHAnsi" w:cstheme="minorHAnsi"/>
        </w:rPr>
        <w:t xml:space="preserve"> przysługuje skarga do Wojewódzkiego Sądu Administracyjnego w Warszawie w terminie 30 dni od daty doręczenia, wnoszona za pośrednictwem organu, który skarżone orzeczenie wydał.</w:t>
      </w:r>
    </w:p>
    <w:p w:rsidR="00C46090" w:rsidRPr="00325CA0" w:rsidRDefault="006A66E1" w:rsidP="00C46090">
      <w:pPr>
        <w:autoSpaceDE w:val="0"/>
        <w:autoSpaceDN w:val="0"/>
        <w:adjustRightInd w:val="0"/>
        <w:ind w:right="-471"/>
        <w:jc w:val="both"/>
        <w:rPr>
          <w:rFonts w:asciiTheme="minorHAnsi" w:hAnsiTheme="minorHAnsi" w:cstheme="minorHAnsi"/>
        </w:rPr>
      </w:pPr>
    </w:p>
    <w:p w:rsidR="0043566C" w:rsidRDefault="006A66E1" w:rsidP="00385473">
      <w:pPr>
        <w:spacing w:line="276" w:lineRule="auto"/>
        <w:jc w:val="both"/>
        <w:rPr>
          <w:rFonts w:asciiTheme="minorHAnsi" w:hAnsiTheme="minorHAnsi" w:cstheme="minorHAnsi"/>
        </w:rPr>
      </w:pPr>
    </w:p>
    <w:p w:rsidR="007749CC" w:rsidRDefault="006A66E1" w:rsidP="00385473">
      <w:pPr>
        <w:spacing w:line="276" w:lineRule="auto"/>
        <w:jc w:val="both"/>
        <w:rPr>
          <w:rFonts w:asciiTheme="minorHAnsi" w:hAnsiTheme="minorHAnsi" w:cstheme="minorHAnsi"/>
        </w:rPr>
      </w:pPr>
    </w:p>
    <w:p w:rsidR="007749CC" w:rsidRPr="007749CC" w:rsidRDefault="006A66E1" w:rsidP="00385473">
      <w:pPr>
        <w:spacing w:line="276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749CC">
        <w:rPr>
          <w:rFonts w:asciiTheme="minorHAnsi" w:hAnsiTheme="minorHAnsi" w:cstheme="minorHAnsi"/>
          <w:i/>
        </w:rPr>
        <w:t>Konstanty Radziwiłł</w:t>
      </w:r>
    </w:p>
    <w:p w:rsidR="007749CC" w:rsidRDefault="006A66E1" w:rsidP="00385473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7749CC">
        <w:rPr>
          <w:rFonts w:asciiTheme="minorHAnsi" w:hAnsiTheme="minorHAnsi" w:cstheme="minorHAnsi"/>
          <w:i/>
        </w:rPr>
        <w:tab/>
      </w:r>
      <w:r w:rsidRPr="007749CC">
        <w:rPr>
          <w:rFonts w:asciiTheme="minorHAnsi" w:hAnsiTheme="minorHAnsi" w:cstheme="minorHAnsi"/>
          <w:i/>
        </w:rPr>
        <w:tab/>
      </w:r>
      <w:r w:rsidRPr="007749CC">
        <w:rPr>
          <w:rFonts w:asciiTheme="minorHAnsi" w:hAnsiTheme="minorHAnsi" w:cstheme="minorHAnsi"/>
          <w:i/>
        </w:rPr>
        <w:tab/>
      </w:r>
      <w:r w:rsidRPr="007749CC">
        <w:rPr>
          <w:rFonts w:asciiTheme="minorHAnsi" w:hAnsiTheme="minorHAnsi" w:cstheme="minorHAnsi"/>
          <w:i/>
        </w:rPr>
        <w:tab/>
      </w:r>
      <w:r w:rsidRPr="007749CC"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 xml:space="preserve">        </w:t>
      </w:r>
      <w:r>
        <w:rPr>
          <w:rFonts w:asciiTheme="minorHAnsi" w:hAnsiTheme="minorHAnsi" w:cstheme="minorHAnsi"/>
          <w:i/>
        </w:rPr>
        <w:tab/>
        <w:t xml:space="preserve">          </w:t>
      </w:r>
      <w:r w:rsidRPr="007749CC">
        <w:rPr>
          <w:rFonts w:asciiTheme="minorHAnsi" w:hAnsiTheme="minorHAnsi" w:cstheme="minorHAnsi"/>
          <w:i/>
        </w:rPr>
        <w:t>Wojewoda Mazowiecki</w:t>
      </w:r>
    </w:p>
    <w:p w:rsidR="00552C49" w:rsidRPr="007749CC" w:rsidRDefault="006A66E1" w:rsidP="00385473">
      <w:pPr>
        <w:spacing w:line="276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  <w:t xml:space="preserve">      /podpisano elektronicznie/</w:t>
      </w:r>
    </w:p>
    <w:sectPr w:rsidR="00552C49" w:rsidRPr="007749CC" w:rsidSect="00B24711">
      <w:footerReference w:type="default" r:id="rId12"/>
      <w:footerReference w:type="first" r:id="rId13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6E1" w:rsidRDefault="006A66E1">
      <w:r>
        <w:separator/>
      </w:r>
    </w:p>
  </w:endnote>
  <w:endnote w:type="continuationSeparator" w:id="0">
    <w:p w:rsidR="006A66E1" w:rsidRDefault="006A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9340577"/>
      <w:docPartObj>
        <w:docPartGallery w:val="Page Numbers (Bottom of Page)"/>
        <w:docPartUnique/>
      </w:docPartObj>
    </w:sdtPr>
    <w:sdtEndPr/>
    <w:sdtContent>
      <w:p w:rsidR="00574852" w:rsidRDefault="006A66E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13AAE" w:rsidRDefault="006A66E1" w:rsidP="00057E63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E63" w:rsidRDefault="006A66E1">
    <w:pPr>
      <w:pStyle w:val="Stopka"/>
      <w:jc w:val="right"/>
    </w:pPr>
  </w:p>
  <w:p w:rsidR="00813AAE" w:rsidRDefault="006A66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6E1" w:rsidRDefault="006A66E1">
      <w:r>
        <w:separator/>
      </w:r>
    </w:p>
  </w:footnote>
  <w:footnote w:type="continuationSeparator" w:id="0">
    <w:p w:rsidR="006A66E1" w:rsidRDefault="006A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124F0"/>
    <w:multiLevelType w:val="hybridMultilevel"/>
    <w:tmpl w:val="99BC69AC"/>
    <w:lvl w:ilvl="0" w:tplc="A67EB91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AA0054A2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64A23536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E5A6ADC4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EDAA594A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D206E1E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E05E3266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C1C8C7F2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05865C4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2721F8D"/>
    <w:multiLevelType w:val="hybridMultilevel"/>
    <w:tmpl w:val="C7907C18"/>
    <w:lvl w:ilvl="0" w:tplc="BDCCC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207E78" w:tentative="1">
      <w:start w:val="1"/>
      <w:numFmt w:val="lowerLetter"/>
      <w:lvlText w:val="%2."/>
      <w:lvlJc w:val="left"/>
      <w:pPr>
        <w:ind w:left="1440" w:hanging="360"/>
      </w:pPr>
    </w:lvl>
    <w:lvl w:ilvl="2" w:tplc="64E2CED4" w:tentative="1">
      <w:start w:val="1"/>
      <w:numFmt w:val="lowerRoman"/>
      <w:lvlText w:val="%3."/>
      <w:lvlJc w:val="right"/>
      <w:pPr>
        <w:ind w:left="2160" w:hanging="180"/>
      </w:pPr>
    </w:lvl>
    <w:lvl w:ilvl="3" w:tplc="212E6578" w:tentative="1">
      <w:start w:val="1"/>
      <w:numFmt w:val="decimal"/>
      <w:lvlText w:val="%4."/>
      <w:lvlJc w:val="left"/>
      <w:pPr>
        <w:ind w:left="2880" w:hanging="360"/>
      </w:pPr>
    </w:lvl>
    <w:lvl w:ilvl="4" w:tplc="25208D94" w:tentative="1">
      <w:start w:val="1"/>
      <w:numFmt w:val="lowerLetter"/>
      <w:lvlText w:val="%5."/>
      <w:lvlJc w:val="left"/>
      <w:pPr>
        <w:ind w:left="3600" w:hanging="360"/>
      </w:pPr>
    </w:lvl>
    <w:lvl w:ilvl="5" w:tplc="CC78CDE2" w:tentative="1">
      <w:start w:val="1"/>
      <w:numFmt w:val="lowerRoman"/>
      <w:lvlText w:val="%6."/>
      <w:lvlJc w:val="right"/>
      <w:pPr>
        <w:ind w:left="4320" w:hanging="180"/>
      </w:pPr>
    </w:lvl>
    <w:lvl w:ilvl="6" w:tplc="12AA683A" w:tentative="1">
      <w:start w:val="1"/>
      <w:numFmt w:val="decimal"/>
      <w:lvlText w:val="%7."/>
      <w:lvlJc w:val="left"/>
      <w:pPr>
        <w:ind w:left="5040" w:hanging="360"/>
      </w:pPr>
    </w:lvl>
    <w:lvl w:ilvl="7" w:tplc="E06659C4" w:tentative="1">
      <w:start w:val="1"/>
      <w:numFmt w:val="lowerLetter"/>
      <w:lvlText w:val="%8."/>
      <w:lvlJc w:val="left"/>
      <w:pPr>
        <w:ind w:left="5760" w:hanging="360"/>
      </w:pPr>
    </w:lvl>
    <w:lvl w:ilvl="8" w:tplc="05C840F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55B"/>
    <w:rsid w:val="006A66E1"/>
    <w:rsid w:val="00C6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1EE76-A136-412A-8DC6-CA155AC6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85473"/>
    <w:pPr>
      <w:spacing w:line="240" w:lineRule="auto"/>
      <w:ind w:firstLine="0"/>
      <w:jc w:val="left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61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85473"/>
    <w:pPr>
      <w:keepNext/>
      <w:outlineLvl w:val="1"/>
    </w:pPr>
    <w:rPr>
      <w:rFonts w:eastAsia="Arial Unicode MS"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85473"/>
    <w:rPr>
      <w:rFonts w:ascii="Times New Roman" w:eastAsia="Arial Unicode MS" w:hAnsi="Times New Roman" w:cs="Times New Roman"/>
      <w:sz w:val="28"/>
      <w:szCs w:val="20"/>
      <w:u w:val="single"/>
      <w:lang w:eastAsia="pl-PL"/>
    </w:rPr>
  </w:style>
  <w:style w:type="character" w:customStyle="1" w:styleId="Teksttreci4">
    <w:name w:val="Tekst treści (4)_"/>
    <w:link w:val="Teksttreci40"/>
    <w:locked/>
    <w:rsid w:val="00385473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85473"/>
    <w:pPr>
      <w:widowControl w:val="0"/>
      <w:shd w:val="clear" w:color="auto" w:fill="FFFFFF"/>
      <w:spacing w:line="338" w:lineRule="exact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Stopka">
    <w:name w:val="footer"/>
    <w:basedOn w:val="Normalny"/>
    <w:link w:val="StopkaZnak"/>
    <w:uiPriority w:val="99"/>
    <w:rsid w:val="003854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473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85473"/>
    <w:pPr>
      <w:spacing w:before="100" w:beforeAutospacing="1" w:after="100" w:afterAutospacing="1"/>
    </w:pPr>
    <w:rPr>
      <w:rFonts w:eastAsia="Times New Roman"/>
    </w:rPr>
  </w:style>
  <w:style w:type="character" w:customStyle="1" w:styleId="object2">
    <w:name w:val="object2"/>
    <w:rsid w:val="00385473"/>
    <w:rPr>
      <w:strike w:val="0"/>
      <w:dstrike w:val="0"/>
      <w:color w:val="0000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4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473"/>
    <w:rPr>
      <w:rFonts w:ascii="Tahoma" w:eastAsia="MS Mincho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385473"/>
    <w:pPr>
      <w:suppressAutoHyphens/>
      <w:spacing w:line="360" w:lineRule="auto"/>
      <w:jc w:val="both"/>
    </w:pPr>
    <w:rPr>
      <w:rFonts w:eastAsia="Times New Roman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8547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highlight">
    <w:name w:val="highlight"/>
    <w:basedOn w:val="Domylnaczcionkaakapitu"/>
    <w:rsid w:val="00385473"/>
  </w:style>
  <w:style w:type="paragraph" w:styleId="Nagwek">
    <w:name w:val="header"/>
    <w:basedOn w:val="Normalny"/>
    <w:link w:val="NagwekZnak"/>
    <w:uiPriority w:val="99"/>
    <w:unhideWhenUsed/>
    <w:rsid w:val="005748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852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naglowekcenter">
    <w:name w:val="naglowek_center"/>
    <w:basedOn w:val="Normalny"/>
    <w:rsid w:val="0043566C"/>
    <w:pPr>
      <w:spacing w:before="100" w:beforeAutospacing="1" w:after="100" w:afterAutospacing="1"/>
    </w:pPr>
    <w:rPr>
      <w:rFonts w:eastAsia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F61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91252"/>
    <w:rPr>
      <w:color w:val="0000FF"/>
      <w:u w:val="single"/>
    </w:rPr>
  </w:style>
  <w:style w:type="paragraph" w:customStyle="1" w:styleId="Default">
    <w:name w:val="Default"/>
    <w:rsid w:val="00253ADA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41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3418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341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26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6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693"/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6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693"/>
    <w:rPr>
      <w:rFonts w:ascii="Times New Roman" w:eastAsia="MS Mincho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B35CA-43FB-4ACB-A450-9B32C4DF2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Koleński</dc:creator>
  <cp:lastModifiedBy>Beata Darnowska</cp:lastModifiedBy>
  <cp:revision>2</cp:revision>
  <cp:lastPrinted>2020-07-01T11:07:00Z</cp:lastPrinted>
  <dcterms:created xsi:type="dcterms:W3CDTF">2020-11-25T14:40:00Z</dcterms:created>
  <dcterms:modified xsi:type="dcterms:W3CDTF">2020-11-25T14:40:00Z</dcterms:modified>
</cp:coreProperties>
</file>